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6D2D" w:rsidRPr="00090B32" w:rsidRDefault="00CF6D2D" w:rsidP="00CF6D2D">
      <w:pPr>
        <w:spacing w:before="120" w:after="120" w:line="276" w:lineRule="auto"/>
        <w:rPr>
          <w:rFonts w:cstheme="minorHAnsi"/>
          <w:b/>
          <w:color w:val="000000" w:themeColor="text1"/>
          <w:sz w:val="28"/>
          <w:lang w:val="en-US"/>
        </w:rPr>
      </w:pPr>
      <w:r>
        <w:rPr>
          <w:rFonts w:cstheme="minorHAnsi"/>
          <w:b/>
          <w:color w:val="000000" w:themeColor="text1"/>
          <w:sz w:val="28"/>
          <w:lang w:val="en-US"/>
        </w:rPr>
        <w:t>Prospective life cycle analysis of</w:t>
      </w:r>
      <w:r w:rsidRPr="00090B32">
        <w:rPr>
          <w:rFonts w:cstheme="minorHAnsi"/>
          <w:b/>
          <w:color w:val="000000" w:themeColor="text1"/>
          <w:sz w:val="28"/>
          <w:lang w:val="en-US"/>
        </w:rPr>
        <w:t xml:space="preserve"> </w:t>
      </w:r>
      <w:r>
        <w:rPr>
          <w:rFonts w:cstheme="minorHAnsi"/>
          <w:b/>
          <w:color w:val="000000" w:themeColor="text1"/>
          <w:sz w:val="28"/>
          <w:lang w:val="en-US"/>
        </w:rPr>
        <w:t xml:space="preserve">green </w:t>
      </w:r>
      <w:r w:rsidRPr="00090B32">
        <w:rPr>
          <w:rFonts w:cstheme="minorHAnsi"/>
          <w:b/>
          <w:color w:val="000000" w:themeColor="text1"/>
          <w:sz w:val="28"/>
          <w:lang w:val="en-US"/>
        </w:rPr>
        <w:t>platform chemical</w:t>
      </w:r>
      <w:r>
        <w:rPr>
          <w:rFonts w:cstheme="minorHAnsi"/>
          <w:b/>
          <w:color w:val="000000" w:themeColor="text1"/>
          <w:sz w:val="28"/>
          <w:lang w:val="en-US"/>
        </w:rPr>
        <w:t>s uncovers their full environmental potential</w:t>
      </w:r>
    </w:p>
    <w:p w:rsidR="00CF6D2D" w:rsidRPr="00090B32" w:rsidRDefault="00CF6D2D" w:rsidP="00CF6D2D">
      <w:pPr>
        <w:spacing w:before="120" w:after="120" w:line="276" w:lineRule="auto"/>
        <w:rPr>
          <w:rFonts w:cstheme="minorHAnsi"/>
          <w:lang w:val="en-US"/>
        </w:rPr>
      </w:pPr>
      <w:r w:rsidRPr="00090B32">
        <w:rPr>
          <w:rFonts w:cstheme="minorHAnsi"/>
          <w:lang w:val="en-US"/>
        </w:rPr>
        <w:t>Abhi</w:t>
      </w:r>
      <w:r>
        <w:rPr>
          <w:rFonts w:cstheme="minorHAnsi"/>
          <w:lang w:val="en-US"/>
        </w:rPr>
        <w:t>n</w:t>
      </w:r>
      <w:r w:rsidRPr="00090B32">
        <w:rPr>
          <w:rFonts w:cstheme="minorHAnsi"/>
          <w:lang w:val="en-US"/>
        </w:rPr>
        <w:t>andan</w:t>
      </w:r>
      <w:r>
        <w:rPr>
          <w:rFonts w:cstheme="minorHAnsi"/>
          <w:lang w:val="en-US"/>
        </w:rPr>
        <w:t xml:space="preserve"> </w:t>
      </w:r>
      <w:proofErr w:type="gramStart"/>
      <w:r w:rsidRPr="00090B32">
        <w:rPr>
          <w:rFonts w:cstheme="minorHAnsi"/>
          <w:lang w:val="en-US"/>
        </w:rPr>
        <w:t>Nabera,</w:t>
      </w:r>
      <w:r w:rsidRPr="00090B32">
        <w:rPr>
          <w:rFonts w:cstheme="minorHAnsi"/>
          <w:vertAlign w:val="superscript"/>
          <w:lang w:val="en-US"/>
        </w:rPr>
        <w:t>a</w:t>
      </w:r>
      <w:proofErr w:type="gramEnd"/>
      <w:r w:rsidRPr="00090B32">
        <w:rPr>
          <w:rFonts w:cstheme="minorHAnsi"/>
          <w:lang w:val="en-US"/>
        </w:rPr>
        <w:t xml:space="preserve"> Ioan</w:t>
      </w:r>
      <w:r w:rsidRPr="00090B32">
        <w:rPr>
          <w:rFonts w:cstheme="minorHAnsi"/>
          <w:lang w:val="en-US"/>
        </w:rPr>
        <w:noBreakHyphen/>
        <w:t>Robert Istrate,</w:t>
      </w:r>
      <w:r w:rsidRPr="00090B32">
        <w:rPr>
          <w:rFonts w:cstheme="minorHAnsi"/>
          <w:vertAlign w:val="superscript"/>
          <w:lang w:val="en-US"/>
        </w:rPr>
        <w:t>b</w:t>
      </w:r>
      <w:r w:rsidRPr="00090B32">
        <w:rPr>
          <w:rFonts w:cstheme="minorHAnsi"/>
          <w:lang w:val="en-US"/>
        </w:rPr>
        <w:t xml:space="preserve"> Antonio José Martín,</w:t>
      </w:r>
      <w:r w:rsidRPr="00090B32">
        <w:rPr>
          <w:rFonts w:cstheme="minorHAnsi"/>
          <w:vertAlign w:val="superscript"/>
          <w:lang w:val="en-US"/>
        </w:rPr>
        <w:t>a</w:t>
      </w:r>
      <w:r w:rsidRPr="00090B32">
        <w:rPr>
          <w:rFonts w:cstheme="minorHAnsi"/>
          <w:lang w:val="en-US"/>
        </w:rPr>
        <w:t xml:space="preserve"> Javier Pérez-Ramírez,</w:t>
      </w:r>
      <w:r w:rsidRPr="00090B32">
        <w:rPr>
          <w:rFonts w:cstheme="minorHAnsi"/>
          <w:vertAlign w:val="superscript"/>
          <w:lang w:val="en-US"/>
        </w:rPr>
        <w:t>a</w:t>
      </w:r>
      <w:r>
        <w:rPr>
          <w:rFonts w:cstheme="minorHAnsi"/>
          <w:vertAlign w:val="superscript"/>
          <w:lang w:val="en-US"/>
        </w:rPr>
        <w:t>,*</w:t>
      </w:r>
      <w:r w:rsidRPr="00090B32">
        <w:rPr>
          <w:rFonts w:cstheme="minorHAnsi"/>
          <w:lang w:val="en-US"/>
        </w:rPr>
        <w:t xml:space="preserve"> Gonzalo Guillén-Gosálbez</w:t>
      </w:r>
      <w:r w:rsidRPr="00090B32">
        <w:rPr>
          <w:rFonts w:cstheme="minorHAnsi"/>
          <w:vertAlign w:val="superscript"/>
          <w:lang w:val="en-US"/>
        </w:rPr>
        <w:t>a,*</w:t>
      </w:r>
    </w:p>
    <w:p w:rsidR="00CF6D2D" w:rsidRPr="00090B32" w:rsidRDefault="00CF6D2D" w:rsidP="00CF6D2D">
      <w:pPr>
        <w:pStyle w:val="NoSpacing"/>
        <w:rPr>
          <w:rFonts w:asciiTheme="minorHAnsi" w:hAnsiTheme="minorHAnsi" w:cstheme="minorHAnsi"/>
          <w:i/>
          <w:lang w:val="en-US"/>
        </w:rPr>
      </w:pPr>
      <w:r w:rsidRPr="00090B32">
        <w:rPr>
          <w:rFonts w:asciiTheme="minorHAnsi" w:hAnsiTheme="minorHAnsi" w:cstheme="minorHAnsi"/>
          <w:i/>
          <w:vertAlign w:val="superscript"/>
          <w:lang w:val="en-US"/>
        </w:rPr>
        <w:t>a</w:t>
      </w:r>
      <w:r w:rsidRPr="00090B32">
        <w:rPr>
          <w:rFonts w:asciiTheme="minorHAnsi" w:hAnsiTheme="minorHAnsi" w:cstheme="minorHAnsi"/>
          <w:i/>
          <w:lang w:val="en-US"/>
        </w:rPr>
        <w:t>Institute for Chemical and Bioengineering, Department of Chemistry and Applied Biosciences, ETH Zurich, Vladimir-Prelog-Weg 1, 8093 Zurich, Switzerland</w:t>
      </w:r>
    </w:p>
    <w:p w:rsidR="00CF6D2D" w:rsidRPr="00090B32" w:rsidRDefault="00CF6D2D" w:rsidP="00CF6D2D">
      <w:pPr>
        <w:pStyle w:val="NoSpacing"/>
        <w:rPr>
          <w:rFonts w:asciiTheme="minorHAnsi" w:hAnsiTheme="minorHAnsi" w:cstheme="minorHAnsi"/>
          <w:i/>
          <w:lang w:val="en-US"/>
        </w:rPr>
      </w:pPr>
      <w:r w:rsidRPr="00090B32">
        <w:rPr>
          <w:rFonts w:asciiTheme="minorHAnsi" w:hAnsiTheme="minorHAnsi" w:cstheme="minorHAnsi"/>
          <w:i/>
          <w:vertAlign w:val="superscript"/>
          <w:lang w:val="en-US"/>
        </w:rPr>
        <w:t>b</w:t>
      </w:r>
      <w:r w:rsidRPr="00090B32">
        <w:rPr>
          <w:rFonts w:asciiTheme="minorHAnsi" w:hAnsiTheme="minorHAnsi" w:cstheme="minorHAnsi"/>
          <w:i/>
          <w:lang w:val="en-US"/>
        </w:rPr>
        <w:t>Institute of Environmental Sciences (CML), Leiden University, Einsteinweg 2, 2333 CC Leiden, The Netherlands</w:t>
      </w:r>
    </w:p>
    <w:p w:rsidR="00CF6D2D" w:rsidRPr="00090B32" w:rsidRDefault="00CF6D2D" w:rsidP="00CF6D2D">
      <w:pPr>
        <w:pStyle w:val="NoSpacing"/>
        <w:rPr>
          <w:rFonts w:asciiTheme="minorHAnsi" w:hAnsiTheme="minorHAnsi" w:cstheme="minorHAnsi"/>
          <w:lang w:val="en-US"/>
        </w:rPr>
      </w:pPr>
      <w:r w:rsidRPr="00090B32">
        <w:rPr>
          <w:rFonts w:asciiTheme="minorHAnsi" w:hAnsiTheme="minorHAnsi" w:cstheme="minorHAnsi"/>
          <w:vertAlign w:val="superscript"/>
          <w:lang w:val="en-US"/>
        </w:rPr>
        <w:t>*</w:t>
      </w:r>
      <w:hyperlink r:id="rId4" w:history="1">
        <w:r w:rsidRPr="002D552F">
          <w:rPr>
            <w:rStyle w:val="Hyperlink"/>
            <w:rFonts w:asciiTheme="minorHAnsi" w:hAnsiTheme="minorHAnsi" w:cstheme="minorHAnsi"/>
            <w:i/>
            <w:lang w:val="en-US"/>
          </w:rPr>
          <w:t>jpr@chem.ethz.ch, gonzalo.guillen.gosalbez@chem.ethz.ch</w:t>
        </w:r>
      </w:hyperlink>
    </w:p>
    <w:p w:rsidR="00CF6D2D" w:rsidRPr="00090B32" w:rsidRDefault="00CF6D2D" w:rsidP="00CF6D2D">
      <w:pPr>
        <w:pStyle w:val="Els-Abstract"/>
        <w:jc w:val="left"/>
      </w:pPr>
      <w:r w:rsidRPr="00090B32">
        <w:t>Abstract</w:t>
      </w:r>
    </w:p>
    <w:p w:rsidR="00CF6D2D" w:rsidRDefault="00CF6D2D" w:rsidP="00CF6D2D">
      <w:pPr>
        <w:spacing w:after="0" w:line="276" w:lineRule="auto"/>
        <w:jc w:val="both"/>
        <w:rPr>
          <w:rFonts w:cstheme="minorHAnsi"/>
          <w:sz w:val="20"/>
          <w:szCs w:val="20"/>
          <w:lang w:val="en-US"/>
        </w:rPr>
      </w:pPr>
      <w:r w:rsidRPr="00090B32">
        <w:rPr>
          <w:rFonts w:cstheme="minorHAnsi"/>
          <w:sz w:val="20"/>
          <w:szCs w:val="20"/>
          <w:lang w:val="en-US"/>
        </w:rPr>
        <w:t>Platform chemicals, such as ammonia, and methanol, serve as critic</w:t>
      </w:r>
      <w:bookmarkStart w:id="0" w:name="_GoBack"/>
      <w:bookmarkEnd w:id="0"/>
      <w:r w:rsidRPr="00090B32">
        <w:rPr>
          <w:rFonts w:cstheme="minorHAnsi"/>
          <w:sz w:val="20"/>
          <w:szCs w:val="20"/>
          <w:lang w:val="en-US"/>
        </w:rPr>
        <w:t>al building blocks for a wide range of industries, playing an important role in modern societies. However, the</w:t>
      </w:r>
      <w:r>
        <w:rPr>
          <w:rFonts w:cstheme="minorHAnsi"/>
          <w:sz w:val="20"/>
          <w:szCs w:val="20"/>
          <w:lang w:val="en-US"/>
        </w:rPr>
        <w:t>ir</w:t>
      </w:r>
      <w:r w:rsidRPr="00090B32">
        <w:rPr>
          <w:rFonts w:cstheme="minorHAnsi"/>
          <w:sz w:val="20"/>
          <w:szCs w:val="20"/>
          <w:lang w:val="en-US"/>
        </w:rPr>
        <w:t xml:space="preserve"> traditional production pathways have heavily relied on </w:t>
      </w:r>
      <w:r>
        <w:rPr>
          <w:rFonts w:cstheme="minorHAnsi"/>
          <w:sz w:val="20"/>
          <w:szCs w:val="20"/>
          <w:lang w:val="en-US"/>
        </w:rPr>
        <w:t>fossil carbon (</w:t>
      </w:r>
      <w:r w:rsidRPr="00CF6D2D">
        <w:rPr>
          <w:rFonts w:cstheme="minorHAnsi"/>
          <w:i/>
          <w:sz w:val="20"/>
          <w:szCs w:val="20"/>
          <w:lang w:val="en-US"/>
        </w:rPr>
        <w:t>i.e.</w:t>
      </w:r>
      <w:r>
        <w:rPr>
          <w:rFonts w:cstheme="minorHAnsi"/>
          <w:sz w:val="20"/>
          <w:szCs w:val="20"/>
          <w:lang w:val="en-US"/>
        </w:rPr>
        <w:t>, natural gas)</w:t>
      </w:r>
      <w:r w:rsidRPr="00090B32">
        <w:rPr>
          <w:rFonts w:cstheme="minorHAnsi"/>
          <w:sz w:val="20"/>
          <w:szCs w:val="20"/>
          <w:lang w:val="en-US"/>
        </w:rPr>
        <w:t>, contributing significantly to CO</w:t>
      </w:r>
      <w:r w:rsidRPr="00090B32">
        <w:rPr>
          <w:rFonts w:cstheme="minorHAnsi"/>
          <w:sz w:val="20"/>
          <w:szCs w:val="20"/>
          <w:vertAlign w:val="subscript"/>
          <w:lang w:val="en-US"/>
        </w:rPr>
        <w:t>2</w:t>
      </w:r>
      <w:r w:rsidRPr="00090B32">
        <w:rPr>
          <w:rFonts w:cstheme="minorHAnsi"/>
          <w:sz w:val="20"/>
          <w:szCs w:val="20"/>
          <w:lang w:val="en-US"/>
        </w:rPr>
        <w:t xml:space="preserve"> emissions. Alternatively, green</w:t>
      </w:r>
      <w:r>
        <w:rPr>
          <w:rFonts w:cstheme="minorHAnsi"/>
          <w:sz w:val="20"/>
          <w:szCs w:val="20"/>
          <w:lang w:val="en-US"/>
        </w:rPr>
        <w:t>er</w:t>
      </w:r>
      <w:r w:rsidRPr="00090B32">
        <w:rPr>
          <w:rFonts w:cstheme="minorHAnsi"/>
          <w:sz w:val="20"/>
          <w:szCs w:val="20"/>
          <w:lang w:val="en-US"/>
        </w:rPr>
        <w:t xml:space="preserve"> production routes for ammonia and methanol</w:t>
      </w:r>
      <w:r>
        <w:rPr>
          <w:rFonts w:cstheme="minorHAnsi"/>
          <w:sz w:val="20"/>
          <w:szCs w:val="20"/>
          <w:lang w:val="en-US"/>
        </w:rPr>
        <w:t xml:space="preserve"> based on green H</w:t>
      </w:r>
      <w:r w:rsidRPr="005B0CA0">
        <w:rPr>
          <w:rFonts w:cstheme="minorHAnsi"/>
          <w:sz w:val="20"/>
          <w:szCs w:val="20"/>
          <w:vertAlign w:val="subscript"/>
          <w:lang w:val="en-US"/>
        </w:rPr>
        <w:t>2</w:t>
      </w:r>
      <w:r w:rsidRPr="00090B32">
        <w:rPr>
          <w:rFonts w:cstheme="minorHAnsi"/>
          <w:sz w:val="20"/>
          <w:szCs w:val="20"/>
          <w:lang w:val="en-US"/>
        </w:rPr>
        <w:t xml:space="preserve"> have been </w:t>
      </w:r>
      <w:r>
        <w:rPr>
          <w:rFonts w:cstheme="minorHAnsi"/>
          <w:sz w:val="20"/>
          <w:szCs w:val="20"/>
          <w:lang w:val="en-US"/>
        </w:rPr>
        <w:t xml:space="preserve">put forward more recently, whose environmental performance has been quantified </w:t>
      </w:r>
      <w:r w:rsidRPr="005B0CA0">
        <w:rPr>
          <w:rFonts w:cstheme="minorHAnsi"/>
          <w:i/>
          <w:iCs/>
          <w:sz w:val="20"/>
          <w:szCs w:val="20"/>
          <w:lang w:val="en-US"/>
        </w:rPr>
        <w:t>via</w:t>
      </w:r>
      <w:r>
        <w:rPr>
          <w:rFonts w:cstheme="minorHAnsi"/>
          <w:sz w:val="20"/>
          <w:szCs w:val="20"/>
          <w:lang w:val="en-US"/>
        </w:rPr>
        <w:t xml:space="preserve"> life cycle assessment (LCA) studies. In these LCAs, a process model is developed to quantify the mass and energy flows of the main plant (foreground system). This information is then combined with life cycle emissions data connected to these materials and energy inputs and based on a myriad of technologies across the corresponding chemical supply chains (</w:t>
      </w:r>
      <w:r w:rsidRPr="00CF6D2D">
        <w:rPr>
          <w:rFonts w:cstheme="minorHAnsi"/>
          <w:i/>
          <w:sz w:val="20"/>
          <w:szCs w:val="20"/>
          <w:lang w:val="en-US"/>
        </w:rPr>
        <w:t>i.e.</w:t>
      </w:r>
      <w:r>
        <w:rPr>
          <w:rFonts w:cstheme="minorHAnsi"/>
          <w:sz w:val="20"/>
          <w:szCs w:val="20"/>
          <w:lang w:val="en-US"/>
        </w:rPr>
        <w:t>, background system)</w:t>
      </w:r>
      <w:r w:rsidRPr="00090B32">
        <w:rPr>
          <w:rFonts w:cstheme="minorHAnsi"/>
          <w:sz w:val="20"/>
          <w:szCs w:val="20"/>
          <w:lang w:val="en-US"/>
        </w:rPr>
        <w:t>.</w:t>
      </w:r>
      <w:r>
        <w:rPr>
          <w:rFonts w:cstheme="minorHAnsi"/>
          <w:sz w:val="20"/>
          <w:szCs w:val="20"/>
          <w:lang w:val="en-US"/>
        </w:rPr>
        <w:t xml:space="preserve"> It is common practice in the LCA of chemicals to evaluate technologies assuming a fixed background system (</w:t>
      </w:r>
      <w:r w:rsidRPr="00CF6D2D">
        <w:rPr>
          <w:rFonts w:cstheme="minorHAnsi"/>
          <w:i/>
          <w:sz w:val="20"/>
          <w:szCs w:val="20"/>
          <w:lang w:val="en-US"/>
        </w:rPr>
        <w:t>i.e.</w:t>
      </w:r>
      <w:r>
        <w:rPr>
          <w:rFonts w:cstheme="minorHAnsi"/>
          <w:sz w:val="20"/>
          <w:szCs w:val="20"/>
          <w:lang w:val="en-US"/>
        </w:rPr>
        <w:t xml:space="preserve">, set of technologies providing inputs to the chemical plants), which reflects the current state of the techno-sphere. However, meeting climate goals will require a profound transformation of the economy, including the decarbonization of energy production and transportation, which will likely have strong implications in all industrial systems. Omitting these future technological changes when evaluating the environmental footprint of chemicals could lead to spurious conclusions and wrong advice. </w:t>
      </w:r>
    </w:p>
    <w:p w:rsidR="00CF6D2D" w:rsidRDefault="00CF6D2D" w:rsidP="00CF6D2D">
      <w:pPr>
        <w:spacing w:after="0" w:line="276" w:lineRule="auto"/>
        <w:jc w:val="both"/>
        <w:rPr>
          <w:rFonts w:cstheme="minorHAnsi"/>
          <w:sz w:val="20"/>
          <w:szCs w:val="20"/>
          <w:lang w:val="en-US"/>
        </w:rPr>
      </w:pPr>
      <w:r>
        <w:rPr>
          <w:rFonts w:cstheme="minorHAnsi"/>
          <w:sz w:val="20"/>
          <w:szCs w:val="20"/>
          <w:lang w:val="en-US"/>
        </w:rPr>
        <w:tab/>
        <w:t xml:space="preserve">Here we investigate the extent to which future economic trends could affect the environmental impact of emerging chemical routes. To this end, we quantify the environmental impact of fossil and green ammonia and methanol under future projections of the economy derived with an Integrated Assessment Model (IAM). Integrated assessment models like IMAGE comprehensively capture interactions among society, the biosphere, and the climate system, enabling an assessment of </w:t>
      </w:r>
      <w:r w:rsidRPr="00156BA1">
        <w:rPr>
          <w:rFonts w:cstheme="minorHAnsi"/>
          <w:sz w:val="20"/>
          <w:szCs w:val="20"/>
          <w:lang w:val="en-US"/>
        </w:rPr>
        <w:t>current and future global environmental impacts</w:t>
      </w:r>
      <w:r>
        <w:rPr>
          <w:rFonts w:cstheme="minorHAnsi"/>
          <w:sz w:val="20"/>
          <w:szCs w:val="20"/>
          <w:lang w:val="en-US"/>
        </w:rPr>
        <w:t xml:space="preserve"> based on expected socio-economic and technological trends</w:t>
      </w:r>
      <w:r w:rsidRPr="00156BA1">
        <w:rPr>
          <w:rFonts w:cstheme="minorHAnsi"/>
          <w:sz w:val="20"/>
          <w:szCs w:val="20"/>
          <w:lang w:val="en-US"/>
        </w:rPr>
        <w:t xml:space="preserve">. IMAGE projects different shared socioeconomic pathways (SSPs) </w:t>
      </w:r>
      <w:r>
        <w:rPr>
          <w:rFonts w:cstheme="minorHAnsi"/>
          <w:sz w:val="20"/>
          <w:szCs w:val="20"/>
          <w:lang w:val="en-US"/>
        </w:rPr>
        <w:t>that</w:t>
      </w:r>
      <w:r w:rsidRPr="00156BA1">
        <w:rPr>
          <w:rFonts w:cstheme="minorHAnsi"/>
          <w:sz w:val="20"/>
          <w:szCs w:val="20"/>
          <w:lang w:val="en-US"/>
        </w:rPr>
        <w:t xml:space="preserve"> range from sustainability (SSP1) to fossil</w:t>
      </w:r>
      <w:r w:rsidRPr="00156BA1">
        <w:rPr>
          <w:rFonts w:cstheme="minorHAnsi"/>
          <w:sz w:val="20"/>
          <w:szCs w:val="20"/>
          <w:lang w:val="en-US"/>
        </w:rPr>
        <w:noBreakHyphen/>
        <w:t>fuel</w:t>
      </w:r>
      <w:r w:rsidRPr="00156BA1">
        <w:rPr>
          <w:rFonts w:cstheme="minorHAnsi"/>
          <w:sz w:val="20"/>
          <w:szCs w:val="20"/>
          <w:lang w:val="en-US"/>
        </w:rPr>
        <w:noBreakHyphen/>
        <w:t xml:space="preserve">based development (SSP5). </w:t>
      </w:r>
      <w:r>
        <w:rPr>
          <w:rFonts w:cstheme="minorHAnsi"/>
          <w:sz w:val="20"/>
          <w:szCs w:val="20"/>
          <w:lang w:val="en-US"/>
        </w:rPr>
        <w:t>Specifically, i</w:t>
      </w:r>
      <w:r w:rsidRPr="00156BA1">
        <w:rPr>
          <w:rFonts w:cstheme="minorHAnsi"/>
          <w:sz w:val="20"/>
          <w:szCs w:val="20"/>
          <w:lang w:val="en-US"/>
        </w:rPr>
        <w:t xml:space="preserve">n this work, we </w:t>
      </w:r>
      <w:r>
        <w:rPr>
          <w:rFonts w:cstheme="minorHAnsi"/>
          <w:sz w:val="20"/>
          <w:szCs w:val="20"/>
          <w:lang w:val="en-US"/>
        </w:rPr>
        <w:t>adopt</w:t>
      </w:r>
      <w:r w:rsidRPr="00156BA1">
        <w:rPr>
          <w:rFonts w:cstheme="minorHAnsi"/>
          <w:sz w:val="20"/>
          <w:szCs w:val="20"/>
          <w:lang w:val="en-US"/>
        </w:rPr>
        <w:t xml:space="preserve"> the middle</w:t>
      </w:r>
      <w:r w:rsidRPr="00156BA1">
        <w:rPr>
          <w:rFonts w:cstheme="minorHAnsi"/>
          <w:sz w:val="20"/>
          <w:szCs w:val="20"/>
          <w:lang w:val="en-US"/>
        </w:rPr>
        <w:noBreakHyphen/>
        <w:t>of</w:t>
      </w:r>
      <w:r w:rsidRPr="00156BA1">
        <w:rPr>
          <w:rFonts w:cstheme="minorHAnsi"/>
          <w:sz w:val="20"/>
          <w:szCs w:val="20"/>
          <w:lang w:val="en-US"/>
        </w:rPr>
        <w:noBreakHyphen/>
        <w:t>the</w:t>
      </w:r>
      <w:r w:rsidRPr="00156BA1">
        <w:rPr>
          <w:rFonts w:cstheme="minorHAnsi"/>
          <w:sz w:val="20"/>
          <w:szCs w:val="20"/>
          <w:lang w:val="en-US"/>
        </w:rPr>
        <w:noBreakHyphen/>
        <w:t>road pathway (SSP2)</w:t>
      </w:r>
      <w:r>
        <w:rPr>
          <w:rFonts w:cstheme="minorHAnsi"/>
          <w:sz w:val="20"/>
          <w:szCs w:val="20"/>
          <w:lang w:val="en-US"/>
        </w:rPr>
        <w:t xml:space="preserve"> to perform our calculations</w:t>
      </w:r>
      <w:r w:rsidRPr="00156BA1">
        <w:rPr>
          <w:rFonts w:cstheme="minorHAnsi"/>
          <w:sz w:val="20"/>
          <w:szCs w:val="20"/>
          <w:lang w:val="en-US"/>
        </w:rPr>
        <w:t xml:space="preserve">. In parallel, IMAGE also </w:t>
      </w:r>
      <w:r>
        <w:rPr>
          <w:rFonts w:cstheme="minorHAnsi"/>
          <w:sz w:val="20"/>
          <w:szCs w:val="20"/>
          <w:lang w:val="en-US"/>
        </w:rPr>
        <w:t>projects</w:t>
      </w:r>
      <w:r w:rsidRPr="00156BA1">
        <w:rPr>
          <w:rFonts w:cstheme="minorHAnsi"/>
          <w:sz w:val="20"/>
          <w:szCs w:val="20"/>
          <w:lang w:val="en-US"/>
        </w:rPr>
        <w:t xml:space="preserve"> different representative concentration pathways (RCPs). </w:t>
      </w:r>
      <w:r>
        <w:rPr>
          <w:rFonts w:cstheme="minorHAnsi"/>
          <w:sz w:val="20"/>
          <w:szCs w:val="20"/>
          <w:lang w:val="en-US"/>
        </w:rPr>
        <w:t>Specifically,</w:t>
      </w:r>
      <w:r w:rsidRPr="00156BA1">
        <w:rPr>
          <w:rFonts w:cstheme="minorHAnsi"/>
          <w:sz w:val="20"/>
          <w:szCs w:val="20"/>
          <w:lang w:val="en-US"/>
        </w:rPr>
        <w:t xml:space="preserve"> RCP6, RCP2.6, and RCP1.9</w:t>
      </w:r>
      <w:r>
        <w:rPr>
          <w:rFonts w:cstheme="minorHAnsi"/>
          <w:sz w:val="20"/>
          <w:szCs w:val="20"/>
          <w:lang w:val="en-US"/>
        </w:rPr>
        <w:t xml:space="preserve"> represent a</w:t>
      </w:r>
      <w:r w:rsidRPr="00156BA1">
        <w:rPr>
          <w:rFonts w:cstheme="minorHAnsi"/>
          <w:sz w:val="20"/>
          <w:szCs w:val="20"/>
          <w:lang w:val="en-US"/>
        </w:rPr>
        <w:t xml:space="preserve"> range of radiative forcing values in 2100. </w:t>
      </w:r>
      <w:r>
        <w:rPr>
          <w:rFonts w:cstheme="minorHAnsi"/>
          <w:sz w:val="20"/>
          <w:szCs w:val="20"/>
          <w:lang w:val="en-US"/>
        </w:rPr>
        <w:t xml:space="preserve">For instance, </w:t>
      </w:r>
      <w:r w:rsidRPr="00156BA1">
        <w:rPr>
          <w:rFonts w:cstheme="minorHAnsi"/>
          <w:sz w:val="20"/>
          <w:szCs w:val="20"/>
          <w:lang w:val="en-US"/>
        </w:rPr>
        <w:t>RCP6 is a pathway that limits global warming to below 3.5</w:t>
      </w:r>
      <w:r w:rsidRPr="00156BA1">
        <w:rPr>
          <w:sz w:val="20"/>
          <w:szCs w:val="20"/>
        </w:rPr>
        <w:t> °C</w:t>
      </w:r>
      <w:r>
        <w:rPr>
          <w:rFonts w:cstheme="minorHAnsi"/>
          <w:sz w:val="20"/>
          <w:szCs w:val="20"/>
          <w:lang w:val="en-US"/>
        </w:rPr>
        <w:t>, while</w:t>
      </w:r>
      <w:r w:rsidRPr="00156BA1">
        <w:rPr>
          <w:rFonts w:cstheme="minorHAnsi"/>
          <w:sz w:val="20"/>
          <w:szCs w:val="20"/>
          <w:lang w:val="en-US"/>
        </w:rPr>
        <w:t xml:space="preserve"> RCP2.6 and RCP1.9 </w:t>
      </w:r>
      <w:r>
        <w:rPr>
          <w:rFonts w:cstheme="minorHAnsi"/>
          <w:sz w:val="20"/>
          <w:szCs w:val="20"/>
          <w:lang w:val="en-US"/>
        </w:rPr>
        <w:t>aim to restrict</w:t>
      </w:r>
      <w:r w:rsidRPr="00156BA1">
        <w:rPr>
          <w:rFonts w:cstheme="minorHAnsi"/>
          <w:sz w:val="20"/>
          <w:szCs w:val="20"/>
          <w:lang w:val="en-US"/>
        </w:rPr>
        <w:t xml:space="preserve"> global warming to 2</w:t>
      </w:r>
      <w:r w:rsidRPr="00156BA1">
        <w:rPr>
          <w:sz w:val="20"/>
          <w:szCs w:val="20"/>
        </w:rPr>
        <w:t> °C</w:t>
      </w:r>
      <w:r w:rsidRPr="00156BA1">
        <w:rPr>
          <w:rFonts w:cstheme="minorHAnsi"/>
          <w:sz w:val="20"/>
          <w:szCs w:val="20"/>
          <w:lang w:val="en-US"/>
        </w:rPr>
        <w:t xml:space="preserve"> and 1.5</w:t>
      </w:r>
      <w:r w:rsidRPr="00156BA1">
        <w:rPr>
          <w:sz w:val="20"/>
          <w:szCs w:val="20"/>
        </w:rPr>
        <w:t> °C</w:t>
      </w:r>
      <w:r w:rsidRPr="00156BA1">
        <w:rPr>
          <w:rFonts w:cstheme="minorHAnsi"/>
          <w:sz w:val="20"/>
          <w:szCs w:val="20"/>
          <w:lang w:val="en-US"/>
        </w:rPr>
        <w:t>, respectively</w:t>
      </w:r>
      <w:r>
        <w:rPr>
          <w:rFonts w:cstheme="minorHAnsi"/>
          <w:sz w:val="20"/>
          <w:szCs w:val="20"/>
          <w:lang w:val="en-US"/>
        </w:rPr>
        <w:t xml:space="preserve"> </w:t>
      </w:r>
      <w:r>
        <w:rPr>
          <w:rFonts w:cstheme="minorHAnsi"/>
          <w:sz w:val="20"/>
          <w:szCs w:val="20"/>
          <w:lang w:val="en-US"/>
        </w:rPr>
        <w:fldChar w:fldCharType="begin"/>
      </w:r>
      <w:r>
        <w:rPr>
          <w:rFonts w:cstheme="minorHAnsi"/>
          <w:sz w:val="20"/>
          <w:szCs w:val="20"/>
          <w:lang w:val="en-US"/>
        </w:rPr>
        <w:instrText xml:space="preserve"> ADDIN ZOTERO_ITEM CSL_CITATION {"citationID":"ySYIuC7y","properties":{"formattedCitation":"(Sacchi et al., 2022)","plainCitation":"(Sacchi et al., 2022)","noteIndex":0},"citationItems":[{"id":289,"uris":["http://zotero.org/users/local/gMmtBwrT/items/2K4ECVXA"],"itemData":{"id":289,"type":"article-journal","abstract":"Prospective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Pr>
          <w:rFonts w:cstheme="minorHAnsi"/>
          <w:sz w:val="20"/>
          <w:szCs w:val="20"/>
          <w:lang w:val="en-US"/>
        </w:rPr>
        <w:fldChar w:fldCharType="separate"/>
      </w:r>
      <w:r w:rsidRPr="008648F2">
        <w:rPr>
          <w:rFonts w:ascii="Calibri" w:hAnsi="Calibri" w:cs="Calibri"/>
          <w:sz w:val="20"/>
        </w:rPr>
        <w:t xml:space="preserve">(Sacchi </w:t>
      </w:r>
      <w:r w:rsidRPr="008648F2">
        <w:rPr>
          <w:rFonts w:ascii="Calibri" w:hAnsi="Calibri" w:cs="Calibri"/>
          <w:i/>
          <w:sz w:val="20"/>
        </w:rPr>
        <w:t>et al</w:t>
      </w:r>
      <w:r w:rsidRPr="008648F2">
        <w:rPr>
          <w:rFonts w:ascii="Calibri" w:hAnsi="Calibri" w:cs="Calibri"/>
          <w:sz w:val="20"/>
        </w:rPr>
        <w:t>., 2022)</w:t>
      </w:r>
      <w:r>
        <w:rPr>
          <w:rFonts w:cstheme="minorHAnsi"/>
          <w:sz w:val="20"/>
          <w:szCs w:val="20"/>
          <w:lang w:val="en-US"/>
        </w:rPr>
        <w:fldChar w:fldCharType="end"/>
      </w:r>
      <w:r w:rsidRPr="00156BA1">
        <w:rPr>
          <w:rFonts w:cstheme="minorHAnsi"/>
          <w:sz w:val="20"/>
          <w:szCs w:val="20"/>
          <w:lang w:val="en-US"/>
        </w:rPr>
        <w:t>.</w:t>
      </w:r>
      <w:r>
        <w:rPr>
          <w:rFonts w:cstheme="minorHAnsi"/>
          <w:sz w:val="20"/>
          <w:szCs w:val="20"/>
          <w:lang w:val="en-US"/>
        </w:rPr>
        <w:t xml:space="preserve"> By combining SSPs with RCPs, a range of scenarios entailing specific changes in the economy can be generated and used to perform more accurate environmental assessments.</w:t>
      </w:r>
    </w:p>
    <w:p w:rsidR="00CF6D2D" w:rsidRPr="00316914" w:rsidRDefault="00CF6D2D" w:rsidP="00CF6D2D">
      <w:pPr>
        <w:spacing w:after="0" w:line="276" w:lineRule="auto"/>
        <w:ind w:firstLine="720"/>
        <w:jc w:val="both"/>
        <w:rPr>
          <w:rFonts w:cstheme="minorHAnsi"/>
          <w:sz w:val="20"/>
          <w:szCs w:val="20"/>
          <w:lang w:val="en-US"/>
        </w:rPr>
      </w:pPr>
      <w:r>
        <w:rPr>
          <w:rFonts w:cstheme="minorHAnsi"/>
          <w:sz w:val="20"/>
          <w:szCs w:val="20"/>
          <w:lang w:val="en-US"/>
        </w:rPr>
        <w:t xml:space="preserve">Following the approach outlined above, we employ the </w:t>
      </w:r>
      <w:r w:rsidRPr="0064384E">
        <w:rPr>
          <w:rFonts w:cstheme="minorHAnsi"/>
          <w:i/>
          <w:sz w:val="20"/>
          <w:szCs w:val="20"/>
          <w:lang w:val="en-US"/>
        </w:rPr>
        <w:t>premise</w:t>
      </w:r>
      <w:r>
        <w:rPr>
          <w:rFonts w:cstheme="minorHAnsi"/>
          <w:i/>
          <w:sz w:val="20"/>
          <w:szCs w:val="20"/>
          <w:lang w:val="en-US"/>
        </w:rPr>
        <w:t xml:space="preserve"> </w:t>
      </w:r>
      <w:r w:rsidRPr="0064384E">
        <w:rPr>
          <w:rFonts w:cstheme="minorHAnsi"/>
          <w:sz w:val="20"/>
          <w:szCs w:val="20"/>
          <w:lang w:val="en-US"/>
        </w:rPr>
        <w:t>(v1.5.9)</w:t>
      </w:r>
      <w:r>
        <w:rPr>
          <w:rFonts w:cstheme="minorHAnsi"/>
          <w:sz w:val="20"/>
          <w:szCs w:val="20"/>
          <w:lang w:val="en-US"/>
        </w:rPr>
        <w:t xml:space="preserve"> framework to model future background data consistent </w:t>
      </w:r>
      <w:r w:rsidRPr="00316914">
        <w:rPr>
          <w:rFonts w:cstheme="minorHAnsi"/>
          <w:sz w:val="20"/>
          <w:szCs w:val="20"/>
          <w:lang w:val="en-US"/>
        </w:rPr>
        <w:t xml:space="preserve">with the IMAGE results and utilize the </w:t>
      </w:r>
      <w:r w:rsidRPr="00316914">
        <w:rPr>
          <w:rFonts w:cstheme="minorHAnsi"/>
          <w:i/>
          <w:sz w:val="20"/>
          <w:szCs w:val="20"/>
          <w:lang w:val="en-US"/>
        </w:rPr>
        <w:t>Brightway2</w:t>
      </w:r>
      <w:r w:rsidRPr="00316914">
        <w:rPr>
          <w:rFonts w:cstheme="minorHAnsi"/>
          <w:sz w:val="20"/>
          <w:szCs w:val="20"/>
          <w:lang w:val="en-US"/>
        </w:rPr>
        <w:t xml:space="preserve"> (v2.4.3) tool to construct the necessary inventories for performing environmental impact assessments across different production pathways. Specifically, we conducted a prospective life cycle assessment (pLCA) spanning from 2020 to 2050, with 2020 as our baseline year of analysis. Furthermore, the temporal resolution for the production of these platform chemicals is extended to a regional analysis, thereby considering location</w:t>
      </w:r>
      <w:r w:rsidRPr="00316914">
        <w:rPr>
          <w:rFonts w:cstheme="minorHAnsi"/>
          <w:sz w:val="20"/>
          <w:szCs w:val="20"/>
          <w:lang w:val="en-US"/>
        </w:rPr>
        <w:noBreakHyphen/>
        <w:t xml:space="preserve">specific temporal profiles. We find that the carbon footprint of all chemicals declines over time due to the expected decarbonization of key sectors and that the gap in carbon intensity between the fossil and green routes will widen in the future. Overall, our findings offer a broader perspective on the environmental performance of various production routes, uncovering the true potential of fossil and renewable carbon-based chemicals under plausible future socio-economic and technological trends. </w:t>
      </w:r>
    </w:p>
    <w:p w:rsidR="00CF6D2D" w:rsidRPr="00316914" w:rsidRDefault="00CF6D2D" w:rsidP="00CF6D2D">
      <w:pPr>
        <w:spacing w:after="0" w:line="276" w:lineRule="auto"/>
        <w:ind w:firstLine="720"/>
        <w:jc w:val="both"/>
        <w:rPr>
          <w:rFonts w:cstheme="minorHAnsi"/>
          <w:sz w:val="20"/>
          <w:szCs w:val="20"/>
          <w:lang w:val="en-US"/>
        </w:rPr>
      </w:pPr>
    </w:p>
    <w:p w:rsidR="00CF6D2D" w:rsidRPr="00316914" w:rsidRDefault="00CF6D2D" w:rsidP="00CF6D2D">
      <w:pPr>
        <w:pStyle w:val="Els-body-text"/>
        <w:spacing w:line="276" w:lineRule="auto"/>
        <w:rPr>
          <w:rFonts w:asciiTheme="minorHAnsi" w:hAnsiTheme="minorHAnsi" w:cstheme="minorHAnsi"/>
        </w:rPr>
      </w:pPr>
      <w:r w:rsidRPr="00316914">
        <w:rPr>
          <w:rFonts w:asciiTheme="minorHAnsi" w:hAnsiTheme="minorHAnsi" w:cstheme="minorHAnsi"/>
          <w:b/>
          <w:bCs/>
        </w:rPr>
        <w:t>Keywords</w:t>
      </w:r>
      <w:r w:rsidRPr="00316914">
        <w:rPr>
          <w:rFonts w:asciiTheme="minorHAnsi" w:hAnsiTheme="minorHAnsi" w:cstheme="minorHAnsi"/>
        </w:rPr>
        <w:t>: prospective life cycle assessment, platform chemicals, integrated assessment models</w:t>
      </w:r>
    </w:p>
    <w:p w:rsidR="00CF6D2D" w:rsidRPr="00316914" w:rsidRDefault="00CF6D2D" w:rsidP="00CF6D2D">
      <w:pPr>
        <w:pStyle w:val="Els-reference-head"/>
        <w:rPr>
          <w:rFonts w:asciiTheme="minorHAnsi" w:hAnsiTheme="minorHAnsi" w:cstheme="minorHAnsi"/>
          <w:b w:val="0"/>
          <w:sz w:val="20"/>
          <w:szCs w:val="20"/>
        </w:rPr>
      </w:pPr>
      <w:r w:rsidRPr="00316914">
        <w:rPr>
          <w:rFonts w:asciiTheme="minorHAnsi" w:hAnsiTheme="minorHAnsi" w:cstheme="minorHAnsi"/>
          <w:sz w:val="20"/>
          <w:szCs w:val="20"/>
        </w:rPr>
        <w:t xml:space="preserve">Acknowledgments: </w:t>
      </w:r>
      <w:r w:rsidRPr="00316914">
        <w:rPr>
          <w:rFonts w:asciiTheme="minorHAnsi" w:hAnsiTheme="minorHAnsi" w:cstheme="minorHAnsi"/>
          <w:b w:val="0"/>
          <w:sz w:val="20"/>
          <w:szCs w:val="20"/>
        </w:rPr>
        <w:t>This work was created as a part of NCCR catalysis (grant number 180544), a National Centre of Competence in Research funded by the Swiss National Science Foundation.</w:t>
      </w:r>
    </w:p>
    <w:p w:rsidR="00CF6D2D" w:rsidRPr="00316914" w:rsidRDefault="00CF6D2D" w:rsidP="00CF6D2D">
      <w:pPr>
        <w:pStyle w:val="Els-reference-head"/>
        <w:rPr>
          <w:rFonts w:asciiTheme="minorHAnsi" w:hAnsiTheme="minorHAnsi" w:cstheme="minorHAnsi"/>
          <w:sz w:val="20"/>
          <w:szCs w:val="20"/>
        </w:rPr>
      </w:pPr>
      <w:r w:rsidRPr="00316914">
        <w:rPr>
          <w:rFonts w:asciiTheme="minorHAnsi" w:hAnsiTheme="minorHAnsi" w:cstheme="minorHAnsi"/>
          <w:sz w:val="20"/>
          <w:szCs w:val="20"/>
        </w:rPr>
        <w:t>References</w:t>
      </w:r>
    </w:p>
    <w:p w:rsidR="00CF6D2D" w:rsidRPr="00316914" w:rsidRDefault="00CF6D2D" w:rsidP="00CF6D2D">
      <w:pPr>
        <w:pStyle w:val="Bibliography"/>
        <w:jc w:val="both"/>
        <w:rPr>
          <w:sz w:val="20"/>
          <w:szCs w:val="20"/>
        </w:rPr>
      </w:pPr>
      <w:r w:rsidRPr="00316914">
        <w:rPr>
          <w:rFonts w:cstheme="minorHAnsi"/>
          <w:sz w:val="20"/>
          <w:szCs w:val="20"/>
          <w:lang w:val="en-US"/>
        </w:rPr>
        <w:fldChar w:fldCharType="begin"/>
      </w:r>
      <w:r w:rsidRPr="00316914">
        <w:rPr>
          <w:rFonts w:cstheme="minorHAnsi"/>
          <w:sz w:val="20"/>
          <w:szCs w:val="20"/>
          <w:lang w:val="en-US"/>
        </w:rPr>
        <w:instrText xml:space="preserve"> ADDIN ZOTERO_BIBL {"uncited":[],"omitted":[],"custom":[]} CSL_BIBLIOGRAPHY </w:instrText>
      </w:r>
      <w:r w:rsidRPr="00316914">
        <w:rPr>
          <w:rFonts w:cstheme="minorHAnsi"/>
          <w:sz w:val="20"/>
          <w:szCs w:val="20"/>
          <w:lang w:val="en-US"/>
        </w:rPr>
        <w:fldChar w:fldCharType="separate"/>
      </w:r>
      <w:r w:rsidRPr="00316914">
        <w:rPr>
          <w:rFonts w:ascii="Calibri" w:hAnsi="Calibri" w:cs="Calibri"/>
          <w:sz w:val="20"/>
          <w:szCs w:val="20"/>
        </w:rPr>
        <w:t>Sacchi, R., Terlouw, T., Siala, K., Dirnaichner, A., Bauer, C., Cox, B., Mutel, C., Daioglou, V., Luderer, G., 2022. PRospective EnvironMental Impact asSEment (premise): A streamlined approach to producing databases for prospective life cycle assessment using integrated assessment models. Renewable and Sustainable Energy Reviews 160, 112311. https://doi.org/10.1016/j.rser.2022.112311</w:t>
      </w:r>
      <w:r w:rsidRPr="00316914">
        <w:rPr>
          <w:rFonts w:cstheme="minorHAnsi"/>
          <w:sz w:val="20"/>
          <w:szCs w:val="20"/>
          <w:lang w:val="en-US"/>
        </w:rPr>
        <w:fldChar w:fldCharType="end"/>
      </w:r>
    </w:p>
    <w:sectPr w:rsidR="00CF6D2D" w:rsidRPr="00316914" w:rsidSect="007151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0MzYwMTGxNLMwMzRW0lEKTi0uzszPAykwqQUAt/SB8ywAAAA="/>
  </w:docVars>
  <w:rsids>
    <w:rsidRoot w:val="00CF6D2D"/>
    <w:rsid w:val="001942EA"/>
    <w:rsid w:val="00316914"/>
    <w:rsid w:val="007F4C25"/>
    <w:rsid w:val="009F09FA"/>
    <w:rsid w:val="00CB3285"/>
    <w:rsid w:val="00CF6D2D"/>
    <w:rsid w:val="00DB3EE6"/>
    <w:rsid w:val="00FA3D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D3AD3F-8293-45EF-BCB0-5F84ACF2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6D2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F6D2D"/>
    <w:pPr>
      <w:spacing w:after="0" w:line="240" w:lineRule="auto"/>
    </w:pPr>
    <w:rPr>
      <w:rFonts w:ascii="Times New Roman" w:eastAsia="Times New Roman" w:hAnsi="Times New Roman" w:cs="Times New Roman"/>
      <w:sz w:val="20"/>
      <w:szCs w:val="20"/>
    </w:rPr>
  </w:style>
  <w:style w:type="paragraph" w:customStyle="1" w:styleId="Els-Abstract">
    <w:name w:val="Els-Abstract"/>
    <w:basedOn w:val="Normal"/>
    <w:next w:val="Normal"/>
    <w:autoRedefine/>
    <w:rsid w:val="00CF6D2D"/>
    <w:pPr>
      <w:keepNext/>
      <w:suppressAutoHyphens/>
      <w:spacing w:before="240" w:after="60" w:line="240" w:lineRule="exact"/>
      <w:jc w:val="both"/>
    </w:pPr>
    <w:rPr>
      <w:rFonts w:eastAsia="Times New Roman" w:cstheme="minorHAnsi"/>
      <w:b/>
      <w:sz w:val="20"/>
      <w:szCs w:val="20"/>
      <w:lang w:val="en-US"/>
    </w:rPr>
  </w:style>
  <w:style w:type="paragraph" w:customStyle="1" w:styleId="Els-body-text">
    <w:name w:val="Els-body-text"/>
    <w:rsid w:val="00CF6D2D"/>
    <w:pPr>
      <w:spacing w:after="0" w:line="240" w:lineRule="auto"/>
      <w:jc w:val="both"/>
    </w:pPr>
    <w:rPr>
      <w:rFonts w:ascii="Times New Roman" w:eastAsia="Times New Roman" w:hAnsi="Times New Roman" w:cs="Times New Roman"/>
      <w:sz w:val="20"/>
      <w:szCs w:val="20"/>
      <w:lang w:val="en-US"/>
    </w:rPr>
  </w:style>
  <w:style w:type="paragraph" w:customStyle="1" w:styleId="Els-reference-head">
    <w:name w:val="Els-reference-head"/>
    <w:basedOn w:val="Els-body-text"/>
    <w:next w:val="Normal"/>
    <w:rsid w:val="00CF6D2D"/>
    <w:pPr>
      <w:keepNext/>
      <w:spacing w:before="240" w:after="60"/>
    </w:pPr>
    <w:rPr>
      <w:b/>
      <w:sz w:val="22"/>
      <w:szCs w:val="22"/>
    </w:rPr>
  </w:style>
  <w:style w:type="character" w:styleId="Hyperlink">
    <w:name w:val="Hyperlink"/>
    <w:basedOn w:val="DefaultParagraphFont"/>
    <w:uiPriority w:val="99"/>
    <w:unhideWhenUsed/>
    <w:rsid w:val="00CF6D2D"/>
    <w:rPr>
      <w:color w:val="0563C1" w:themeColor="hyperlink"/>
      <w:u w:val="single"/>
    </w:rPr>
  </w:style>
  <w:style w:type="paragraph" w:styleId="Bibliography">
    <w:name w:val="Bibliography"/>
    <w:basedOn w:val="Normal"/>
    <w:next w:val="Normal"/>
    <w:uiPriority w:val="37"/>
    <w:unhideWhenUsed/>
    <w:rsid w:val="00CF6D2D"/>
    <w:pPr>
      <w:spacing w:after="0" w:line="240" w:lineRule="auto"/>
      <w:ind w:left="720" w:hanging="720"/>
    </w:pPr>
  </w:style>
  <w:style w:type="character" w:styleId="UnresolvedMention">
    <w:name w:val="Unresolved Mention"/>
    <w:basedOn w:val="DefaultParagraphFont"/>
    <w:uiPriority w:val="99"/>
    <w:semiHidden/>
    <w:unhideWhenUsed/>
    <w:rsid w:val="00CF6D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pr@chem.ethz.ch,%20gonzalo.guillen.gosalbez@chem.ethz.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7</cp:revision>
  <cp:lastPrinted>2023-09-14T11:10:00Z</cp:lastPrinted>
  <dcterms:created xsi:type="dcterms:W3CDTF">2023-09-14T11:04:00Z</dcterms:created>
  <dcterms:modified xsi:type="dcterms:W3CDTF">2023-09-14T11:42:00Z</dcterms:modified>
</cp:coreProperties>
</file>