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3B63D9F9" w:rsidR="00614C56" w:rsidRPr="00CB61F4" w:rsidRDefault="00614C56" w:rsidP="00614C56">
      <w:pPr>
        <w:spacing w:before="60" w:after="60"/>
        <w:ind w:left="2124" w:firstLine="708"/>
        <w:jc w:val="right"/>
        <w:rPr>
          <w:rFonts w:ascii="Arial" w:hAnsi="Arial" w:cs="Arial"/>
          <w:b/>
        </w:rPr>
      </w:pPr>
      <w:bookmarkStart w:id="0" w:name="_Hlk128557527"/>
      <w:r w:rsidRPr="00CB61F4">
        <w:rPr>
          <w:rFonts w:ascii="Arial" w:hAnsi="Arial" w:cs="Arial"/>
        </w:rPr>
        <w:t xml:space="preserve">Zurich, </w:t>
      </w:r>
      <w:bookmarkStart w:id="1" w:name="inhalt"/>
      <w:bookmarkEnd w:id="1"/>
      <w:r w:rsidR="00A424B1">
        <w:rPr>
          <w:rFonts w:ascii="Arial" w:hAnsi="Arial" w:cs="Arial"/>
        </w:rPr>
        <w:t>26</w:t>
      </w:r>
      <w:r w:rsidR="00252144" w:rsidRPr="00CB61F4">
        <w:rPr>
          <w:rFonts w:ascii="Arial" w:hAnsi="Arial" w:cs="Arial"/>
        </w:rPr>
        <w:t>.</w:t>
      </w:r>
      <w:r w:rsidR="00A424B1">
        <w:rPr>
          <w:rFonts w:ascii="Arial" w:hAnsi="Arial" w:cs="Arial"/>
        </w:rPr>
        <w:t>11</w:t>
      </w:r>
      <w:r w:rsidR="00252144" w:rsidRPr="00CB61F4">
        <w:rPr>
          <w:rFonts w:ascii="Arial" w:hAnsi="Arial" w:cs="Arial"/>
        </w:rPr>
        <w:t>.2023</w:t>
      </w:r>
    </w:p>
    <w:p w14:paraId="0F59A6AC" w14:textId="79CB1078" w:rsidR="00614C56" w:rsidRPr="00CB61F4" w:rsidRDefault="00614C56" w:rsidP="00614C56">
      <w:pPr>
        <w:spacing w:before="60" w:after="60"/>
        <w:rPr>
          <w:rFonts w:ascii="Arial" w:hAnsi="Arial" w:cs="Arial"/>
          <w:b/>
        </w:rPr>
      </w:pPr>
      <w:r w:rsidRPr="00CB61F4">
        <w:rPr>
          <w:rFonts w:ascii="Arial" w:hAnsi="Arial" w:cs="Arial"/>
          <w:b/>
        </w:rPr>
        <w:t xml:space="preserve">Dr. </w:t>
      </w:r>
      <w:r w:rsidR="004071AD" w:rsidRPr="00CB61F4">
        <w:rPr>
          <w:rFonts w:ascii="Arial" w:hAnsi="Arial" w:cs="Arial"/>
          <w:b/>
        </w:rPr>
        <w:t xml:space="preserve">Michael Rowan </w:t>
      </w:r>
    </w:p>
    <w:p w14:paraId="7D5BCC87" w14:textId="0A753CDB" w:rsidR="00614C56" w:rsidRPr="00CB61F4" w:rsidRDefault="004071AD" w:rsidP="00614C56">
      <w:pPr>
        <w:spacing w:after="60"/>
        <w:rPr>
          <w:rFonts w:ascii="Arial" w:hAnsi="Arial" w:cs="Arial"/>
          <w:i/>
        </w:rPr>
      </w:pPr>
      <w:r w:rsidRPr="00CB61F4">
        <w:rPr>
          <w:rFonts w:ascii="Arial" w:hAnsi="Arial" w:cs="Arial"/>
        </w:rPr>
        <w:t xml:space="preserve">Executive </w:t>
      </w:r>
      <w:r w:rsidR="00614C56" w:rsidRPr="00CB61F4">
        <w:rPr>
          <w:rFonts w:ascii="Arial" w:hAnsi="Arial" w:cs="Arial"/>
        </w:rPr>
        <w:t>Editor</w:t>
      </w:r>
      <w:r w:rsidRPr="00CB61F4">
        <w:rPr>
          <w:rFonts w:ascii="Arial" w:hAnsi="Arial" w:cs="Arial"/>
        </w:rPr>
        <w:t>, Royal Society of Chemistry</w:t>
      </w:r>
    </w:p>
    <w:p w14:paraId="45C25226" w14:textId="77777777" w:rsidR="00614C56" w:rsidRPr="00CB61F4" w:rsidRDefault="00614C56" w:rsidP="00614C56">
      <w:pPr>
        <w:spacing w:after="60"/>
        <w:rPr>
          <w:rFonts w:ascii="Arial" w:hAnsi="Arial" w:cs="Arial"/>
        </w:rPr>
      </w:pPr>
    </w:p>
    <w:p w14:paraId="4AD6666D" w14:textId="77777777" w:rsidR="00614C56" w:rsidRPr="00CB61F4" w:rsidRDefault="00614C56" w:rsidP="00614C56">
      <w:pPr>
        <w:spacing w:after="60"/>
        <w:rPr>
          <w:rFonts w:ascii="Arial" w:hAnsi="Arial" w:cs="Arial"/>
        </w:rPr>
      </w:pPr>
      <w:r w:rsidRPr="00CB61F4">
        <w:rPr>
          <w:rFonts w:ascii="Arial" w:hAnsi="Arial" w:cs="Arial"/>
          <w:b/>
        </w:rPr>
        <w:t xml:space="preserve">Subject: </w:t>
      </w:r>
      <w:r w:rsidRPr="00CB61F4">
        <w:rPr>
          <w:rFonts w:ascii="Arial" w:hAnsi="Arial" w:cs="Arial"/>
        </w:rPr>
        <w:t>Manuscript submission</w:t>
      </w:r>
    </w:p>
    <w:p w14:paraId="1E244FA6" w14:textId="456E03C4" w:rsidR="00614C56" w:rsidRPr="00CB61F4" w:rsidRDefault="00614C56" w:rsidP="000A67E6">
      <w:pPr>
        <w:spacing w:before="240" w:after="80" w:line="288" w:lineRule="auto"/>
        <w:jc w:val="both"/>
        <w:rPr>
          <w:rFonts w:ascii="Arial" w:hAnsi="Arial" w:cs="Arial"/>
          <w:snapToGrid w:val="0"/>
          <w:color w:val="000000"/>
        </w:rPr>
      </w:pPr>
      <w:r w:rsidRPr="00CB61F4">
        <w:rPr>
          <w:rFonts w:ascii="Arial" w:hAnsi="Arial" w:cs="Arial"/>
          <w:snapToGrid w:val="0"/>
          <w:color w:val="000000"/>
        </w:rPr>
        <w:t xml:space="preserve">Dear Dr. </w:t>
      </w:r>
      <w:r w:rsidR="004071AD" w:rsidRPr="00CB61F4">
        <w:rPr>
          <w:rFonts w:ascii="Arial" w:hAnsi="Arial" w:cs="Arial"/>
          <w:snapToGrid w:val="0"/>
          <w:color w:val="000000"/>
        </w:rPr>
        <w:t>Rowan</w:t>
      </w:r>
      <w:r w:rsidRPr="00CB61F4">
        <w:rPr>
          <w:rFonts w:ascii="Arial" w:hAnsi="Arial" w:cs="Arial"/>
          <w:snapToGrid w:val="0"/>
          <w:color w:val="000000"/>
        </w:rPr>
        <w:t>,</w:t>
      </w:r>
    </w:p>
    <w:p w14:paraId="721043EE" w14:textId="4B104380" w:rsidR="000A67E6" w:rsidRPr="00CB61F4" w:rsidRDefault="000A67E6" w:rsidP="000A67E6">
      <w:pPr>
        <w:spacing w:before="120" w:after="120" w:line="264" w:lineRule="auto"/>
        <w:jc w:val="both"/>
        <w:rPr>
          <w:rFonts w:ascii="Arial" w:hAnsi="Arial" w:cs="Arial"/>
        </w:rPr>
      </w:pPr>
      <w:r w:rsidRPr="00CB61F4">
        <w:rPr>
          <w:rFonts w:ascii="Arial" w:hAnsi="Arial" w:cs="Arial"/>
        </w:rPr>
        <w:t xml:space="preserve">We are pleased to submit our </w:t>
      </w:r>
      <w:commentRangeStart w:id="2"/>
      <w:r w:rsidR="000D0C75">
        <w:rPr>
          <w:rFonts w:ascii="Arial" w:hAnsi="Arial" w:cs="Arial"/>
        </w:rPr>
        <w:t>article</w:t>
      </w:r>
      <w:commentRangeEnd w:id="2"/>
      <w:r w:rsidR="008718F3">
        <w:rPr>
          <w:rStyle w:val="CommentReference"/>
        </w:rPr>
        <w:commentReference w:id="2"/>
      </w:r>
      <w:r w:rsidRPr="00CB61F4">
        <w:rPr>
          <w:rFonts w:ascii="Arial" w:hAnsi="Arial" w:cs="Arial"/>
        </w:rPr>
        <w:t xml:space="preserve"> titled </w:t>
      </w:r>
      <w:r w:rsidRPr="00CB61F4">
        <w:rPr>
          <w:rFonts w:ascii="Arial" w:hAnsi="Arial" w:cs="Arial"/>
          <w:b/>
        </w:rPr>
        <w:t>“</w:t>
      </w:r>
      <w:r w:rsidR="003D755C">
        <w:rPr>
          <w:rFonts w:ascii="Arial" w:hAnsi="Arial" w:cs="Arial"/>
          <w:b/>
        </w:rPr>
        <w:t>The nexus of climate policies and environmental sustainability in platform chemical production</w:t>
      </w:r>
      <w:r w:rsidRPr="00CB61F4">
        <w:rPr>
          <w:rFonts w:ascii="Arial" w:hAnsi="Arial" w:cs="Arial"/>
          <w:b/>
        </w:rPr>
        <w:t xml:space="preserve">” </w:t>
      </w:r>
      <w:r w:rsidRPr="00CB61F4">
        <w:rPr>
          <w:rFonts w:ascii="Arial" w:hAnsi="Arial" w:cs="Arial"/>
        </w:rPr>
        <w:t>by A.</w:t>
      </w:r>
      <w:r w:rsidR="00A734EB" w:rsidRPr="00CB61F4">
        <w:rPr>
          <w:rFonts w:ascii="Arial" w:hAnsi="Arial" w:cs="Arial"/>
        </w:rPr>
        <w:t> </w:t>
      </w:r>
      <w:r w:rsidRPr="00CB61F4">
        <w:rPr>
          <w:rFonts w:ascii="Arial" w:hAnsi="Arial" w:cs="Arial"/>
        </w:rPr>
        <w:t>Nabera, R.</w:t>
      </w:r>
      <w:r w:rsidR="00A734EB" w:rsidRPr="00CB61F4">
        <w:rPr>
          <w:rFonts w:ascii="Arial" w:hAnsi="Arial" w:cs="Arial"/>
        </w:rPr>
        <w:t> </w:t>
      </w:r>
      <w:r w:rsidRPr="00CB61F4">
        <w:rPr>
          <w:rFonts w:ascii="Arial" w:hAnsi="Arial" w:cs="Arial"/>
        </w:rPr>
        <w:t>Istrate, A.J.</w:t>
      </w:r>
      <w:r w:rsidR="00A734EB" w:rsidRPr="00CB61F4">
        <w:rPr>
          <w:rFonts w:ascii="Arial" w:hAnsi="Arial" w:cs="Arial"/>
        </w:rPr>
        <w:t> </w:t>
      </w:r>
      <w:r w:rsidRPr="00CB61F4">
        <w:rPr>
          <w:rFonts w:ascii="Arial" w:hAnsi="Arial" w:cs="Arial"/>
        </w:rPr>
        <w:t>Mart</w:t>
      </w:r>
      <w:r w:rsidR="00C67C27" w:rsidRPr="00CB61F4">
        <w:rPr>
          <w:rFonts w:ascii="Arial" w:hAnsi="Arial" w:cs="Arial"/>
        </w:rPr>
        <w:t>í</w:t>
      </w:r>
      <w:r w:rsidRPr="00CB61F4">
        <w:rPr>
          <w:rFonts w:ascii="Arial" w:hAnsi="Arial" w:cs="Arial"/>
        </w:rPr>
        <w:t>n</w:t>
      </w:r>
      <w:r w:rsidR="005C0A15" w:rsidRPr="00CB61F4">
        <w:rPr>
          <w:rFonts w:ascii="Arial" w:hAnsi="Arial" w:cs="Arial"/>
        </w:rPr>
        <w:t xml:space="preserve">, </w:t>
      </w:r>
      <w:r w:rsidRPr="00CB61F4">
        <w:rPr>
          <w:rFonts w:ascii="Arial" w:hAnsi="Arial" w:cs="Arial"/>
        </w:rPr>
        <w:t>J.</w:t>
      </w:r>
      <w:r w:rsidR="00A734EB" w:rsidRPr="00CB61F4">
        <w:rPr>
          <w:rFonts w:ascii="Arial" w:hAnsi="Arial" w:cs="Arial"/>
        </w:rPr>
        <w:t> </w:t>
      </w:r>
      <w:r w:rsidRPr="00CB61F4">
        <w:rPr>
          <w:rFonts w:ascii="Arial" w:hAnsi="Arial" w:cs="Arial"/>
        </w:rPr>
        <w:t>Pérez</w:t>
      </w:r>
      <w:r w:rsidR="00763774">
        <w:rPr>
          <w:rFonts w:ascii="Arial" w:hAnsi="Arial" w:cs="Arial"/>
        </w:rPr>
        <w:noBreakHyphen/>
      </w:r>
      <w:r w:rsidRPr="00CB61F4">
        <w:rPr>
          <w:rFonts w:ascii="Arial" w:hAnsi="Arial" w:cs="Arial"/>
        </w:rPr>
        <w:t>Ramírez</w:t>
      </w:r>
      <w:r w:rsidR="00A7077B">
        <w:rPr>
          <w:rFonts w:ascii="Arial" w:hAnsi="Arial" w:cs="Arial"/>
        </w:rPr>
        <w:t xml:space="preserve">, </w:t>
      </w:r>
      <w:r w:rsidR="005C0A15" w:rsidRPr="00CB61F4">
        <w:rPr>
          <w:rFonts w:ascii="Arial" w:hAnsi="Arial" w:cs="Arial"/>
        </w:rPr>
        <w:t xml:space="preserve">and </w:t>
      </w:r>
      <w:r w:rsidR="00537984" w:rsidRPr="00CB61F4">
        <w:rPr>
          <w:rFonts w:ascii="Arial" w:eastAsia="Yu Mincho" w:hAnsi="Arial" w:cs="Arial"/>
          <w:bCs/>
          <w:color w:val="000000"/>
          <w:lang w:eastAsia="ja-JP"/>
        </w:rPr>
        <w:t>G. </w:t>
      </w:r>
      <w:r w:rsidR="00452198" w:rsidRPr="00CB61F4">
        <w:rPr>
          <w:rFonts w:ascii="Arial" w:eastAsia="Yu Mincho" w:hAnsi="Arial" w:cs="Arial"/>
          <w:bCs/>
          <w:color w:val="000000"/>
          <w:lang w:eastAsia="ja-JP"/>
        </w:rPr>
        <w:t>Guillén</w:t>
      </w:r>
      <w:r w:rsidR="00452198">
        <w:rPr>
          <w:rFonts w:ascii="Arial" w:eastAsia="Yu Mincho" w:hAnsi="Arial" w:cs="Arial"/>
          <w:bCs/>
          <w:color w:val="000000"/>
          <w:lang w:eastAsia="ja-JP"/>
        </w:rPr>
        <w:noBreakHyphen/>
      </w:r>
      <w:r w:rsidR="00452198" w:rsidRPr="00CB61F4">
        <w:rPr>
          <w:rFonts w:ascii="Arial" w:eastAsia="Yu Mincho" w:hAnsi="Arial" w:cs="Arial"/>
          <w:bCs/>
          <w:color w:val="000000"/>
          <w:lang w:eastAsia="ja-JP"/>
        </w:rPr>
        <w:t>Gosálbez</w:t>
      </w:r>
      <w:r w:rsidR="00537984" w:rsidRPr="00CB61F4">
        <w:rPr>
          <w:rFonts w:ascii="Arial" w:eastAsia="Yu Mincho" w:hAnsi="Arial" w:cs="Arial"/>
          <w:b/>
          <w:bCs/>
          <w:color w:val="000000"/>
          <w:lang w:eastAsia="ja-JP"/>
        </w:rPr>
        <w:t xml:space="preserve"> </w:t>
      </w:r>
      <w:r w:rsidRPr="00CB61F4">
        <w:rPr>
          <w:rFonts w:ascii="Arial" w:hAnsi="Arial" w:cs="Arial"/>
        </w:rPr>
        <w:t xml:space="preserve">for consideration in </w:t>
      </w:r>
      <w:r w:rsidRPr="00CB61F4">
        <w:rPr>
          <w:rFonts w:ascii="Arial" w:hAnsi="Arial" w:cs="Arial"/>
          <w:i/>
        </w:rPr>
        <w:t>Green Chemistry</w:t>
      </w:r>
      <w:r w:rsidRPr="00CB61F4">
        <w:rPr>
          <w:rFonts w:ascii="Arial" w:hAnsi="Arial" w:cs="Arial"/>
        </w:rPr>
        <w:t>.</w:t>
      </w:r>
      <w:r w:rsidR="009F42A9" w:rsidRPr="00CB61F4">
        <w:rPr>
          <w:rFonts w:ascii="Arial" w:hAnsi="Arial" w:cs="Arial"/>
        </w:rPr>
        <w:t xml:space="preserve"> </w:t>
      </w:r>
    </w:p>
    <w:p w14:paraId="7F3EED76" w14:textId="2A992B0F" w:rsidR="0032518B" w:rsidRDefault="00706A24" w:rsidP="00E411C9">
      <w:pPr>
        <w:spacing w:before="120" w:after="120" w:line="264" w:lineRule="auto"/>
        <w:jc w:val="both"/>
        <w:outlineLvl w:val="0"/>
        <w:rPr>
          <w:rFonts w:ascii="Arial" w:hAnsi="Arial" w:cs="Arial"/>
        </w:rPr>
      </w:pPr>
      <w:commentRangeStart w:id="3"/>
      <w:r>
        <w:rPr>
          <w:rFonts w:ascii="Arial" w:hAnsi="Arial" w:cs="Arial"/>
        </w:rPr>
        <w:t>The chemical industry faces a formidable challenge in decarbonisation due to its heavy reliance on fossil fuels, which results in 10% of global GHG emissions. In this context, the evolving technological landscape and the targets set by the Paris Agreement have led to the emergence of numerous climate policies. Key platform chemicals, such as hydrogen, ammonia, and methanol, have immense potential for reducing emissions due to their substantial production volumes and associated emissions. Low</w:t>
      </w:r>
      <w:r>
        <w:rPr>
          <w:rFonts w:ascii="Arial" w:hAnsi="Arial" w:cs="Arial"/>
        </w:rPr>
        <w:noBreakHyphen/>
        <w:t>carbon production routes for these chemicals are developing at a tremendous pace and have been extensively evaluate</w:t>
      </w:r>
      <w:r w:rsidR="008B1811">
        <w:rPr>
          <w:rFonts w:ascii="Arial" w:hAnsi="Arial" w:cs="Arial"/>
        </w:rPr>
        <w:t>d</w:t>
      </w:r>
      <w:r>
        <w:rPr>
          <w:rFonts w:ascii="Arial" w:hAnsi="Arial" w:cs="Arial"/>
        </w:rPr>
        <w:t xml:space="preserve"> through life cycle assessments (LCAs), consistently showing their environmental superiority compared to their fossil</w:t>
      </w:r>
      <w:r>
        <w:rPr>
          <w:rFonts w:ascii="Arial" w:hAnsi="Arial" w:cs="Arial"/>
        </w:rPr>
        <w:noBreakHyphen/>
        <w:t>based counterparts. However, most of these studies neglect to account for evolving impacts over time, overlooking the effect of decarbonisation in the energy system, transportation, and supply chains. As key sectors continue to decarbonise over time, the environmental footprint of chemical production routes will also diminish.</w:t>
      </w:r>
      <w:r w:rsidR="00225479">
        <w:rPr>
          <w:rFonts w:ascii="Arial" w:hAnsi="Arial" w:cs="Arial"/>
        </w:rPr>
        <w:t xml:space="preserve"> Moreover, the performance of each technology will evolve differentially, potentially making solutions currently considered suboptimal the best choice in the future. These results also show strong correlations with location, further emphasising the importance of integrating temporal and regional analyses.</w:t>
      </w:r>
      <w:commentRangeEnd w:id="3"/>
      <w:r w:rsidR="008718F3">
        <w:rPr>
          <w:rStyle w:val="CommentReference"/>
        </w:rPr>
        <w:commentReference w:id="3"/>
      </w:r>
    </w:p>
    <w:p w14:paraId="7294FD16" w14:textId="554509AD" w:rsidR="00E411C9" w:rsidRPr="00CB61F4" w:rsidRDefault="00DB0358" w:rsidP="00E411C9">
      <w:pPr>
        <w:spacing w:before="120" w:after="120" w:line="264" w:lineRule="auto"/>
        <w:jc w:val="both"/>
        <w:outlineLvl w:val="0"/>
        <w:rPr>
          <w:rFonts w:ascii="Arial" w:hAnsi="Arial" w:cs="Arial"/>
        </w:rPr>
      </w:pPr>
      <w:r>
        <w:rPr>
          <w:rFonts w:ascii="Arial" w:hAnsi="Arial" w:cs="Arial"/>
        </w:rPr>
        <w:t>Hence, in this study, we assess the environmental performance of fossil and green hydrogen, ammonia, and methanol production routes from 2020 to 2050 by performing a prospective LCA, considering projected decarbonisation in key sectors under different climate policy scenarios and locations worldwide. Our findings reveal that fossil</w:t>
      </w:r>
      <w:r>
        <w:rPr>
          <w:rFonts w:ascii="Arial" w:hAnsi="Arial" w:cs="Arial"/>
        </w:rPr>
        <w:noBreakHyphen/>
        <w:t xml:space="preserve">based routes are projected to exhibit marginal improvements in environmental impacts over time, with a maximum reduction potential of </w:t>
      </w:r>
      <w:r w:rsidR="008B1811">
        <w:rPr>
          <w:rFonts w:ascii="Arial" w:hAnsi="Arial" w:cs="Arial"/>
        </w:rPr>
        <w:t xml:space="preserve">only </w:t>
      </w:r>
      <w:r>
        <w:rPr>
          <w:rFonts w:ascii="Arial" w:hAnsi="Arial" w:cs="Arial"/>
        </w:rPr>
        <w:t xml:space="preserve">11% in climate change impacts by 2050, even under aggressive climate policies. </w:t>
      </w:r>
      <w:commentRangeStart w:id="4"/>
      <w:r w:rsidR="009A6471">
        <w:rPr>
          <w:rFonts w:ascii="Arial" w:hAnsi="Arial" w:cs="Arial"/>
        </w:rPr>
        <w:t>In contrast, t</w:t>
      </w:r>
      <w:r>
        <w:rPr>
          <w:rFonts w:ascii="Arial" w:hAnsi="Arial" w:cs="Arial"/>
        </w:rPr>
        <w:t>ransitioning to green pathways utilising solar and wind</w:t>
      </w:r>
      <w:r>
        <w:rPr>
          <w:rFonts w:ascii="Arial" w:hAnsi="Arial" w:cs="Arial"/>
        </w:rPr>
        <w:noBreakHyphen/>
        <w:t>based technologies is projected to show substantial reductions, particularly solar</w:t>
      </w:r>
      <w:r>
        <w:rPr>
          <w:rFonts w:ascii="Arial" w:hAnsi="Arial" w:cs="Arial"/>
        </w:rPr>
        <w:noBreakHyphen/>
        <w:t xml:space="preserve">based routes, potentially decreasing impacts by at least 50%. </w:t>
      </w:r>
      <w:r w:rsidR="00F92969">
        <w:rPr>
          <w:rFonts w:ascii="Arial" w:hAnsi="Arial" w:cs="Arial"/>
        </w:rPr>
        <w:t>We also consider impact categories beyond climate change, highlighting that in certain categories, green routes might have similar or higher impacts compared to their fossil</w:t>
      </w:r>
      <w:r w:rsidR="00F92969">
        <w:rPr>
          <w:rFonts w:ascii="Arial" w:hAnsi="Arial" w:cs="Arial"/>
        </w:rPr>
        <w:noBreakHyphen/>
        <w:t xml:space="preserve">based counterparts, underscoring the </w:t>
      </w:r>
      <w:r w:rsidR="0054519D">
        <w:rPr>
          <w:rFonts w:ascii="Arial" w:hAnsi="Arial" w:cs="Arial"/>
        </w:rPr>
        <w:t>disadvantages of considering climate change as a proxy for environmental performance. Additionally, our regional assessment emphasises how location</w:t>
      </w:r>
      <w:r w:rsidR="0054519D">
        <w:rPr>
          <w:rFonts w:ascii="Arial" w:hAnsi="Arial" w:cs="Arial"/>
        </w:rPr>
        <w:noBreakHyphen/>
        <w:t>based dynamics can significantly affect impact reduction, with local energy profiles playing a crucial role in green chemical production strategies.</w:t>
      </w:r>
      <w:commentRangeEnd w:id="4"/>
      <w:r w:rsidR="008718F3">
        <w:rPr>
          <w:rStyle w:val="CommentReference"/>
        </w:rPr>
        <w:commentReference w:id="4"/>
      </w:r>
    </w:p>
    <w:p w14:paraId="0114AF6F" w14:textId="6EE78814" w:rsidR="00025BBF" w:rsidRPr="00CB61F4" w:rsidRDefault="007F43A1" w:rsidP="00E411C9">
      <w:pPr>
        <w:spacing w:before="120" w:after="120" w:line="264" w:lineRule="auto"/>
        <w:jc w:val="both"/>
        <w:outlineLvl w:val="0"/>
        <w:rPr>
          <w:rFonts w:ascii="Arial" w:hAnsi="Arial" w:cs="Arial"/>
        </w:rPr>
      </w:pPr>
      <w:commentRangeStart w:id="5"/>
      <w:r>
        <w:rPr>
          <w:rFonts w:ascii="Arial" w:hAnsi="Arial" w:cs="Arial"/>
        </w:rPr>
        <w:t>Overall, our study underscores the importance of considering temporal and regional factors in evaluating environmental impacts</w:t>
      </w:r>
      <w:commentRangeEnd w:id="5"/>
      <w:r w:rsidR="008718F3">
        <w:rPr>
          <w:rStyle w:val="CommentReference"/>
        </w:rPr>
        <w:commentReference w:id="5"/>
      </w:r>
      <w:r>
        <w:rPr>
          <w:rFonts w:ascii="Arial" w:hAnsi="Arial" w:cs="Arial"/>
        </w:rPr>
        <w:t xml:space="preserve">. </w:t>
      </w:r>
      <w:commentRangeStart w:id="6"/>
      <w:r>
        <w:rPr>
          <w:rFonts w:ascii="Arial" w:hAnsi="Arial" w:cs="Arial"/>
        </w:rPr>
        <w:t xml:space="preserve">This work calls for extended collaborative efforts among stakeholders, including policymakers, investors, and academia, to make optimal decisions for the grand transition towards a </w:t>
      </w:r>
      <w:r w:rsidR="004B7E63">
        <w:rPr>
          <w:rFonts w:ascii="Arial" w:hAnsi="Arial" w:cs="Arial"/>
        </w:rPr>
        <w:t>sustainable</w:t>
      </w:r>
      <w:r>
        <w:rPr>
          <w:rFonts w:ascii="Arial" w:hAnsi="Arial" w:cs="Arial"/>
        </w:rPr>
        <w:t xml:space="preserve"> chemical industry</w:t>
      </w:r>
      <w:commentRangeEnd w:id="6"/>
      <w:r w:rsidR="000C4BFA">
        <w:rPr>
          <w:rStyle w:val="CommentReference"/>
        </w:rPr>
        <w:commentReference w:id="6"/>
      </w:r>
      <w:r>
        <w:rPr>
          <w:rFonts w:ascii="Arial" w:hAnsi="Arial" w:cs="Arial"/>
        </w:rPr>
        <w:t xml:space="preserve">. </w:t>
      </w:r>
      <w:r w:rsidR="0057717D">
        <w:rPr>
          <w:rFonts w:ascii="Arial" w:hAnsi="Arial" w:cs="Arial"/>
        </w:rPr>
        <w:t>Please find attached the manuscript, supplementary information, and table of content</w:t>
      </w:r>
      <w:r w:rsidR="005D242D">
        <w:rPr>
          <w:rFonts w:ascii="Arial" w:hAnsi="Arial" w:cs="Arial"/>
        </w:rPr>
        <w:t>s</w:t>
      </w:r>
      <w:r w:rsidR="0057717D">
        <w:rPr>
          <w:rFonts w:ascii="Arial" w:hAnsi="Arial" w:cs="Arial"/>
        </w:rPr>
        <w:t xml:space="preserve"> entry.</w:t>
      </w:r>
    </w:p>
    <w:p w14:paraId="47E65E32" w14:textId="5F2640C7" w:rsidR="0072423E" w:rsidRPr="00CB61F4" w:rsidRDefault="00DA4EF9" w:rsidP="000A67E6">
      <w:pPr>
        <w:spacing w:before="120" w:after="120" w:line="264" w:lineRule="auto"/>
        <w:jc w:val="both"/>
        <w:outlineLvl w:val="0"/>
        <w:rPr>
          <w:rFonts w:ascii="Arial" w:hAnsi="Arial" w:cs="Arial"/>
        </w:rPr>
      </w:pPr>
      <w:r w:rsidRPr="00CB61F4">
        <w:rPr>
          <w:rFonts w:ascii="Arial" w:hAnsi="Arial" w:cs="Arial"/>
        </w:rPr>
        <w:t>W</w:t>
      </w:r>
      <w:r w:rsidR="0072423E" w:rsidRPr="00CB61F4">
        <w:rPr>
          <w:rFonts w:ascii="Arial" w:hAnsi="Arial" w:cs="Arial"/>
        </w:rPr>
        <w:t>e look forward to hearing from you.</w:t>
      </w:r>
    </w:p>
    <w:p w14:paraId="014EF5E1" w14:textId="1EBCB131" w:rsidR="00614C56" w:rsidRPr="00CB61F4" w:rsidRDefault="00DC1436" w:rsidP="000A67E6">
      <w:pPr>
        <w:spacing w:before="120" w:after="120" w:line="264" w:lineRule="auto"/>
        <w:jc w:val="both"/>
        <w:outlineLvl w:val="0"/>
        <w:rPr>
          <w:rFonts w:ascii="Arial" w:hAnsi="Arial" w:cs="Arial"/>
        </w:rPr>
      </w:pPr>
      <w:r w:rsidRPr="00CB61F4">
        <w:rPr>
          <w:rFonts w:ascii="Arial" w:hAnsi="Arial" w:cs="Arial"/>
        </w:rPr>
        <w:t>Best wishes</w:t>
      </w:r>
      <w:r w:rsidR="00614C56" w:rsidRPr="00CB61F4">
        <w:rPr>
          <w:rFonts w:ascii="Arial" w:hAnsi="Arial" w:cs="Arial"/>
        </w:rPr>
        <w:t>,</w:t>
      </w:r>
    </w:p>
    <w:p w14:paraId="4D3B77D4" w14:textId="7B8BFC2F" w:rsidR="00614C56" w:rsidRPr="00CB61F4" w:rsidRDefault="00614C56" w:rsidP="00614C56">
      <w:pPr>
        <w:pStyle w:val="BriefBeilagen"/>
        <w:spacing w:before="120" w:line="264" w:lineRule="auto"/>
        <w:rPr>
          <w:rFonts w:cs="Arial"/>
          <w:noProof/>
          <w:sz w:val="20"/>
        </w:rPr>
      </w:pPr>
    </w:p>
    <w:p w14:paraId="425D8FC3" w14:textId="77777777" w:rsidR="00380607" w:rsidRDefault="00380607" w:rsidP="00132B0C">
      <w:pPr>
        <w:pStyle w:val="BriefBeilagen"/>
        <w:spacing w:before="120" w:after="120" w:line="264" w:lineRule="auto"/>
        <w:rPr>
          <w:rFonts w:cs="Arial"/>
          <w:sz w:val="20"/>
        </w:rPr>
      </w:pPr>
    </w:p>
    <w:p w14:paraId="7C52C11D" w14:textId="0D24BF0A" w:rsidR="00614C56" w:rsidRPr="00CB61F4" w:rsidRDefault="00614C56" w:rsidP="00132B0C">
      <w:pPr>
        <w:pStyle w:val="BriefBeilagen"/>
        <w:spacing w:before="120" w:after="120" w:line="264" w:lineRule="auto"/>
        <w:rPr>
          <w:rFonts w:cs="Arial"/>
          <w:sz w:val="20"/>
        </w:rPr>
      </w:pPr>
      <w:r w:rsidRPr="00CB61F4">
        <w:rPr>
          <w:rFonts w:cs="Arial"/>
          <w:sz w:val="20"/>
        </w:rPr>
        <w:t>Prof. Dr. Gonzalo Guillén</w:t>
      </w:r>
      <w:r w:rsidR="00613EF6">
        <w:rPr>
          <w:rFonts w:cs="Arial"/>
          <w:sz w:val="20"/>
        </w:rPr>
        <w:noBreakHyphen/>
      </w:r>
      <w:r w:rsidRPr="00CB61F4">
        <w:rPr>
          <w:rFonts w:cs="Arial"/>
          <w:sz w:val="20"/>
        </w:rPr>
        <w:t>Gosálbez on behalf of all the co</w:t>
      </w:r>
      <w:r w:rsidR="00613EF6">
        <w:rPr>
          <w:rFonts w:cs="Arial"/>
          <w:sz w:val="20"/>
        </w:rPr>
        <w:noBreakHyphen/>
      </w:r>
      <w:r w:rsidRPr="00CB61F4">
        <w:rPr>
          <w:rFonts w:cs="Arial"/>
          <w:sz w:val="20"/>
        </w:rPr>
        <w:t xml:space="preserve">authors. </w:t>
      </w:r>
      <w:bookmarkEnd w:id="0"/>
    </w:p>
    <w:sectPr w:rsidR="00614C56" w:rsidRPr="00CB61F4" w:rsidSect="00E2208B">
      <w:footerReference w:type="default" r:id="rId11"/>
      <w:headerReference w:type="first" r:id="rId12"/>
      <w:footerReference w:type="first" r:id="rId13"/>
      <w:pgSz w:w="11906" w:h="16838" w:code="9"/>
      <w:pgMar w:top="1080" w:right="1247" w:bottom="360" w:left="1247" w:header="1134"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tin Fernandez  Antonio José" w:date="2023-11-27T08:09:00Z" w:initials="AM">
    <w:p w14:paraId="5E222FB1" w14:textId="77777777" w:rsidR="008718F3" w:rsidRDefault="008718F3" w:rsidP="00B57115">
      <w:pPr>
        <w:pStyle w:val="CommentText"/>
      </w:pPr>
      <w:r>
        <w:rPr>
          <w:rStyle w:val="CommentReference"/>
        </w:rPr>
        <w:annotationRef/>
      </w:r>
      <w:r>
        <w:rPr>
          <w:lang w:val="es-ES"/>
        </w:rPr>
        <w:t>Is this the name of the type of communication we are sending vs. Research article or full article or….? We need to be precise</w:t>
      </w:r>
    </w:p>
  </w:comment>
  <w:comment w:id="3" w:author="Martin Fernandez  Antonio José" w:date="2023-11-27T08:11:00Z" w:initials="AM">
    <w:p w14:paraId="5AD94BA8" w14:textId="77777777" w:rsidR="008718F3" w:rsidRDefault="008718F3" w:rsidP="00851F3B">
      <w:pPr>
        <w:pStyle w:val="CommentText"/>
      </w:pPr>
      <w:r>
        <w:rPr>
          <w:rStyle w:val="CommentReference"/>
        </w:rPr>
        <w:annotationRef/>
      </w:r>
      <w:r>
        <w:rPr>
          <w:lang w:val="es-ES"/>
        </w:rPr>
        <w:t>It reads nice, but too long. Try to cut 4-6 sentences to gain agility. This first paragraph is the appetizer</w:t>
      </w:r>
    </w:p>
  </w:comment>
  <w:comment w:id="4" w:author="Martin Fernandez  Antonio José" w:date="2023-11-27T08:15:00Z" w:initials="AM">
    <w:p w14:paraId="24CC1C91" w14:textId="77777777" w:rsidR="008718F3" w:rsidRDefault="008718F3" w:rsidP="00EB5BBF">
      <w:pPr>
        <w:pStyle w:val="CommentText"/>
      </w:pPr>
      <w:r>
        <w:rPr>
          <w:rStyle w:val="CommentReference"/>
        </w:rPr>
        <w:annotationRef/>
      </w:r>
      <w:r>
        <w:rPr>
          <w:lang w:val="es-ES"/>
        </w:rPr>
        <w:t>This part is not exciting. It goes more fluffy to the end. Solar becoming the preferred route from 20XX on, a more optimistic writing of the analysis of other categories and the location part is not really understandable. It sounds too technical. Remember that the cl is the hook for the editor. You can take the liberty of relaxing a bit the scientific language and make it more plain</w:t>
      </w:r>
    </w:p>
  </w:comment>
  <w:comment w:id="5" w:author="Martin Fernandez  Antonio José" w:date="2023-11-27T08:16:00Z" w:initials="AM">
    <w:p w14:paraId="40144592" w14:textId="77777777" w:rsidR="008718F3" w:rsidRDefault="008718F3" w:rsidP="00DF7D77">
      <w:pPr>
        <w:pStyle w:val="CommentText"/>
      </w:pPr>
      <w:r>
        <w:rPr>
          <w:rStyle w:val="CommentReference"/>
        </w:rPr>
        <w:annotationRef/>
      </w:r>
      <w:r>
        <w:rPr>
          <w:lang w:val="es-ES"/>
        </w:rPr>
        <w:t>Yes, but it is too general. We need you link it to the problem we analyze</w:t>
      </w:r>
    </w:p>
  </w:comment>
  <w:comment w:id="6" w:author="Martin Fernandez  Antonio José" w:date="2023-11-27T08:18:00Z" w:initials="AM">
    <w:p w14:paraId="7B747535" w14:textId="77777777" w:rsidR="000C4BFA" w:rsidRDefault="000C4BFA" w:rsidP="00605C20">
      <w:pPr>
        <w:pStyle w:val="CommentText"/>
      </w:pPr>
      <w:r>
        <w:rPr>
          <w:rStyle w:val="CommentReference"/>
        </w:rPr>
        <w:annotationRef/>
      </w:r>
      <w:r>
        <w:rPr>
          <w:lang w:val="es-ES"/>
        </w:rPr>
        <w:t>Yes, but it also provides the tools and approach for new analyses. The editor wants to see that this paper can be used by others (to get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222FB1" w15:done="0"/>
  <w15:commentEx w15:paraId="5AD94BA8" w15:done="0"/>
  <w15:commentEx w15:paraId="24CC1C91" w15:done="0"/>
  <w15:commentEx w15:paraId="40144592" w15:done="0"/>
  <w15:commentEx w15:paraId="7B7475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30D260" w16cex:dateUtc="2023-11-27T07:09:00Z"/>
  <w16cex:commentExtensible w16cex:durableId="2D42701D" w16cex:dateUtc="2023-11-27T07:11:00Z"/>
  <w16cex:commentExtensible w16cex:durableId="742651C7" w16cex:dateUtc="2023-11-27T07:15:00Z"/>
  <w16cex:commentExtensible w16cex:durableId="0825F9A7" w16cex:dateUtc="2023-11-27T07:16:00Z"/>
  <w16cex:commentExtensible w16cex:durableId="3AB53C25" w16cex:dateUtc="2023-11-27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222FB1" w16cid:durableId="3530D260"/>
  <w16cid:commentId w16cid:paraId="5AD94BA8" w16cid:durableId="2D42701D"/>
  <w16cid:commentId w16cid:paraId="24CC1C91" w16cid:durableId="742651C7"/>
  <w16cid:commentId w16cid:paraId="40144592" w16cid:durableId="0825F9A7"/>
  <w16cid:commentId w16cid:paraId="7B747535" w16cid:durableId="3AB53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5E967" w14:textId="77777777" w:rsidR="00B151E9" w:rsidRDefault="00B151E9">
      <w:r>
        <w:separator/>
      </w:r>
    </w:p>
  </w:endnote>
  <w:endnote w:type="continuationSeparator" w:id="0">
    <w:p w14:paraId="1728997D" w14:textId="77777777" w:rsidR="00B151E9" w:rsidRDefault="00B1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511D3" w14:textId="77777777" w:rsidR="00B151E9" w:rsidRDefault="00B151E9">
      <w:r>
        <w:separator/>
      </w:r>
    </w:p>
  </w:footnote>
  <w:footnote w:type="continuationSeparator" w:id="0">
    <w:p w14:paraId="2C81B5FB" w14:textId="77777777" w:rsidR="00B151E9" w:rsidRDefault="00B15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6386069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revisionView w:inkAnnotations="0"/>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AUAMAaGbywAAAA="/>
  </w:docVars>
  <w:rsids>
    <w:rsidRoot w:val="00614C56"/>
    <w:rsid w:val="00002EDA"/>
    <w:rsid w:val="00007ACF"/>
    <w:rsid w:val="00013301"/>
    <w:rsid w:val="0001435A"/>
    <w:rsid w:val="00025445"/>
    <w:rsid w:val="00025BBF"/>
    <w:rsid w:val="00034865"/>
    <w:rsid w:val="00042BFF"/>
    <w:rsid w:val="00045766"/>
    <w:rsid w:val="0007322E"/>
    <w:rsid w:val="000750D4"/>
    <w:rsid w:val="000754F8"/>
    <w:rsid w:val="00076405"/>
    <w:rsid w:val="00096EBD"/>
    <w:rsid w:val="000A67E6"/>
    <w:rsid w:val="000B0897"/>
    <w:rsid w:val="000C4BFA"/>
    <w:rsid w:val="000D0C75"/>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3A9A"/>
    <w:rsid w:val="00146701"/>
    <w:rsid w:val="0015069D"/>
    <w:rsid w:val="00154206"/>
    <w:rsid w:val="001758DB"/>
    <w:rsid w:val="00176818"/>
    <w:rsid w:val="00192695"/>
    <w:rsid w:val="00192737"/>
    <w:rsid w:val="00197872"/>
    <w:rsid w:val="001B491D"/>
    <w:rsid w:val="001C3019"/>
    <w:rsid w:val="001F2372"/>
    <w:rsid w:val="001F416E"/>
    <w:rsid w:val="001F72EA"/>
    <w:rsid w:val="001F769C"/>
    <w:rsid w:val="002020B0"/>
    <w:rsid w:val="00212AF6"/>
    <w:rsid w:val="00215DD0"/>
    <w:rsid w:val="00225479"/>
    <w:rsid w:val="002268E3"/>
    <w:rsid w:val="002516F7"/>
    <w:rsid w:val="00252144"/>
    <w:rsid w:val="0025287C"/>
    <w:rsid w:val="00265A05"/>
    <w:rsid w:val="00271E9D"/>
    <w:rsid w:val="00290375"/>
    <w:rsid w:val="00293D62"/>
    <w:rsid w:val="00294584"/>
    <w:rsid w:val="00295062"/>
    <w:rsid w:val="002A77C3"/>
    <w:rsid w:val="002B7FBF"/>
    <w:rsid w:val="002C38BF"/>
    <w:rsid w:val="00305438"/>
    <w:rsid w:val="0031544F"/>
    <w:rsid w:val="00316279"/>
    <w:rsid w:val="00320972"/>
    <w:rsid w:val="00321538"/>
    <w:rsid w:val="0032518B"/>
    <w:rsid w:val="0033225C"/>
    <w:rsid w:val="00333CA5"/>
    <w:rsid w:val="00341C11"/>
    <w:rsid w:val="00346F55"/>
    <w:rsid w:val="00355A40"/>
    <w:rsid w:val="003604C3"/>
    <w:rsid w:val="00370830"/>
    <w:rsid w:val="00380607"/>
    <w:rsid w:val="00385F94"/>
    <w:rsid w:val="00387CAC"/>
    <w:rsid w:val="00390ED3"/>
    <w:rsid w:val="003A69A0"/>
    <w:rsid w:val="003B2486"/>
    <w:rsid w:val="003B424F"/>
    <w:rsid w:val="003D076C"/>
    <w:rsid w:val="003D5A97"/>
    <w:rsid w:val="003D755C"/>
    <w:rsid w:val="004071AD"/>
    <w:rsid w:val="00407A5A"/>
    <w:rsid w:val="00413A37"/>
    <w:rsid w:val="00452198"/>
    <w:rsid w:val="00452C9E"/>
    <w:rsid w:val="0047382D"/>
    <w:rsid w:val="00475983"/>
    <w:rsid w:val="0047763B"/>
    <w:rsid w:val="0049555A"/>
    <w:rsid w:val="004B5ECA"/>
    <w:rsid w:val="004B7E63"/>
    <w:rsid w:val="004C0288"/>
    <w:rsid w:val="004D0233"/>
    <w:rsid w:val="00524C6D"/>
    <w:rsid w:val="00527CB8"/>
    <w:rsid w:val="0053429C"/>
    <w:rsid w:val="00537984"/>
    <w:rsid w:val="005402C3"/>
    <w:rsid w:val="005437BA"/>
    <w:rsid w:val="00543ACC"/>
    <w:rsid w:val="0054519D"/>
    <w:rsid w:val="005534A9"/>
    <w:rsid w:val="00560C7F"/>
    <w:rsid w:val="00563EC6"/>
    <w:rsid w:val="005671A2"/>
    <w:rsid w:val="0056749A"/>
    <w:rsid w:val="0057717D"/>
    <w:rsid w:val="0058633D"/>
    <w:rsid w:val="0059131F"/>
    <w:rsid w:val="00596ADB"/>
    <w:rsid w:val="005A20B1"/>
    <w:rsid w:val="005A2190"/>
    <w:rsid w:val="005A5201"/>
    <w:rsid w:val="005A6F4B"/>
    <w:rsid w:val="005C0A15"/>
    <w:rsid w:val="005D242D"/>
    <w:rsid w:val="005F13BA"/>
    <w:rsid w:val="005F3AF3"/>
    <w:rsid w:val="005F7572"/>
    <w:rsid w:val="0061346C"/>
    <w:rsid w:val="00613EF6"/>
    <w:rsid w:val="00614C56"/>
    <w:rsid w:val="00617485"/>
    <w:rsid w:val="00626A8A"/>
    <w:rsid w:val="006278DE"/>
    <w:rsid w:val="00631926"/>
    <w:rsid w:val="00631CBE"/>
    <w:rsid w:val="00641F67"/>
    <w:rsid w:val="0064473A"/>
    <w:rsid w:val="00656652"/>
    <w:rsid w:val="00661DD3"/>
    <w:rsid w:val="006842E1"/>
    <w:rsid w:val="00685162"/>
    <w:rsid w:val="00693009"/>
    <w:rsid w:val="006A20AB"/>
    <w:rsid w:val="006B116C"/>
    <w:rsid w:val="006B1A0B"/>
    <w:rsid w:val="006B45B3"/>
    <w:rsid w:val="006C6802"/>
    <w:rsid w:val="006E6A8B"/>
    <w:rsid w:val="00706A24"/>
    <w:rsid w:val="00711EB6"/>
    <w:rsid w:val="0072110A"/>
    <w:rsid w:val="00723F31"/>
    <w:rsid w:val="0072423E"/>
    <w:rsid w:val="00730F97"/>
    <w:rsid w:val="00734D6F"/>
    <w:rsid w:val="007376FC"/>
    <w:rsid w:val="00740883"/>
    <w:rsid w:val="00763774"/>
    <w:rsid w:val="007756EB"/>
    <w:rsid w:val="00796DFB"/>
    <w:rsid w:val="007B1F23"/>
    <w:rsid w:val="007C7616"/>
    <w:rsid w:val="007D5AD9"/>
    <w:rsid w:val="007E05FB"/>
    <w:rsid w:val="007F43A1"/>
    <w:rsid w:val="007F4458"/>
    <w:rsid w:val="007F7CCF"/>
    <w:rsid w:val="008206D6"/>
    <w:rsid w:val="008365F5"/>
    <w:rsid w:val="008519AF"/>
    <w:rsid w:val="00851C29"/>
    <w:rsid w:val="0086438B"/>
    <w:rsid w:val="00867AB7"/>
    <w:rsid w:val="008718F3"/>
    <w:rsid w:val="008732EF"/>
    <w:rsid w:val="0088623D"/>
    <w:rsid w:val="008A320A"/>
    <w:rsid w:val="008A7FBD"/>
    <w:rsid w:val="008B1811"/>
    <w:rsid w:val="008C2038"/>
    <w:rsid w:val="008C4F6B"/>
    <w:rsid w:val="008D43BC"/>
    <w:rsid w:val="0090138E"/>
    <w:rsid w:val="009013D2"/>
    <w:rsid w:val="00915EE6"/>
    <w:rsid w:val="00917B42"/>
    <w:rsid w:val="009263AE"/>
    <w:rsid w:val="00934B74"/>
    <w:rsid w:val="00954462"/>
    <w:rsid w:val="00956A75"/>
    <w:rsid w:val="00962F97"/>
    <w:rsid w:val="009770D1"/>
    <w:rsid w:val="00984276"/>
    <w:rsid w:val="009847E8"/>
    <w:rsid w:val="0098771B"/>
    <w:rsid w:val="009A34AD"/>
    <w:rsid w:val="009A6471"/>
    <w:rsid w:val="009A7D14"/>
    <w:rsid w:val="009B459B"/>
    <w:rsid w:val="009C580F"/>
    <w:rsid w:val="009D76BD"/>
    <w:rsid w:val="009D7FDA"/>
    <w:rsid w:val="009E13D5"/>
    <w:rsid w:val="009E4B79"/>
    <w:rsid w:val="009F42A9"/>
    <w:rsid w:val="009F7E0E"/>
    <w:rsid w:val="00A01C58"/>
    <w:rsid w:val="00A0217A"/>
    <w:rsid w:val="00A04B7A"/>
    <w:rsid w:val="00A424B1"/>
    <w:rsid w:val="00A47DE4"/>
    <w:rsid w:val="00A65F92"/>
    <w:rsid w:val="00A7077B"/>
    <w:rsid w:val="00A734EB"/>
    <w:rsid w:val="00A918FC"/>
    <w:rsid w:val="00AA190F"/>
    <w:rsid w:val="00AA7E8A"/>
    <w:rsid w:val="00AB3714"/>
    <w:rsid w:val="00AB624D"/>
    <w:rsid w:val="00AD1EF0"/>
    <w:rsid w:val="00AE4211"/>
    <w:rsid w:val="00AF0C0F"/>
    <w:rsid w:val="00B01703"/>
    <w:rsid w:val="00B07683"/>
    <w:rsid w:val="00B151E9"/>
    <w:rsid w:val="00B16AC4"/>
    <w:rsid w:val="00B46CEF"/>
    <w:rsid w:val="00B55532"/>
    <w:rsid w:val="00B622CE"/>
    <w:rsid w:val="00B71E54"/>
    <w:rsid w:val="00B74566"/>
    <w:rsid w:val="00B8491D"/>
    <w:rsid w:val="00B86190"/>
    <w:rsid w:val="00B92995"/>
    <w:rsid w:val="00BA24EF"/>
    <w:rsid w:val="00BA75CB"/>
    <w:rsid w:val="00BC4F54"/>
    <w:rsid w:val="00BC6FE8"/>
    <w:rsid w:val="00BD157E"/>
    <w:rsid w:val="00BE33F3"/>
    <w:rsid w:val="00BE5713"/>
    <w:rsid w:val="00C047B6"/>
    <w:rsid w:val="00C414CD"/>
    <w:rsid w:val="00C56670"/>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E0986"/>
    <w:rsid w:val="00DE7F36"/>
    <w:rsid w:val="00DF3117"/>
    <w:rsid w:val="00E030FC"/>
    <w:rsid w:val="00E03DA0"/>
    <w:rsid w:val="00E21178"/>
    <w:rsid w:val="00E30F28"/>
    <w:rsid w:val="00E34491"/>
    <w:rsid w:val="00E370B0"/>
    <w:rsid w:val="00E411C9"/>
    <w:rsid w:val="00E523C5"/>
    <w:rsid w:val="00E773C9"/>
    <w:rsid w:val="00E77B64"/>
    <w:rsid w:val="00EA0171"/>
    <w:rsid w:val="00EA237E"/>
    <w:rsid w:val="00EA4F98"/>
    <w:rsid w:val="00EA7BB7"/>
    <w:rsid w:val="00EB2B19"/>
    <w:rsid w:val="00EC3447"/>
    <w:rsid w:val="00ED205A"/>
    <w:rsid w:val="00EE405B"/>
    <w:rsid w:val="00EF32AE"/>
    <w:rsid w:val="00F02498"/>
    <w:rsid w:val="00F12978"/>
    <w:rsid w:val="00F30D78"/>
    <w:rsid w:val="00F42CD3"/>
    <w:rsid w:val="00F44CBC"/>
    <w:rsid w:val="00F51A1F"/>
    <w:rsid w:val="00F65BA0"/>
    <w:rsid w:val="00F77E4D"/>
    <w:rsid w:val="00F804D9"/>
    <w:rsid w:val="00F86BEE"/>
    <w:rsid w:val="00F92969"/>
    <w:rsid w:val="00FA69DE"/>
    <w:rsid w:val="00FC5B7E"/>
    <w:rsid w:val="00FD0C2C"/>
    <w:rsid w:val="00FD752F"/>
    <w:rsid w:val="00FE665A"/>
    <w:rsid w:val="00FE6BB6"/>
    <w:rsid w:val="00FF2D9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336</cp:revision>
  <cp:lastPrinted>2023-03-31T11:04:00Z</cp:lastPrinted>
  <dcterms:created xsi:type="dcterms:W3CDTF">2023-03-01T09:23:00Z</dcterms:created>
  <dcterms:modified xsi:type="dcterms:W3CDTF">2023-11-27T07:18:00Z</dcterms:modified>
</cp:coreProperties>
</file>