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1BB332" w14:textId="77777777" w:rsidR="009B2FA2" w:rsidRPr="00BB5E65" w:rsidRDefault="009B2FA2" w:rsidP="00362878">
      <w:pPr>
        <w:spacing w:after="0" w:line="336" w:lineRule="auto"/>
        <w:jc w:val="both"/>
        <w:rPr>
          <w:rFonts w:cstheme="minorHAnsi"/>
          <w:b/>
          <w:bCs/>
          <w:sz w:val="18"/>
          <w:szCs w:val="18"/>
        </w:rPr>
      </w:pPr>
      <w:bookmarkStart w:id="0" w:name="_Hlk136333780"/>
      <w:r w:rsidRPr="00BB5E65">
        <w:rPr>
          <w:rFonts w:cstheme="minorHAnsi"/>
          <w:b/>
          <w:bCs/>
          <w:sz w:val="18"/>
          <w:szCs w:val="18"/>
        </w:rPr>
        <w:t xml:space="preserve">Response to Reviewers for </w:t>
      </w:r>
      <w:r w:rsidR="00310F51" w:rsidRPr="00BB5E65">
        <w:rPr>
          <w:rFonts w:cstheme="minorHAnsi"/>
          <w:b/>
          <w:color w:val="212121"/>
          <w:sz w:val="18"/>
          <w:szCs w:val="18"/>
          <w:shd w:val="clear" w:color="auto" w:fill="FFFFFF"/>
        </w:rPr>
        <w:t>GC-ART-01-2024-000392</w:t>
      </w:r>
    </w:p>
    <w:p w14:paraId="0AB679D5" w14:textId="77777777" w:rsidR="009B2FA2" w:rsidRPr="00BB5E65" w:rsidRDefault="009B2FA2" w:rsidP="00362878">
      <w:pPr>
        <w:spacing w:line="288" w:lineRule="auto"/>
        <w:jc w:val="both"/>
        <w:rPr>
          <w:rFonts w:cstheme="minorHAnsi"/>
          <w:b/>
          <w:bCs/>
          <w:sz w:val="18"/>
          <w:szCs w:val="18"/>
        </w:rPr>
      </w:pPr>
      <w:r w:rsidRPr="00BB5E65">
        <w:rPr>
          <w:rFonts w:cstheme="minorHAnsi"/>
          <w:sz w:val="18"/>
          <w:szCs w:val="18"/>
        </w:rPr>
        <w:t xml:space="preserve">Comments in </w:t>
      </w:r>
      <w:r w:rsidRPr="00BB5E65">
        <w:rPr>
          <w:rFonts w:cstheme="minorHAnsi"/>
          <w:color w:val="0000FF"/>
          <w:sz w:val="18"/>
          <w:szCs w:val="18"/>
        </w:rPr>
        <w:t>blue</w:t>
      </w:r>
      <w:r w:rsidRPr="00BB5E65">
        <w:rPr>
          <w:rFonts w:cstheme="minorHAnsi"/>
          <w:sz w:val="18"/>
          <w:szCs w:val="18"/>
        </w:rPr>
        <w:t xml:space="preserve">, replies in black, and actions in </w:t>
      </w:r>
      <w:r w:rsidRPr="00BB5E65">
        <w:rPr>
          <w:rFonts w:cstheme="minorHAnsi"/>
          <w:b/>
          <w:sz w:val="18"/>
          <w:szCs w:val="18"/>
        </w:rPr>
        <w:t xml:space="preserve">bold. </w:t>
      </w:r>
      <w:r w:rsidRPr="00BB5E65">
        <w:rPr>
          <w:rFonts w:cstheme="minorHAnsi"/>
          <w:bCs/>
          <w:sz w:val="18"/>
          <w:szCs w:val="18"/>
        </w:rPr>
        <w:t>Page and line numbers refer to the main article with highlighted changes.</w:t>
      </w:r>
    </w:p>
    <w:p w14:paraId="156C8CBD" w14:textId="77777777" w:rsidR="009B2FA2" w:rsidRPr="00BB5E65" w:rsidRDefault="009B2FA2" w:rsidP="00362878">
      <w:pPr>
        <w:spacing w:after="120" w:line="288" w:lineRule="auto"/>
        <w:jc w:val="both"/>
        <w:rPr>
          <w:rFonts w:cstheme="minorHAnsi"/>
          <w:b/>
          <w:bCs/>
          <w:sz w:val="18"/>
          <w:szCs w:val="18"/>
          <w:u w:val="single"/>
        </w:rPr>
      </w:pPr>
      <w:r w:rsidRPr="00BB5E65">
        <w:rPr>
          <w:rFonts w:cstheme="minorHAnsi"/>
          <w:b/>
          <w:bCs/>
          <w:sz w:val="18"/>
          <w:szCs w:val="18"/>
          <w:u w:val="single"/>
        </w:rPr>
        <w:t>Reviewer</w:t>
      </w:r>
      <w:r w:rsidR="009B352A">
        <w:rPr>
          <w:rFonts w:cstheme="minorHAnsi"/>
          <w:b/>
          <w:bCs/>
          <w:sz w:val="18"/>
          <w:szCs w:val="18"/>
          <w:u w:val="single"/>
        </w:rPr>
        <w:t> </w:t>
      </w:r>
      <w:r w:rsidRPr="00BB5E65">
        <w:rPr>
          <w:rFonts w:cstheme="minorHAnsi"/>
          <w:b/>
          <w:bCs/>
          <w:sz w:val="18"/>
          <w:szCs w:val="18"/>
          <w:u w:val="single"/>
        </w:rPr>
        <w:t>#1</w:t>
      </w:r>
    </w:p>
    <w:p w14:paraId="005FF685" w14:textId="77777777" w:rsidR="009B2FA2" w:rsidRPr="00B04E42" w:rsidRDefault="009B2FA2" w:rsidP="00362878">
      <w:pPr>
        <w:spacing w:after="0" w:line="288" w:lineRule="auto"/>
        <w:jc w:val="both"/>
        <w:rPr>
          <w:rFonts w:cstheme="minorHAnsi"/>
          <w:color w:val="0000FF"/>
          <w:sz w:val="18"/>
          <w:szCs w:val="18"/>
        </w:rPr>
      </w:pPr>
      <w:r w:rsidRPr="00A31B0D">
        <w:rPr>
          <w:rFonts w:cstheme="minorHAnsi"/>
          <w:color w:val="0000FF"/>
          <w:sz w:val="18"/>
          <w:szCs w:val="18"/>
        </w:rPr>
        <w:t>1.0.</w:t>
      </w:r>
      <w:r w:rsidR="00BB5E65" w:rsidRPr="00A31B0D">
        <w:rPr>
          <w:rFonts w:cstheme="minorHAnsi"/>
          <w:color w:val="0000FF"/>
          <w:sz w:val="18"/>
          <w:szCs w:val="18"/>
        </w:rPr>
        <w:t> In this manuscript the authors conducted a prospective Life Cycle Assessment for transition of hydrogen, ammonia and methanol production from fossil based to renewables in the 2020</w:t>
      </w:r>
      <w:r w:rsidR="00BB5E65" w:rsidRPr="00A31B0D">
        <w:rPr>
          <w:rFonts w:cstheme="minorHAnsi"/>
          <w:color w:val="0000FF"/>
          <w:sz w:val="18"/>
          <w:szCs w:val="18"/>
        </w:rPr>
        <w:noBreakHyphen/>
        <w:t>2050</w:t>
      </w:r>
      <w:r w:rsidR="00B73D7C" w:rsidRPr="00A31B0D">
        <w:rPr>
          <w:rFonts w:cstheme="minorHAnsi"/>
          <w:color w:val="0000FF"/>
          <w:sz w:val="18"/>
          <w:szCs w:val="18"/>
        </w:rPr>
        <w:t xml:space="preserve"> </w:t>
      </w:r>
      <w:r w:rsidR="00BB5E65" w:rsidRPr="00A31B0D">
        <w:rPr>
          <w:rFonts w:cstheme="minorHAnsi"/>
          <w:color w:val="0000FF"/>
          <w:sz w:val="18"/>
          <w:szCs w:val="18"/>
        </w:rPr>
        <w:t xml:space="preserve">timeframe. The scope of the LCA was cradle to gate considering three scenarios for climate target </w:t>
      </w:r>
      <w:r w:rsidR="00743A99" w:rsidRPr="00A31B0D">
        <w:rPr>
          <w:rFonts w:cstheme="minorHAnsi"/>
          <w:color w:val="0000FF"/>
          <w:sz w:val="18"/>
          <w:szCs w:val="18"/>
        </w:rPr>
        <w:t>–</w:t>
      </w:r>
      <w:r w:rsidR="00BB5E65" w:rsidRPr="00A31B0D">
        <w:rPr>
          <w:rFonts w:cstheme="minorHAnsi"/>
          <w:color w:val="0000FF"/>
          <w:sz w:val="18"/>
          <w:szCs w:val="18"/>
        </w:rPr>
        <w:t xml:space="preserve"> warming of 1.5 °C, 2 °C and 3.5 °C. The results are along the expectations that a transition to fully renewable feedstock such as CO</w:t>
      </w:r>
      <w:r w:rsidR="00BB5E65" w:rsidRPr="00A31B0D">
        <w:rPr>
          <w:rFonts w:cstheme="minorHAnsi"/>
          <w:color w:val="0000FF"/>
          <w:sz w:val="18"/>
          <w:szCs w:val="18"/>
          <w:vertAlign w:val="subscript"/>
        </w:rPr>
        <w:t>2</w:t>
      </w:r>
      <w:r w:rsidR="00BB5E65" w:rsidRPr="00A31B0D">
        <w:rPr>
          <w:rFonts w:cstheme="minorHAnsi"/>
          <w:color w:val="0000FF"/>
          <w:sz w:val="18"/>
          <w:szCs w:val="18"/>
        </w:rPr>
        <w:t xml:space="preserve"> captured from air and green hydrogen provide the highest impact, especially for methanol synthesis.</w:t>
      </w:r>
      <w:bookmarkStart w:id="1" w:name="_GoBack"/>
      <w:bookmarkEnd w:id="1"/>
    </w:p>
    <w:p w14:paraId="7C810735" w14:textId="7F42DC6F" w:rsidR="009B2FA2" w:rsidRPr="006F51CC" w:rsidRDefault="006F51CC" w:rsidP="00362878">
      <w:pPr>
        <w:spacing w:line="288" w:lineRule="auto"/>
        <w:jc w:val="both"/>
        <w:rPr>
          <w:rFonts w:cstheme="minorHAnsi"/>
          <w:sz w:val="18"/>
          <w:szCs w:val="18"/>
        </w:rPr>
      </w:pPr>
      <w:r>
        <w:rPr>
          <w:rFonts w:cstheme="minorHAnsi"/>
          <w:sz w:val="18"/>
          <w:szCs w:val="18"/>
        </w:rPr>
        <w:t xml:space="preserve">We thank the Reviewer for highlighting our results and for their insightful comments. We also appreciate the constructive criticism provided by the Reviewer, which helped us improve our manuscript. We have revised our manuscript according to the Reviewer’s suggestions to increase its depth and scope. In essence, </w:t>
      </w:r>
      <w:r w:rsidRPr="009348A9">
        <w:rPr>
          <w:rFonts w:cstheme="minorHAnsi"/>
          <w:b/>
          <w:sz w:val="18"/>
          <w:szCs w:val="18"/>
        </w:rPr>
        <w:t>we carried out additional analyses to account for the techno</w:t>
      </w:r>
      <w:r w:rsidRPr="009348A9">
        <w:rPr>
          <w:rFonts w:cstheme="minorHAnsi"/>
          <w:b/>
          <w:sz w:val="18"/>
          <w:szCs w:val="18"/>
        </w:rPr>
        <w:noBreakHyphen/>
        <w:t>economic dimension of the problem</w:t>
      </w:r>
      <w:r w:rsidRPr="009348A9">
        <w:rPr>
          <w:rFonts w:cstheme="minorHAnsi"/>
          <w:sz w:val="18"/>
          <w:szCs w:val="18"/>
        </w:rPr>
        <w:t>, as explained below.</w:t>
      </w:r>
      <w:r>
        <w:rPr>
          <w:rFonts w:cstheme="minorHAnsi"/>
          <w:sz w:val="18"/>
          <w:szCs w:val="18"/>
        </w:rPr>
        <w:t xml:space="preserve"> The Reviewer recommended a broader analysis to assess the economic potential of the chemicals under consideration. </w:t>
      </w:r>
      <w:r>
        <w:rPr>
          <w:rFonts w:cstheme="minorHAnsi"/>
          <w:b/>
          <w:sz w:val="18"/>
          <w:szCs w:val="18"/>
        </w:rPr>
        <w:t>With regard to this, we performed a techno</w:t>
      </w:r>
      <w:r>
        <w:rPr>
          <w:rFonts w:cstheme="minorHAnsi"/>
          <w:b/>
          <w:sz w:val="18"/>
          <w:szCs w:val="18"/>
        </w:rPr>
        <w:noBreakHyphen/>
        <w:t xml:space="preserve">economic assessment to </w:t>
      </w:r>
      <w:r w:rsidR="00656C7B">
        <w:rPr>
          <w:rFonts w:cstheme="minorHAnsi"/>
          <w:b/>
          <w:sz w:val="18"/>
          <w:szCs w:val="18"/>
        </w:rPr>
        <w:t>evaluate</w:t>
      </w:r>
      <w:r>
        <w:rPr>
          <w:rFonts w:cstheme="minorHAnsi"/>
          <w:b/>
          <w:sz w:val="18"/>
          <w:szCs w:val="18"/>
        </w:rPr>
        <w:t xml:space="preserve"> the production costs in our revised work, as explained in response to comment</w:t>
      </w:r>
      <w:r w:rsidR="00B51033">
        <w:rPr>
          <w:rFonts w:cstheme="minorHAnsi"/>
          <w:b/>
          <w:sz w:val="18"/>
          <w:szCs w:val="18"/>
        </w:rPr>
        <w:t> </w:t>
      </w:r>
      <w:r>
        <w:rPr>
          <w:rFonts w:cstheme="minorHAnsi"/>
          <w:b/>
          <w:sz w:val="18"/>
          <w:szCs w:val="18"/>
        </w:rPr>
        <w:t>1.4.</w:t>
      </w:r>
      <w:r>
        <w:rPr>
          <w:rFonts w:cstheme="minorHAnsi"/>
          <w:sz w:val="18"/>
          <w:szCs w:val="18"/>
        </w:rPr>
        <w:t xml:space="preserve"> This analysis offers detailed insights that reinforce our main findings, highlighting the potential of green routes for chemical production.</w:t>
      </w:r>
      <w:r w:rsidR="00712290">
        <w:rPr>
          <w:rFonts w:cstheme="minorHAnsi"/>
          <w:sz w:val="18"/>
          <w:szCs w:val="18"/>
        </w:rPr>
        <w:t xml:space="preserve"> </w:t>
      </w:r>
      <w:r w:rsidR="00591C93">
        <w:rPr>
          <w:rFonts w:cstheme="minorHAnsi"/>
          <w:sz w:val="18"/>
          <w:szCs w:val="18"/>
        </w:rPr>
        <w:t>More specifically, we found that future projections suggest that onshore wind and solar</w:t>
      </w:r>
      <w:r w:rsidR="00591C93">
        <w:rPr>
          <w:rFonts w:cstheme="minorHAnsi"/>
          <w:sz w:val="18"/>
          <w:szCs w:val="18"/>
        </w:rPr>
        <w:noBreakHyphen/>
        <w:t xml:space="preserve">based hydrogen could become economically </w:t>
      </w:r>
      <w:r w:rsidR="009427A0">
        <w:rPr>
          <w:rFonts w:cstheme="minorHAnsi"/>
          <w:sz w:val="18"/>
          <w:szCs w:val="18"/>
        </w:rPr>
        <w:t>appealing</w:t>
      </w:r>
      <w:r w:rsidR="00591C93">
        <w:rPr>
          <w:rFonts w:cstheme="minorHAnsi"/>
          <w:sz w:val="18"/>
          <w:szCs w:val="18"/>
        </w:rPr>
        <w:t xml:space="preserve"> by 2050, potentially making green routes </w:t>
      </w:r>
      <w:r w:rsidR="003111BD">
        <w:rPr>
          <w:rFonts w:cstheme="minorHAnsi"/>
          <w:sz w:val="18"/>
          <w:szCs w:val="18"/>
        </w:rPr>
        <w:t xml:space="preserve">for ammonia and methanol production </w:t>
      </w:r>
      <w:r w:rsidR="00591C93">
        <w:rPr>
          <w:rFonts w:cstheme="minorHAnsi"/>
          <w:sz w:val="18"/>
          <w:szCs w:val="18"/>
        </w:rPr>
        <w:t>more attractive. We also acknowledge that these are rough estimates due to the high uncertainty of future prices influenced by geopolitical factors and technological advancements.</w:t>
      </w:r>
    </w:p>
    <w:p w14:paraId="7CFE739D" w14:textId="77777777" w:rsidR="008934E2" w:rsidRPr="00B04E42" w:rsidRDefault="008934E2" w:rsidP="008934E2">
      <w:pPr>
        <w:spacing w:after="0" w:line="288" w:lineRule="auto"/>
        <w:jc w:val="both"/>
        <w:rPr>
          <w:rFonts w:cstheme="minorHAnsi"/>
          <w:color w:val="0000FF"/>
          <w:sz w:val="18"/>
          <w:szCs w:val="18"/>
        </w:rPr>
      </w:pPr>
      <w:r w:rsidRPr="00997CA5">
        <w:rPr>
          <w:rFonts w:cstheme="minorHAnsi"/>
          <w:color w:val="0000FF"/>
          <w:sz w:val="18"/>
          <w:szCs w:val="18"/>
        </w:rPr>
        <w:t>1.1. There are some interesting results to consider when looking at the burden shifting, especially in terms of particulate matter. However, PM may actually ironically contribute to global cooling if at a cost of lung health.</w:t>
      </w:r>
    </w:p>
    <w:p w14:paraId="48A643E6" w14:textId="51B69706" w:rsidR="008934E2" w:rsidRPr="00567DEF" w:rsidRDefault="00B37083" w:rsidP="00362878">
      <w:pPr>
        <w:spacing w:line="288" w:lineRule="auto"/>
        <w:jc w:val="both"/>
        <w:rPr>
          <w:rFonts w:cstheme="minorHAnsi"/>
          <w:b/>
          <w:sz w:val="18"/>
          <w:szCs w:val="18"/>
        </w:rPr>
      </w:pPr>
      <w:r w:rsidRPr="00567DEF">
        <w:rPr>
          <w:rFonts w:cstheme="minorHAnsi"/>
          <w:sz w:val="18"/>
          <w:szCs w:val="18"/>
        </w:rPr>
        <w:t>We thank the Reviewer for highlighting this aspect of our study. Indeed, we believe that assessing impacts beyond climate change is important in order to evaluate trade</w:t>
      </w:r>
      <w:r w:rsidRPr="00567DEF">
        <w:rPr>
          <w:rFonts w:cstheme="minorHAnsi"/>
          <w:sz w:val="18"/>
          <w:szCs w:val="18"/>
        </w:rPr>
        <w:noBreakHyphen/>
        <w:t xml:space="preserve">offs. We agree with the Reviewer that certain </w:t>
      </w:r>
      <w:r w:rsidR="00A17DCF">
        <w:rPr>
          <w:rFonts w:cstheme="minorHAnsi"/>
          <w:sz w:val="18"/>
          <w:szCs w:val="18"/>
        </w:rPr>
        <w:t>gases</w:t>
      </w:r>
      <w:r w:rsidRPr="00567DEF">
        <w:rPr>
          <w:rFonts w:cstheme="minorHAnsi"/>
          <w:sz w:val="18"/>
          <w:szCs w:val="18"/>
        </w:rPr>
        <w:t xml:space="preserve"> in the atmosphere, such as sulfur dioxide and nitric oxide, </w:t>
      </w:r>
      <w:r w:rsidR="00A17DCF">
        <w:rPr>
          <w:rFonts w:cstheme="minorHAnsi"/>
          <w:sz w:val="18"/>
          <w:szCs w:val="18"/>
        </w:rPr>
        <w:t xml:space="preserve">react to form particulate matter and </w:t>
      </w:r>
      <w:r w:rsidRPr="00567DEF">
        <w:rPr>
          <w:rFonts w:cstheme="minorHAnsi"/>
          <w:sz w:val="18"/>
          <w:szCs w:val="18"/>
        </w:rPr>
        <w:t xml:space="preserve">can reflect sunlight, </w:t>
      </w:r>
      <w:r w:rsidR="00A15C83">
        <w:rPr>
          <w:rFonts w:cstheme="minorHAnsi"/>
          <w:sz w:val="18"/>
          <w:szCs w:val="18"/>
        </w:rPr>
        <w:t xml:space="preserve">thereby </w:t>
      </w:r>
      <w:r w:rsidRPr="00567DEF">
        <w:rPr>
          <w:rFonts w:cstheme="minorHAnsi"/>
          <w:sz w:val="18"/>
          <w:szCs w:val="18"/>
        </w:rPr>
        <w:t>reducing the solar radiation reaching the Earth’s surface and lowering temperatures [</w:t>
      </w:r>
      <w:r w:rsidR="00901324">
        <w:rPr>
          <w:rFonts w:cstheme="minorHAnsi"/>
          <w:sz w:val="18"/>
          <w:szCs w:val="18"/>
        </w:rPr>
        <w:t>Yang</w:t>
      </w:r>
      <w:r w:rsidRPr="00567DEF">
        <w:rPr>
          <w:rFonts w:cstheme="minorHAnsi"/>
          <w:sz w:val="18"/>
          <w:szCs w:val="18"/>
        </w:rPr>
        <w:t> </w:t>
      </w:r>
      <w:r w:rsidRPr="00567DEF">
        <w:rPr>
          <w:rFonts w:cstheme="minorHAnsi"/>
          <w:i/>
          <w:sz w:val="18"/>
          <w:szCs w:val="18"/>
        </w:rPr>
        <w:t>et al</w:t>
      </w:r>
      <w:r w:rsidRPr="00567DEF">
        <w:rPr>
          <w:rFonts w:cstheme="minorHAnsi"/>
          <w:sz w:val="18"/>
          <w:szCs w:val="18"/>
        </w:rPr>
        <w:t xml:space="preserve">., </w:t>
      </w:r>
      <w:r w:rsidRPr="00567DEF">
        <w:rPr>
          <w:rFonts w:cstheme="minorHAnsi"/>
          <w:i/>
          <w:sz w:val="18"/>
          <w:szCs w:val="18"/>
        </w:rPr>
        <w:t>Atmos. Chem. Phys.</w:t>
      </w:r>
      <w:r w:rsidRPr="00567DEF">
        <w:rPr>
          <w:rFonts w:cstheme="minorHAnsi"/>
          <w:sz w:val="18"/>
          <w:szCs w:val="18"/>
        </w:rPr>
        <w:t>, 20</w:t>
      </w:r>
      <w:r w:rsidR="00901324">
        <w:rPr>
          <w:rFonts w:cstheme="minorHAnsi"/>
          <w:sz w:val="18"/>
          <w:szCs w:val="18"/>
        </w:rPr>
        <w:t>23</w:t>
      </w:r>
      <w:r w:rsidRPr="00567DEF">
        <w:rPr>
          <w:rFonts w:cstheme="minorHAnsi"/>
          <w:sz w:val="18"/>
          <w:szCs w:val="18"/>
        </w:rPr>
        <w:t xml:space="preserve">, </w:t>
      </w:r>
      <w:r w:rsidR="00901324">
        <w:rPr>
          <w:rFonts w:cstheme="minorHAnsi"/>
          <w:sz w:val="18"/>
          <w:szCs w:val="18"/>
        </w:rPr>
        <w:t>23</w:t>
      </w:r>
      <w:r w:rsidRPr="00567DEF">
        <w:rPr>
          <w:rFonts w:cstheme="minorHAnsi"/>
          <w:sz w:val="18"/>
          <w:szCs w:val="18"/>
        </w:rPr>
        <w:t xml:space="preserve">, </w:t>
      </w:r>
      <w:r w:rsidR="00901324">
        <w:rPr>
          <w:rFonts w:cstheme="minorHAnsi"/>
          <w:sz w:val="18"/>
          <w:szCs w:val="18"/>
        </w:rPr>
        <w:t>417</w:t>
      </w:r>
      <w:r w:rsidRPr="00567DEF">
        <w:rPr>
          <w:rFonts w:cstheme="minorHAnsi"/>
          <w:sz w:val="18"/>
          <w:szCs w:val="18"/>
        </w:rPr>
        <w:t>–</w:t>
      </w:r>
      <w:r w:rsidR="00901324">
        <w:rPr>
          <w:rFonts w:cstheme="minorHAnsi"/>
          <w:sz w:val="18"/>
          <w:szCs w:val="18"/>
        </w:rPr>
        <w:t>430</w:t>
      </w:r>
      <w:r w:rsidRPr="00567DEF">
        <w:rPr>
          <w:rFonts w:cstheme="minorHAnsi"/>
          <w:sz w:val="18"/>
          <w:szCs w:val="18"/>
        </w:rPr>
        <w:t xml:space="preserve">]. We would like to take this opportunity to </w:t>
      </w:r>
      <w:r w:rsidR="00A15C83">
        <w:rPr>
          <w:rFonts w:cstheme="minorHAnsi"/>
          <w:sz w:val="18"/>
          <w:szCs w:val="18"/>
        </w:rPr>
        <w:t>emphasise</w:t>
      </w:r>
      <w:r w:rsidRPr="00567DEF">
        <w:rPr>
          <w:rFonts w:cstheme="minorHAnsi"/>
          <w:sz w:val="18"/>
          <w:szCs w:val="18"/>
        </w:rPr>
        <w:t xml:space="preserve"> that this</w:t>
      </w:r>
      <w:r w:rsidR="00A15C83">
        <w:rPr>
          <w:rFonts w:cstheme="minorHAnsi"/>
          <w:sz w:val="18"/>
          <w:szCs w:val="18"/>
        </w:rPr>
        <w:t xml:space="preserve"> aspect</w:t>
      </w:r>
      <w:r w:rsidRPr="00567DEF">
        <w:rPr>
          <w:rFonts w:cstheme="minorHAnsi"/>
          <w:sz w:val="18"/>
          <w:szCs w:val="18"/>
        </w:rPr>
        <w:t xml:space="preserve"> is also accounted for in our analysis based on the global warming potentials (GWPs) provided by the IPCC 2013 method. For example, nitric oxide has an impact on disease incidence; however, the GWP for climate change is –10.8 kg CO</w:t>
      </w:r>
      <w:r w:rsidRPr="00567DEF">
        <w:rPr>
          <w:rFonts w:cstheme="minorHAnsi"/>
          <w:sz w:val="18"/>
          <w:szCs w:val="18"/>
          <w:vertAlign w:val="subscript"/>
        </w:rPr>
        <w:t>2</w:t>
      </w:r>
      <w:r w:rsidRPr="00567DEF">
        <w:rPr>
          <w:rFonts w:cstheme="minorHAnsi"/>
          <w:sz w:val="18"/>
          <w:szCs w:val="18"/>
        </w:rPr>
        <w:noBreakHyphen/>
        <w:t xml:space="preserve">eq, providing a cooling effect. However, this cooling effect is negligible compared </w:t>
      </w:r>
      <w:r w:rsidR="005F2FDA">
        <w:rPr>
          <w:rFonts w:cstheme="minorHAnsi"/>
          <w:sz w:val="18"/>
          <w:szCs w:val="18"/>
        </w:rPr>
        <w:t>to</w:t>
      </w:r>
      <w:r w:rsidRPr="00567DEF">
        <w:rPr>
          <w:rFonts w:cstheme="minorHAnsi"/>
          <w:sz w:val="18"/>
          <w:szCs w:val="18"/>
        </w:rPr>
        <w:t xml:space="preserve"> the climate impact associated with the emission of other GHGs such as CO</w:t>
      </w:r>
      <w:r w:rsidRPr="00567DEF">
        <w:rPr>
          <w:rFonts w:cstheme="minorHAnsi"/>
          <w:sz w:val="18"/>
          <w:szCs w:val="18"/>
          <w:vertAlign w:val="subscript"/>
        </w:rPr>
        <w:t>2</w:t>
      </w:r>
      <w:r w:rsidRPr="00567DEF">
        <w:rPr>
          <w:rFonts w:cstheme="minorHAnsi"/>
          <w:sz w:val="18"/>
          <w:szCs w:val="18"/>
        </w:rPr>
        <w:t xml:space="preserve">, </w:t>
      </w:r>
      <w:r w:rsidR="00FB1D45">
        <w:rPr>
          <w:rFonts w:cstheme="minorHAnsi"/>
          <w:sz w:val="18"/>
          <w:szCs w:val="18"/>
        </w:rPr>
        <w:t>primarily</w:t>
      </w:r>
      <w:r w:rsidRPr="00567DEF">
        <w:rPr>
          <w:rFonts w:cstheme="minorHAnsi"/>
          <w:sz w:val="18"/>
          <w:szCs w:val="18"/>
        </w:rPr>
        <w:t xml:space="preserve"> due to the relatively low quantity of </w:t>
      </w:r>
      <w:r w:rsidR="00A17DCF">
        <w:rPr>
          <w:rFonts w:cstheme="minorHAnsi"/>
          <w:sz w:val="18"/>
          <w:szCs w:val="18"/>
        </w:rPr>
        <w:t>particulate</w:t>
      </w:r>
      <w:r w:rsidR="005F2FDA">
        <w:rPr>
          <w:rFonts w:cstheme="minorHAnsi"/>
          <w:sz w:val="18"/>
          <w:szCs w:val="18"/>
        </w:rPr>
        <w:noBreakHyphen/>
      </w:r>
      <w:r w:rsidR="00A17DCF">
        <w:rPr>
          <w:rFonts w:cstheme="minorHAnsi"/>
          <w:sz w:val="18"/>
          <w:szCs w:val="18"/>
        </w:rPr>
        <w:t>forming gases</w:t>
      </w:r>
      <w:r w:rsidRPr="00567DEF">
        <w:rPr>
          <w:rFonts w:cstheme="minorHAnsi"/>
          <w:sz w:val="18"/>
          <w:szCs w:val="18"/>
        </w:rPr>
        <w:t xml:space="preserve"> emitted. </w:t>
      </w:r>
      <w:r w:rsidR="00A17DCF" w:rsidRPr="00A17DCF">
        <w:rPr>
          <w:rFonts w:cstheme="minorHAnsi"/>
          <w:sz w:val="18"/>
          <w:szCs w:val="18"/>
        </w:rPr>
        <w:t>In summary, while certain gases may have a limited cooling effect, they also come with negative consequences for human health</w:t>
      </w:r>
      <w:r w:rsidR="00A17DCF">
        <w:rPr>
          <w:rFonts w:cstheme="minorHAnsi"/>
          <w:sz w:val="18"/>
          <w:szCs w:val="18"/>
        </w:rPr>
        <w:t>.</w:t>
      </w:r>
      <w:r w:rsidRPr="00567DEF">
        <w:rPr>
          <w:rFonts w:cstheme="minorHAnsi"/>
          <w:sz w:val="18"/>
          <w:szCs w:val="18"/>
        </w:rPr>
        <w:t xml:space="preserve"> Therefore, in this work, we particularly emphasise the trade</w:t>
      </w:r>
      <w:r w:rsidRPr="00567DEF">
        <w:rPr>
          <w:rFonts w:cstheme="minorHAnsi"/>
          <w:sz w:val="18"/>
          <w:szCs w:val="18"/>
        </w:rPr>
        <w:noBreakHyphen/>
        <w:t>offs between impact categories</w:t>
      </w:r>
      <w:r w:rsidR="00712290">
        <w:rPr>
          <w:rFonts w:cstheme="minorHAnsi"/>
          <w:sz w:val="18"/>
          <w:szCs w:val="18"/>
        </w:rPr>
        <w:t xml:space="preserve"> while considering the  multiple contributions of specific emissions to more than one environmental impact category, as pointed out by the Reviewer</w:t>
      </w:r>
      <w:r w:rsidRPr="00567DEF">
        <w:rPr>
          <w:rFonts w:cstheme="minorHAnsi"/>
          <w:sz w:val="18"/>
          <w:szCs w:val="18"/>
        </w:rPr>
        <w:t xml:space="preserve">. </w:t>
      </w:r>
      <w:r w:rsidR="00CE4224" w:rsidRPr="00567DEF">
        <w:rPr>
          <w:rFonts w:cstheme="minorHAnsi"/>
          <w:b/>
          <w:sz w:val="18"/>
          <w:szCs w:val="18"/>
        </w:rPr>
        <w:t>The main manuscript has been updated to incorporate this discussion (page </w:t>
      </w:r>
      <w:r w:rsidR="00795BAD" w:rsidRPr="00567DEF">
        <w:rPr>
          <w:rFonts w:cstheme="minorHAnsi"/>
          <w:b/>
          <w:sz w:val="18"/>
          <w:szCs w:val="18"/>
        </w:rPr>
        <w:t>5</w:t>
      </w:r>
      <w:r w:rsidR="00CE4224" w:rsidRPr="00567DEF">
        <w:rPr>
          <w:rFonts w:cstheme="minorHAnsi"/>
          <w:b/>
          <w:sz w:val="18"/>
          <w:szCs w:val="18"/>
        </w:rPr>
        <w:t>, line </w:t>
      </w:r>
      <w:r w:rsidR="00795BAD" w:rsidRPr="00567DEF">
        <w:rPr>
          <w:rFonts w:cstheme="minorHAnsi"/>
          <w:b/>
          <w:sz w:val="18"/>
          <w:szCs w:val="18"/>
        </w:rPr>
        <w:t>4</w:t>
      </w:r>
      <w:r w:rsidR="00B15259">
        <w:rPr>
          <w:rFonts w:cstheme="minorHAnsi"/>
          <w:b/>
          <w:sz w:val="18"/>
          <w:szCs w:val="18"/>
        </w:rPr>
        <w:t>7</w:t>
      </w:r>
      <w:r w:rsidR="00CE4224" w:rsidRPr="00567DEF">
        <w:rPr>
          <w:rFonts w:cstheme="minorHAnsi"/>
          <w:b/>
          <w:sz w:val="18"/>
          <w:szCs w:val="18"/>
        </w:rPr>
        <w:t xml:space="preserve">, </w:t>
      </w:r>
      <w:r w:rsidR="00795BAD" w:rsidRPr="00567DEF">
        <w:rPr>
          <w:rFonts w:cstheme="minorHAnsi"/>
          <w:b/>
          <w:sz w:val="18"/>
          <w:szCs w:val="18"/>
        </w:rPr>
        <w:t>left</w:t>
      </w:r>
      <w:r w:rsidR="00CE4224" w:rsidRPr="00567DEF">
        <w:rPr>
          <w:rFonts w:cstheme="minorHAnsi"/>
          <w:b/>
          <w:sz w:val="18"/>
          <w:szCs w:val="18"/>
        </w:rPr>
        <w:t> column).</w:t>
      </w:r>
    </w:p>
    <w:p w14:paraId="2D879DC1" w14:textId="77777777" w:rsidR="009B2FA2" w:rsidRPr="00BB5E65" w:rsidRDefault="009B2FA2" w:rsidP="00362878">
      <w:pPr>
        <w:spacing w:after="0" w:line="288" w:lineRule="auto"/>
        <w:jc w:val="both"/>
        <w:rPr>
          <w:rFonts w:cstheme="minorHAnsi"/>
          <w:color w:val="0000FF"/>
          <w:sz w:val="18"/>
          <w:szCs w:val="18"/>
        </w:rPr>
      </w:pPr>
      <w:r w:rsidRPr="007B5D33">
        <w:rPr>
          <w:rFonts w:cstheme="minorHAnsi"/>
          <w:color w:val="0000FF"/>
          <w:sz w:val="18"/>
          <w:szCs w:val="18"/>
        </w:rPr>
        <w:t>1.</w:t>
      </w:r>
      <w:r w:rsidR="008934E2" w:rsidRPr="007B5D33">
        <w:rPr>
          <w:rFonts w:cstheme="minorHAnsi"/>
          <w:color w:val="0000FF"/>
          <w:sz w:val="18"/>
          <w:szCs w:val="18"/>
        </w:rPr>
        <w:t>2</w:t>
      </w:r>
      <w:r w:rsidRPr="007B5D33">
        <w:rPr>
          <w:rFonts w:cstheme="minorHAnsi"/>
          <w:color w:val="0000FF"/>
          <w:sz w:val="18"/>
          <w:szCs w:val="18"/>
        </w:rPr>
        <w:t>.</w:t>
      </w:r>
      <w:r w:rsidR="00BB5E65" w:rsidRPr="007B5D33">
        <w:rPr>
          <w:rFonts w:cstheme="minorHAnsi"/>
          <w:color w:val="0000FF"/>
          <w:sz w:val="18"/>
          <w:szCs w:val="18"/>
        </w:rPr>
        <w:t> While the methodology used for impact assessment for CO</w:t>
      </w:r>
      <w:r w:rsidR="00BB5E65" w:rsidRPr="007B5D33">
        <w:rPr>
          <w:rFonts w:cstheme="minorHAnsi"/>
          <w:color w:val="0000FF"/>
          <w:sz w:val="18"/>
          <w:szCs w:val="18"/>
          <w:vertAlign w:val="subscript"/>
        </w:rPr>
        <w:t>2</w:t>
      </w:r>
      <w:r w:rsidR="00BB5E65" w:rsidRPr="007B5D33">
        <w:rPr>
          <w:rFonts w:cstheme="minorHAnsi"/>
          <w:color w:val="0000FF"/>
          <w:sz w:val="18"/>
          <w:szCs w:val="18"/>
        </w:rPr>
        <w:t xml:space="preserve"> emissions seems appropriate, it is not clear if the impact of expansion of H</w:t>
      </w:r>
      <w:r w:rsidR="00BB5E65" w:rsidRPr="007B5D33">
        <w:rPr>
          <w:rFonts w:cstheme="minorHAnsi"/>
          <w:color w:val="0000FF"/>
          <w:sz w:val="18"/>
          <w:szCs w:val="18"/>
          <w:vertAlign w:val="subscript"/>
        </w:rPr>
        <w:t>2</w:t>
      </w:r>
      <w:r w:rsidR="00BB5E65" w:rsidRPr="007B5D33">
        <w:rPr>
          <w:rFonts w:cstheme="minorHAnsi"/>
          <w:color w:val="0000FF"/>
          <w:sz w:val="18"/>
          <w:szCs w:val="18"/>
        </w:rPr>
        <w:t>, NH</w:t>
      </w:r>
      <w:r w:rsidR="00BB5E65" w:rsidRPr="007B5D33">
        <w:rPr>
          <w:rFonts w:cstheme="minorHAnsi"/>
          <w:color w:val="0000FF"/>
          <w:sz w:val="18"/>
          <w:szCs w:val="18"/>
          <w:vertAlign w:val="subscript"/>
        </w:rPr>
        <w:t>3</w:t>
      </w:r>
      <w:r w:rsidR="00BB5E65" w:rsidRPr="007B5D33">
        <w:rPr>
          <w:rFonts w:cstheme="minorHAnsi"/>
          <w:color w:val="0000FF"/>
          <w:sz w:val="18"/>
          <w:szCs w:val="18"/>
        </w:rPr>
        <w:t xml:space="preserve"> and CH</w:t>
      </w:r>
      <w:r w:rsidR="00BB5E65" w:rsidRPr="007B5D33">
        <w:rPr>
          <w:rFonts w:cstheme="minorHAnsi"/>
          <w:color w:val="0000FF"/>
          <w:sz w:val="18"/>
          <w:szCs w:val="18"/>
          <w:vertAlign w:val="subscript"/>
        </w:rPr>
        <w:t>3</w:t>
      </w:r>
      <w:r w:rsidR="00BB5E65" w:rsidRPr="007B5D33">
        <w:rPr>
          <w:rFonts w:cstheme="minorHAnsi"/>
          <w:color w:val="0000FF"/>
          <w:sz w:val="18"/>
          <w:szCs w:val="18"/>
        </w:rPr>
        <w:t>OH production on the increased mining activities have been taken in to account. Direct air capture, green hydrogen production and new production sites, will all demand significantly larger mining activities than the present day</w:t>
      </w:r>
      <w:r w:rsidRPr="007B5D33">
        <w:rPr>
          <w:rFonts w:cstheme="minorHAnsi"/>
          <w:color w:val="0000FF"/>
          <w:sz w:val="18"/>
          <w:szCs w:val="18"/>
        </w:rPr>
        <w:t>.</w:t>
      </w:r>
    </w:p>
    <w:p w14:paraId="46BBCEBA" w14:textId="4509FA50" w:rsidR="00F65816" w:rsidRPr="00A80191" w:rsidRDefault="00F65816" w:rsidP="00F65816">
      <w:pPr>
        <w:spacing w:line="288" w:lineRule="auto"/>
        <w:jc w:val="both"/>
        <w:rPr>
          <w:rFonts w:cstheme="minorHAnsi"/>
          <w:b/>
          <w:sz w:val="18"/>
          <w:szCs w:val="18"/>
        </w:rPr>
      </w:pPr>
      <w:r w:rsidRPr="00F65816">
        <w:rPr>
          <w:rFonts w:cstheme="minorHAnsi"/>
          <w:sz w:val="18"/>
          <w:szCs w:val="18"/>
        </w:rPr>
        <w:t>We agree with the Reviewer that the extraction of raw materials required for DAC, green hydrogen production, and the establishment of new production sites inevitably leads to increased mining activities. Given the life cycle perspective adopted in our study, we have indeed considered the potential impacts associated with increased mining activit</w:t>
      </w:r>
      <w:r w:rsidR="00D94B55">
        <w:rPr>
          <w:rFonts w:cstheme="minorHAnsi"/>
          <w:sz w:val="18"/>
          <w:szCs w:val="18"/>
        </w:rPr>
        <w:t>ies</w:t>
      </w:r>
      <w:r w:rsidRPr="00F65816">
        <w:rPr>
          <w:rFonts w:cstheme="minorHAnsi"/>
          <w:sz w:val="18"/>
          <w:szCs w:val="18"/>
        </w:rPr>
        <w:t xml:space="preserve">. However, we also acknowledge that </w:t>
      </w:r>
      <w:r w:rsidR="00CB3547">
        <w:rPr>
          <w:rFonts w:cstheme="minorHAnsi"/>
          <w:sz w:val="18"/>
          <w:szCs w:val="18"/>
        </w:rPr>
        <w:t>lack of data prevented us from</w:t>
      </w:r>
      <w:r w:rsidRPr="00F65816">
        <w:rPr>
          <w:rFonts w:cstheme="minorHAnsi"/>
          <w:sz w:val="18"/>
          <w:szCs w:val="18"/>
        </w:rPr>
        <w:t xml:space="preserve"> consider</w:t>
      </w:r>
      <w:r w:rsidR="00CB3547">
        <w:rPr>
          <w:rFonts w:cstheme="minorHAnsi"/>
          <w:sz w:val="18"/>
          <w:szCs w:val="18"/>
        </w:rPr>
        <w:t>ing</w:t>
      </w:r>
      <w:r w:rsidRPr="00F65816">
        <w:rPr>
          <w:rFonts w:cstheme="minorHAnsi"/>
          <w:sz w:val="18"/>
          <w:szCs w:val="18"/>
        </w:rPr>
        <w:t xml:space="preserve"> future changes in mining activities</w:t>
      </w:r>
      <w:r w:rsidR="00CB3547">
        <w:rPr>
          <w:rFonts w:cstheme="minorHAnsi"/>
          <w:sz w:val="18"/>
          <w:szCs w:val="18"/>
        </w:rPr>
        <w:t>,</w:t>
      </w:r>
      <w:r w:rsidRPr="00F65816">
        <w:rPr>
          <w:rFonts w:cstheme="minorHAnsi"/>
          <w:sz w:val="18"/>
          <w:szCs w:val="18"/>
        </w:rPr>
        <w:t xml:space="preserve"> </w:t>
      </w:r>
      <w:r w:rsidR="00CB3547">
        <w:rPr>
          <w:rFonts w:cstheme="minorHAnsi"/>
          <w:sz w:val="18"/>
          <w:szCs w:val="18"/>
        </w:rPr>
        <w:t>particularly concerning</w:t>
      </w:r>
      <w:r w:rsidRPr="00F65816">
        <w:rPr>
          <w:rFonts w:cstheme="minorHAnsi"/>
          <w:sz w:val="18"/>
          <w:szCs w:val="18"/>
        </w:rPr>
        <w:t xml:space="preserve"> technological and efficiency improvements in the mining and metal industry.</w:t>
      </w:r>
      <w:r w:rsidR="00656C7B">
        <w:rPr>
          <w:rFonts w:cstheme="minorHAnsi"/>
          <w:sz w:val="18"/>
          <w:szCs w:val="18"/>
        </w:rPr>
        <w:t xml:space="preserve"> </w:t>
      </w:r>
      <w:r w:rsidR="00A80191">
        <w:rPr>
          <w:rFonts w:cstheme="minorHAnsi"/>
          <w:b/>
          <w:sz w:val="18"/>
          <w:szCs w:val="18"/>
        </w:rPr>
        <w:t xml:space="preserve">The assumptions and limitations of the study have been updated to address this </w:t>
      </w:r>
      <w:r w:rsidR="00656C7B">
        <w:rPr>
          <w:rFonts w:cstheme="minorHAnsi"/>
          <w:b/>
          <w:sz w:val="18"/>
          <w:szCs w:val="18"/>
        </w:rPr>
        <w:t>fact</w:t>
      </w:r>
      <w:r w:rsidR="00A80191">
        <w:rPr>
          <w:rFonts w:cstheme="minorHAnsi"/>
          <w:b/>
          <w:sz w:val="18"/>
          <w:szCs w:val="18"/>
        </w:rPr>
        <w:t xml:space="preserve"> in Section 3 of the ESI.</w:t>
      </w:r>
    </w:p>
    <w:p w14:paraId="2DF698B4" w14:textId="77777777" w:rsidR="009B2FA2" w:rsidRPr="00BB5E65" w:rsidRDefault="009B2FA2" w:rsidP="00362878">
      <w:pPr>
        <w:spacing w:after="0" w:line="288" w:lineRule="auto"/>
        <w:jc w:val="both"/>
        <w:rPr>
          <w:rFonts w:cstheme="minorHAnsi"/>
          <w:color w:val="0000FF"/>
          <w:sz w:val="18"/>
          <w:szCs w:val="18"/>
        </w:rPr>
      </w:pPr>
      <w:r w:rsidRPr="00C7218A">
        <w:rPr>
          <w:rFonts w:cstheme="minorHAnsi"/>
          <w:color w:val="0000FF"/>
          <w:sz w:val="18"/>
          <w:szCs w:val="18"/>
        </w:rPr>
        <w:t>1.</w:t>
      </w:r>
      <w:r w:rsidR="008934E2" w:rsidRPr="00C7218A">
        <w:rPr>
          <w:rFonts w:cstheme="minorHAnsi"/>
          <w:color w:val="0000FF"/>
          <w:sz w:val="18"/>
          <w:szCs w:val="18"/>
        </w:rPr>
        <w:t>3</w:t>
      </w:r>
      <w:r w:rsidRPr="00C7218A">
        <w:rPr>
          <w:rFonts w:cstheme="minorHAnsi"/>
          <w:color w:val="0000FF"/>
          <w:sz w:val="18"/>
          <w:szCs w:val="18"/>
        </w:rPr>
        <w:t>.</w:t>
      </w:r>
      <w:r w:rsidR="00BB5E65" w:rsidRPr="00C7218A">
        <w:rPr>
          <w:rFonts w:cstheme="minorHAnsi"/>
          <w:color w:val="0000FF"/>
          <w:sz w:val="18"/>
          <w:szCs w:val="18"/>
        </w:rPr>
        <w:t> While the decarbonisation of global economies has been considered (</w:t>
      </w:r>
      <w:r w:rsidR="00BB5E65" w:rsidRPr="00C7218A">
        <w:rPr>
          <w:rFonts w:cstheme="minorHAnsi"/>
          <w:i/>
          <w:color w:val="0000FF"/>
          <w:sz w:val="18"/>
          <w:szCs w:val="18"/>
        </w:rPr>
        <w:t>e.g.</w:t>
      </w:r>
      <w:r w:rsidR="00BB5E65" w:rsidRPr="00C7218A">
        <w:rPr>
          <w:rFonts w:cstheme="minorHAnsi"/>
          <w:color w:val="0000FF"/>
          <w:sz w:val="18"/>
          <w:szCs w:val="18"/>
        </w:rPr>
        <w:t xml:space="preserve"> Australia and the US by 2040) I believe it only consider decarbonisation of the current power generation capacity. It does not seem to </w:t>
      </w:r>
      <w:r w:rsidR="00966427" w:rsidRPr="00C7218A">
        <w:rPr>
          <w:rFonts w:cstheme="minorHAnsi"/>
          <w:color w:val="0000FF"/>
          <w:sz w:val="18"/>
          <w:szCs w:val="18"/>
        </w:rPr>
        <w:t>consider</w:t>
      </w:r>
      <w:r w:rsidR="00BB5E65" w:rsidRPr="00C7218A">
        <w:rPr>
          <w:rFonts w:cstheme="minorHAnsi"/>
          <w:color w:val="0000FF"/>
          <w:sz w:val="18"/>
          <w:szCs w:val="18"/>
        </w:rPr>
        <w:t xml:space="preserve"> the additional power required for DAC, green hydrogen, electrification of mining operations, and new transmission grid (estimated to be about 4x the current size).</w:t>
      </w:r>
    </w:p>
    <w:p w14:paraId="196CE00F" w14:textId="21EE7FA9" w:rsidR="006F7514" w:rsidRPr="002805DC" w:rsidRDefault="006F7514" w:rsidP="006F7514">
      <w:pPr>
        <w:spacing w:line="288" w:lineRule="auto"/>
        <w:jc w:val="both"/>
        <w:rPr>
          <w:rFonts w:cstheme="minorHAnsi"/>
          <w:b/>
          <w:sz w:val="18"/>
          <w:szCs w:val="18"/>
        </w:rPr>
      </w:pPr>
      <w:r w:rsidRPr="006F7514">
        <w:rPr>
          <w:rFonts w:cstheme="minorHAnsi"/>
          <w:sz w:val="18"/>
          <w:szCs w:val="18"/>
        </w:rPr>
        <w:lastRenderedPageBreak/>
        <w:t>In this study, we have used scenario results generated by the IMAGE Integrated Assessment Models (IAM) to integrate future changes in the global power generation sector in our LCA. IAM’s scenarios are based on comprehensive socioeconomic projections that connect society (through the Shared Socioeconomic Pathways or SSPs), the biosphere, and the climate system (through the Representative Concentration Pathways or RCPs). These projections are obtained assuming various considerations such as the targeted global mean surface temperature (RCPs), alongside economic and population growth (SSPs), among others. Consequently, the future power generation scenarios derived from</w:t>
      </w:r>
      <w:r w:rsidRPr="006F7514">
        <w:rPr>
          <w:rFonts w:cstheme="minorHAnsi"/>
          <w:iCs/>
          <w:sz w:val="18"/>
          <w:szCs w:val="18"/>
        </w:rPr>
        <w:t xml:space="preserve"> IMAGE</w:t>
      </w:r>
      <w:r w:rsidRPr="006F7514">
        <w:rPr>
          <w:rFonts w:cstheme="minorHAnsi"/>
          <w:sz w:val="18"/>
          <w:szCs w:val="18"/>
        </w:rPr>
        <w:t xml:space="preserve"> do</w:t>
      </w:r>
      <w:r w:rsidR="001E40E2">
        <w:rPr>
          <w:rFonts w:cstheme="minorHAnsi"/>
          <w:sz w:val="18"/>
          <w:szCs w:val="18"/>
        </w:rPr>
        <w:t xml:space="preserve"> already</w:t>
      </w:r>
      <w:r w:rsidRPr="006F7514">
        <w:rPr>
          <w:rFonts w:cstheme="minorHAnsi"/>
          <w:sz w:val="18"/>
          <w:szCs w:val="18"/>
        </w:rPr>
        <w:t xml:space="preserve"> account for the anticipated increase in power demand</w:t>
      </w:r>
      <w:r w:rsidR="001E40E2">
        <w:rPr>
          <w:rFonts w:cstheme="minorHAnsi"/>
          <w:sz w:val="18"/>
          <w:szCs w:val="18"/>
        </w:rPr>
        <w:t>. The latter is linked to population growth but also to the future evolution of the energy sector, including the deployment of negative emissions technology such as DAC. The IAM scenarios also consider the required</w:t>
      </w:r>
      <w:r w:rsidRPr="006F7514">
        <w:rPr>
          <w:rFonts w:cstheme="minorHAnsi"/>
          <w:sz w:val="18"/>
          <w:szCs w:val="18"/>
        </w:rPr>
        <w:t xml:space="preserve"> expan</w:t>
      </w:r>
      <w:r w:rsidR="001E40E2">
        <w:rPr>
          <w:rFonts w:cstheme="minorHAnsi"/>
          <w:sz w:val="18"/>
          <w:szCs w:val="18"/>
        </w:rPr>
        <w:t>sion in capacity of</w:t>
      </w:r>
      <w:r w:rsidRPr="006F7514">
        <w:rPr>
          <w:rFonts w:cstheme="minorHAnsi"/>
          <w:sz w:val="18"/>
          <w:szCs w:val="18"/>
        </w:rPr>
        <w:t xml:space="preserve"> the existing transmission grid to accommodate the evolving energy landscape.</w:t>
      </w:r>
      <w:r w:rsidR="002805DC" w:rsidRPr="00A80191">
        <w:rPr>
          <w:rFonts w:cstheme="minorHAnsi"/>
          <w:sz w:val="18"/>
          <w:szCs w:val="18"/>
        </w:rPr>
        <w:t xml:space="preserve"> </w:t>
      </w:r>
      <w:r w:rsidR="001E40E2">
        <w:rPr>
          <w:rFonts w:cstheme="minorHAnsi"/>
          <w:sz w:val="18"/>
          <w:szCs w:val="18"/>
        </w:rPr>
        <w:t xml:space="preserve">However, other aspects such as electrification of mining operations might be omitted. </w:t>
      </w:r>
      <w:r w:rsidR="002805DC">
        <w:rPr>
          <w:rFonts w:cstheme="minorHAnsi"/>
          <w:b/>
          <w:sz w:val="18"/>
          <w:szCs w:val="18"/>
        </w:rPr>
        <w:t xml:space="preserve">We have added this information to Section 1 of the ESI, specifically within the description of the </w:t>
      </w:r>
      <w:r w:rsidR="002805DC">
        <w:rPr>
          <w:rFonts w:cstheme="minorHAnsi"/>
          <w:b/>
          <w:i/>
          <w:sz w:val="18"/>
          <w:szCs w:val="18"/>
        </w:rPr>
        <w:t>premise</w:t>
      </w:r>
      <w:r w:rsidR="002805DC">
        <w:rPr>
          <w:rFonts w:cstheme="minorHAnsi"/>
          <w:b/>
          <w:sz w:val="18"/>
          <w:szCs w:val="18"/>
        </w:rPr>
        <w:t xml:space="preserve"> and IAM scenarios, to enhance clarity.</w:t>
      </w:r>
    </w:p>
    <w:p w14:paraId="6ABDF5C1" w14:textId="212812FB" w:rsidR="009B2FA2" w:rsidRPr="00BB5E65" w:rsidRDefault="009B2FA2" w:rsidP="00362878">
      <w:pPr>
        <w:spacing w:after="0" w:line="288" w:lineRule="auto"/>
        <w:jc w:val="both"/>
        <w:rPr>
          <w:rFonts w:cstheme="minorHAnsi"/>
          <w:color w:val="0000FF"/>
          <w:sz w:val="18"/>
          <w:szCs w:val="18"/>
        </w:rPr>
      </w:pPr>
      <w:r w:rsidRPr="0083349B">
        <w:rPr>
          <w:rFonts w:cstheme="minorHAnsi"/>
          <w:color w:val="0000FF"/>
          <w:sz w:val="18"/>
          <w:szCs w:val="18"/>
        </w:rPr>
        <w:t>1.</w:t>
      </w:r>
      <w:r w:rsidR="008934E2" w:rsidRPr="0083349B">
        <w:rPr>
          <w:rFonts w:cstheme="minorHAnsi"/>
          <w:color w:val="0000FF"/>
          <w:sz w:val="18"/>
          <w:szCs w:val="18"/>
        </w:rPr>
        <w:t>4</w:t>
      </w:r>
      <w:r w:rsidRPr="0083349B">
        <w:rPr>
          <w:rFonts w:cstheme="minorHAnsi"/>
          <w:color w:val="0000FF"/>
          <w:sz w:val="18"/>
          <w:szCs w:val="18"/>
        </w:rPr>
        <w:t>.</w:t>
      </w:r>
      <w:r w:rsidR="00966427" w:rsidRPr="0083349B">
        <w:rPr>
          <w:rFonts w:cstheme="minorHAnsi"/>
          <w:color w:val="0000FF"/>
          <w:sz w:val="18"/>
          <w:szCs w:val="18"/>
        </w:rPr>
        <w:t> Furthermore, there is no economic assessment in this manuscript to properly assess the feasibility of the case studies. A TE</w:t>
      </w:r>
      <w:r w:rsidR="00AE37D8" w:rsidRPr="0083349B">
        <w:rPr>
          <w:rFonts w:cstheme="minorHAnsi"/>
          <w:color w:val="0000FF"/>
          <w:sz w:val="18"/>
          <w:szCs w:val="18"/>
        </w:rPr>
        <w:noBreakHyphen/>
      </w:r>
      <w:r w:rsidR="00966427" w:rsidRPr="0083349B">
        <w:rPr>
          <w:rFonts w:cstheme="minorHAnsi"/>
          <w:color w:val="0000FF"/>
          <w:sz w:val="18"/>
          <w:szCs w:val="18"/>
        </w:rPr>
        <w:t>LCA analysis model is generally required by the businesses to make investment decision and the governments to make policy decisions. Authors should comment on the economic viability of their scenarios</w:t>
      </w:r>
      <w:r w:rsidRPr="0083349B">
        <w:rPr>
          <w:rFonts w:cstheme="minorHAnsi"/>
          <w:color w:val="0000FF"/>
          <w:sz w:val="18"/>
          <w:szCs w:val="18"/>
        </w:rPr>
        <w:t>.</w:t>
      </w:r>
    </w:p>
    <w:p w14:paraId="76796C77" w14:textId="5193861F" w:rsidR="004F6BE7" w:rsidRPr="00F176EF" w:rsidRDefault="004F6BE7" w:rsidP="004F6BE7">
      <w:pPr>
        <w:jc w:val="both"/>
        <w:rPr>
          <w:rFonts w:cstheme="minorHAnsi"/>
          <w:sz w:val="18"/>
          <w:szCs w:val="18"/>
        </w:rPr>
      </w:pPr>
      <w:r w:rsidRPr="00452630">
        <w:rPr>
          <w:rFonts w:cstheme="minorHAnsi"/>
          <w:sz w:val="18"/>
          <w:szCs w:val="18"/>
        </w:rPr>
        <w:t>We agree with the Reviewer that a techno</w:t>
      </w:r>
      <w:r w:rsidRPr="00452630">
        <w:rPr>
          <w:rFonts w:cstheme="minorHAnsi"/>
          <w:sz w:val="18"/>
          <w:szCs w:val="18"/>
        </w:rPr>
        <w:noBreakHyphen/>
        <w:t>economic assessment would help evaluate the feasibility of different routes for chemical production. However, for the fossil and blue routes, due to the volatility of natural gas and electricity prices, it is difficult to accurately project their future production costs (</w:t>
      </w:r>
      <w:r w:rsidRPr="00452630">
        <w:rPr>
          <w:rFonts w:cstheme="minorHAnsi"/>
          <w:i/>
          <w:sz w:val="18"/>
          <w:szCs w:val="18"/>
        </w:rPr>
        <w:t>e.g.</w:t>
      </w:r>
      <w:r w:rsidRPr="00452630">
        <w:rPr>
          <w:rFonts w:cstheme="minorHAnsi"/>
          <w:sz w:val="18"/>
          <w:szCs w:val="18"/>
        </w:rPr>
        <w:t>, by 2050). In one of our previous studies [Nabera </w:t>
      </w:r>
      <w:r w:rsidRPr="00452630">
        <w:rPr>
          <w:rFonts w:cstheme="minorHAnsi"/>
          <w:i/>
          <w:sz w:val="18"/>
          <w:szCs w:val="18"/>
        </w:rPr>
        <w:t>et al</w:t>
      </w:r>
      <w:r w:rsidRPr="00452630">
        <w:rPr>
          <w:rFonts w:cstheme="minorHAnsi"/>
          <w:sz w:val="18"/>
          <w:szCs w:val="18"/>
        </w:rPr>
        <w:t xml:space="preserve">., </w:t>
      </w:r>
      <w:r w:rsidRPr="00452630">
        <w:rPr>
          <w:rFonts w:cstheme="minorHAnsi"/>
          <w:i/>
          <w:sz w:val="18"/>
          <w:szCs w:val="18"/>
        </w:rPr>
        <w:t>Green Chem.</w:t>
      </w:r>
      <w:r w:rsidRPr="00452630">
        <w:rPr>
          <w:rFonts w:cstheme="minorHAnsi"/>
          <w:sz w:val="18"/>
          <w:szCs w:val="18"/>
        </w:rPr>
        <w:t xml:space="preserve">, 2023, 25, 6603–6611], we assessed the economic viability of green chemicals amidst the backdrop of high energy prices (natural gas and electricity) due to the Russian invasion of Ukraine. </w:t>
      </w:r>
      <w:r w:rsidRPr="00452630">
        <w:rPr>
          <w:rFonts w:cstheme="minorHAnsi"/>
          <w:b/>
          <w:sz w:val="18"/>
          <w:szCs w:val="18"/>
        </w:rPr>
        <w:t xml:space="preserve">A similar analysis has been carried out and added to our work, where we perform the </w:t>
      </w:r>
      <w:r w:rsidR="007C40C8" w:rsidRPr="00452630">
        <w:rPr>
          <w:rFonts w:cstheme="minorHAnsi"/>
          <w:b/>
          <w:sz w:val="18"/>
          <w:szCs w:val="18"/>
        </w:rPr>
        <w:t xml:space="preserve">approximate </w:t>
      </w:r>
      <w:r w:rsidRPr="00452630">
        <w:rPr>
          <w:rFonts w:cstheme="minorHAnsi"/>
          <w:b/>
          <w:sz w:val="18"/>
          <w:szCs w:val="18"/>
        </w:rPr>
        <w:t>prospective techno</w:t>
      </w:r>
      <w:r w:rsidRPr="00452630">
        <w:rPr>
          <w:rFonts w:cstheme="minorHAnsi"/>
          <w:b/>
          <w:sz w:val="18"/>
          <w:szCs w:val="18"/>
        </w:rPr>
        <w:noBreakHyphen/>
        <w:t xml:space="preserve">economic assessment for the fossil, blue, and green routes for ammonia and methanol production. </w:t>
      </w:r>
      <w:r w:rsidRPr="00452630">
        <w:rPr>
          <w:rFonts w:cstheme="minorHAnsi"/>
          <w:sz w:val="18"/>
          <w:szCs w:val="18"/>
        </w:rPr>
        <w:t>We assume that in the future, natural gas prices will be susceptible to significant fluctuations due to geopolitical factors. In general, we find that according to future projections, the cost of onshore wind and solar</w:t>
      </w:r>
      <w:r w:rsidRPr="00452630">
        <w:rPr>
          <w:rFonts w:cstheme="minorHAnsi"/>
          <w:sz w:val="18"/>
          <w:szCs w:val="18"/>
        </w:rPr>
        <w:noBreakHyphen/>
        <w:t xml:space="preserve">based hydrogen could reach </w:t>
      </w:r>
      <w:r w:rsidR="007C40C8" w:rsidRPr="00452630">
        <w:rPr>
          <w:rFonts w:cstheme="minorHAnsi"/>
          <w:sz w:val="18"/>
          <w:szCs w:val="18"/>
        </w:rPr>
        <w:t>around 3.5–4.0</w:t>
      </w:r>
      <w:r w:rsidRPr="00452630">
        <w:rPr>
          <w:rFonts w:cstheme="minorHAnsi"/>
          <w:sz w:val="18"/>
          <w:szCs w:val="18"/>
        </w:rPr>
        <w:t> USD kg</w:t>
      </w:r>
      <w:r w:rsidRPr="00452630">
        <w:rPr>
          <w:rFonts w:cstheme="minorHAnsi"/>
          <w:sz w:val="18"/>
          <w:szCs w:val="18"/>
          <w:vertAlign w:val="superscript"/>
        </w:rPr>
        <w:t>–1</w:t>
      </w:r>
      <w:r w:rsidRPr="00452630">
        <w:rPr>
          <w:rFonts w:cstheme="minorHAnsi"/>
          <w:sz w:val="18"/>
          <w:szCs w:val="18"/>
        </w:rPr>
        <w:t xml:space="preserve"> by 2050</w:t>
      </w:r>
      <w:r w:rsidR="00452630">
        <w:rPr>
          <w:rFonts w:cstheme="minorHAnsi"/>
          <w:sz w:val="18"/>
          <w:szCs w:val="18"/>
        </w:rPr>
        <w:t xml:space="preserve"> [</w:t>
      </w:r>
      <w:r w:rsidR="00C91BC0">
        <w:rPr>
          <w:rFonts w:cstheme="minorHAnsi"/>
          <w:sz w:val="18"/>
          <w:szCs w:val="18"/>
        </w:rPr>
        <w:t>Hydrogen Council</w:t>
      </w:r>
      <w:r w:rsidR="00452630">
        <w:rPr>
          <w:rFonts w:cstheme="minorHAnsi"/>
          <w:sz w:val="18"/>
          <w:szCs w:val="18"/>
        </w:rPr>
        <w:t xml:space="preserve">, </w:t>
      </w:r>
      <w:r w:rsidR="00C91BC0">
        <w:rPr>
          <w:rFonts w:cstheme="minorHAnsi"/>
          <w:i/>
          <w:sz w:val="18"/>
          <w:szCs w:val="18"/>
        </w:rPr>
        <w:t>Path to Hydrogen Competitiveness: A Cost Perspective</w:t>
      </w:r>
      <w:r w:rsidR="00452630">
        <w:rPr>
          <w:rFonts w:cstheme="minorHAnsi"/>
          <w:sz w:val="18"/>
          <w:szCs w:val="18"/>
        </w:rPr>
        <w:t>]</w:t>
      </w:r>
      <w:r w:rsidRPr="00452630">
        <w:rPr>
          <w:rFonts w:cstheme="minorHAnsi"/>
          <w:sz w:val="18"/>
          <w:szCs w:val="18"/>
        </w:rPr>
        <w:t xml:space="preserve">, compared to their current prices of </w:t>
      </w:r>
      <w:r w:rsidR="007C40C8" w:rsidRPr="00452630">
        <w:rPr>
          <w:rFonts w:cstheme="minorHAnsi"/>
          <w:sz w:val="18"/>
          <w:szCs w:val="18"/>
        </w:rPr>
        <w:t>6.8</w:t>
      </w:r>
      <w:r w:rsidRPr="00452630">
        <w:rPr>
          <w:rFonts w:cstheme="minorHAnsi"/>
          <w:sz w:val="18"/>
          <w:szCs w:val="18"/>
        </w:rPr>
        <w:t>–</w:t>
      </w:r>
      <w:r w:rsidR="007C40C8" w:rsidRPr="00452630">
        <w:rPr>
          <w:rFonts w:cstheme="minorHAnsi"/>
          <w:sz w:val="18"/>
          <w:szCs w:val="18"/>
        </w:rPr>
        <w:t>9.2</w:t>
      </w:r>
      <w:r w:rsidRPr="00452630">
        <w:rPr>
          <w:rFonts w:cstheme="minorHAnsi"/>
          <w:sz w:val="18"/>
          <w:szCs w:val="18"/>
        </w:rPr>
        <w:t> USD kg</w:t>
      </w:r>
      <w:r w:rsidRPr="00452630">
        <w:rPr>
          <w:rFonts w:cstheme="minorHAnsi"/>
          <w:sz w:val="18"/>
          <w:szCs w:val="18"/>
          <w:vertAlign w:val="superscript"/>
        </w:rPr>
        <w:t>–1</w:t>
      </w:r>
      <w:r w:rsidRPr="00452630">
        <w:rPr>
          <w:rFonts w:cstheme="minorHAnsi"/>
          <w:sz w:val="18"/>
          <w:szCs w:val="18"/>
        </w:rPr>
        <w:t>. Therefore, the green routes will exhibit lower costs and</w:t>
      </w:r>
      <w:r w:rsidR="00984BEA">
        <w:rPr>
          <w:rFonts w:cstheme="minorHAnsi"/>
          <w:sz w:val="18"/>
          <w:szCs w:val="18"/>
        </w:rPr>
        <w:t xml:space="preserve"> will</w:t>
      </w:r>
      <w:r w:rsidRPr="00452630">
        <w:rPr>
          <w:rFonts w:cstheme="minorHAnsi"/>
          <w:sz w:val="18"/>
          <w:szCs w:val="18"/>
        </w:rPr>
        <w:t xml:space="preserve"> become economically more attractive. </w:t>
      </w:r>
      <w:r w:rsidRPr="00452630">
        <w:rPr>
          <w:rFonts w:cstheme="minorHAnsi"/>
          <w:b/>
          <w:sz w:val="18"/>
          <w:szCs w:val="18"/>
        </w:rPr>
        <w:t>A new section (Section 7) has been added to the ESI along with the new Fig. S7 to provide a further general overview of the techno</w:t>
      </w:r>
      <w:r w:rsidRPr="00452630">
        <w:rPr>
          <w:rFonts w:cstheme="minorHAnsi"/>
          <w:b/>
          <w:sz w:val="18"/>
          <w:szCs w:val="18"/>
        </w:rPr>
        <w:noBreakHyphen/>
        <w:t>economic performance of the chemical production routes. Moreover, the discussion of results in the main manuscript has been updated to further elaborate on this aspect of our work (page 5, line </w:t>
      </w:r>
      <w:r w:rsidR="00D57A46">
        <w:rPr>
          <w:rFonts w:cstheme="minorHAnsi"/>
          <w:b/>
          <w:sz w:val="18"/>
          <w:szCs w:val="18"/>
        </w:rPr>
        <w:t>24</w:t>
      </w:r>
      <w:r w:rsidRPr="00452630">
        <w:rPr>
          <w:rFonts w:cstheme="minorHAnsi"/>
          <w:b/>
          <w:sz w:val="18"/>
          <w:szCs w:val="18"/>
        </w:rPr>
        <w:t>, left column).</w:t>
      </w:r>
      <w:r w:rsidR="00F176EF">
        <w:rPr>
          <w:rFonts w:cstheme="minorHAnsi"/>
          <w:sz w:val="18"/>
          <w:szCs w:val="18"/>
        </w:rPr>
        <w:t xml:space="preserve"> However, we also acknowledge that this analysis is based on future projections from the literature and provides rough estimates, given the high uncertainty and volatility inherent in future energy prices, which are influenced by geopolitical factors and technological advancements.</w:t>
      </w:r>
    </w:p>
    <w:p w14:paraId="09DAF42E" w14:textId="77777777" w:rsidR="009B2FA2" w:rsidRPr="00BB5E65" w:rsidRDefault="009B2FA2" w:rsidP="00362878">
      <w:pPr>
        <w:jc w:val="both"/>
        <w:rPr>
          <w:rFonts w:cstheme="minorHAnsi"/>
          <w:b/>
          <w:sz w:val="18"/>
          <w:szCs w:val="18"/>
        </w:rPr>
      </w:pPr>
      <w:r w:rsidRPr="00BB5E65">
        <w:rPr>
          <w:rFonts w:cstheme="minorHAnsi"/>
          <w:b/>
          <w:sz w:val="18"/>
          <w:szCs w:val="18"/>
        </w:rPr>
        <w:br w:type="page"/>
      </w:r>
      <w:r w:rsidRPr="00BB5E65">
        <w:rPr>
          <w:rFonts w:cstheme="minorHAnsi"/>
          <w:b/>
          <w:bCs/>
          <w:sz w:val="18"/>
          <w:szCs w:val="18"/>
          <w:u w:val="single"/>
        </w:rPr>
        <w:lastRenderedPageBreak/>
        <w:t>Reviewer</w:t>
      </w:r>
      <w:r w:rsidR="009B352A">
        <w:rPr>
          <w:rFonts w:cstheme="minorHAnsi"/>
          <w:b/>
          <w:bCs/>
          <w:sz w:val="18"/>
          <w:szCs w:val="18"/>
          <w:u w:val="single"/>
        </w:rPr>
        <w:t> </w:t>
      </w:r>
      <w:r w:rsidRPr="00BB5E65">
        <w:rPr>
          <w:rFonts w:cstheme="minorHAnsi"/>
          <w:b/>
          <w:bCs/>
          <w:sz w:val="18"/>
          <w:szCs w:val="18"/>
          <w:u w:val="single"/>
        </w:rPr>
        <w:t>#2</w:t>
      </w:r>
    </w:p>
    <w:p w14:paraId="2FD63D9D" w14:textId="77777777" w:rsidR="009B2FA2" w:rsidRPr="00BB5E65" w:rsidRDefault="009B2FA2" w:rsidP="00362878">
      <w:pPr>
        <w:spacing w:after="0" w:line="288" w:lineRule="auto"/>
        <w:jc w:val="both"/>
        <w:rPr>
          <w:rFonts w:cstheme="minorHAnsi"/>
          <w:color w:val="0000FF"/>
          <w:sz w:val="18"/>
          <w:szCs w:val="18"/>
        </w:rPr>
      </w:pPr>
      <w:r w:rsidRPr="00997CA5">
        <w:rPr>
          <w:rFonts w:cstheme="minorHAnsi"/>
          <w:color w:val="0000FF"/>
          <w:sz w:val="18"/>
          <w:szCs w:val="18"/>
        </w:rPr>
        <w:t>2.0. </w:t>
      </w:r>
      <w:r w:rsidR="005243D9" w:rsidRPr="00997CA5">
        <w:rPr>
          <w:rFonts w:cstheme="minorHAnsi"/>
          <w:color w:val="0000FF"/>
          <w:sz w:val="18"/>
          <w:szCs w:val="18"/>
        </w:rPr>
        <w:t>The manuscript titled ‘Integrated climate policies in the sustainability of green chemicals’ presents the results of a prospective LCA (pLCA) study which assessed the impacts of decarbonised supply chains of hydrogen, ammonia and methanol production. The paper highlights the importance supply chain/indirect decarbonisation actions can have on the life cycle carbon footprint of chemicals and would be a good fit for the journal. However, the paper has a number of issues which need resolving before it can be in a state fit for consideration for publication.</w:t>
      </w:r>
    </w:p>
    <w:p w14:paraId="748C9F62" w14:textId="01548221" w:rsidR="0003501A" w:rsidRPr="002A0F58" w:rsidRDefault="0003501A" w:rsidP="0003501A">
      <w:pPr>
        <w:spacing w:line="288" w:lineRule="auto"/>
        <w:jc w:val="both"/>
        <w:rPr>
          <w:rFonts w:cstheme="minorHAnsi"/>
          <w:sz w:val="18"/>
          <w:szCs w:val="18"/>
        </w:rPr>
      </w:pPr>
      <w:r w:rsidRPr="0003501A">
        <w:rPr>
          <w:rFonts w:cstheme="minorHAnsi"/>
          <w:sz w:val="18"/>
          <w:szCs w:val="18"/>
        </w:rPr>
        <w:t xml:space="preserve">We thank the Reviewer for highlighting the impact and fit of our work for the journal. We also appreciate the Reviewer’s insightful comments aimed at improving the transparency and clarity of our methodology and assumptions. Among other actions, </w:t>
      </w:r>
      <w:r w:rsidRPr="0003501A">
        <w:rPr>
          <w:rFonts w:cstheme="minorHAnsi"/>
          <w:b/>
          <w:sz w:val="18"/>
          <w:szCs w:val="18"/>
        </w:rPr>
        <w:t xml:space="preserve">we have incorporated </w:t>
      </w:r>
      <w:r w:rsidR="00EA2679">
        <w:rPr>
          <w:rFonts w:cstheme="minorHAnsi"/>
          <w:b/>
          <w:sz w:val="18"/>
          <w:szCs w:val="18"/>
        </w:rPr>
        <w:t>approximate prospective</w:t>
      </w:r>
      <w:r w:rsidRPr="0003501A">
        <w:rPr>
          <w:rFonts w:cstheme="minorHAnsi"/>
          <w:b/>
          <w:sz w:val="18"/>
          <w:szCs w:val="18"/>
        </w:rPr>
        <w:t xml:space="preserve"> techno</w:t>
      </w:r>
      <w:r w:rsidRPr="0003501A">
        <w:rPr>
          <w:rFonts w:cstheme="minorHAnsi"/>
          <w:b/>
          <w:sz w:val="18"/>
          <w:szCs w:val="18"/>
        </w:rPr>
        <w:noBreakHyphen/>
        <w:t>economic assessments into our revised manuscript</w:t>
      </w:r>
      <w:r w:rsidRPr="0003501A">
        <w:rPr>
          <w:rFonts w:cstheme="minorHAnsi"/>
          <w:sz w:val="18"/>
          <w:szCs w:val="18"/>
        </w:rPr>
        <w:t xml:space="preserve">. These results are presented in the new </w:t>
      </w:r>
      <w:r w:rsidRPr="0003501A">
        <w:rPr>
          <w:rFonts w:cstheme="minorHAnsi"/>
          <w:b/>
          <w:sz w:val="18"/>
          <w:szCs w:val="18"/>
        </w:rPr>
        <w:t>Section 7</w:t>
      </w:r>
      <w:r w:rsidRPr="0003501A">
        <w:rPr>
          <w:rFonts w:cstheme="minorHAnsi"/>
          <w:sz w:val="18"/>
          <w:szCs w:val="18"/>
        </w:rPr>
        <w:t xml:space="preserve"> and supported by the new </w:t>
      </w:r>
      <w:r w:rsidRPr="0003501A">
        <w:rPr>
          <w:rFonts w:cstheme="minorHAnsi"/>
          <w:b/>
          <w:sz w:val="18"/>
          <w:szCs w:val="18"/>
        </w:rPr>
        <w:t>Fig. S7</w:t>
      </w:r>
      <w:r w:rsidRPr="0003501A">
        <w:rPr>
          <w:rFonts w:cstheme="minorHAnsi"/>
          <w:sz w:val="18"/>
          <w:szCs w:val="18"/>
        </w:rPr>
        <w:t xml:space="preserve"> of the ESI. </w:t>
      </w:r>
      <w:r w:rsidR="002A0F58">
        <w:rPr>
          <w:rFonts w:cstheme="minorHAnsi"/>
          <w:sz w:val="18"/>
          <w:szCs w:val="18"/>
        </w:rPr>
        <w:t>Specifically, we demonstrate that onshore wind and solar</w:t>
      </w:r>
      <w:r w:rsidR="002A0F58">
        <w:rPr>
          <w:rFonts w:cstheme="minorHAnsi"/>
          <w:sz w:val="18"/>
          <w:szCs w:val="18"/>
        </w:rPr>
        <w:noBreakHyphen/>
        <w:t>based hydrogen could become economically attractive by 2050, with costs potentially reaching 3.5–4.0 USD kg</w:t>
      </w:r>
      <w:r w:rsidR="002A0F58" w:rsidRPr="002A0F58">
        <w:rPr>
          <w:rFonts w:cstheme="minorHAnsi"/>
          <w:sz w:val="18"/>
          <w:szCs w:val="18"/>
          <w:vertAlign w:val="superscript"/>
        </w:rPr>
        <w:t>–1</w:t>
      </w:r>
      <w:r w:rsidR="002A0F58">
        <w:rPr>
          <w:rFonts w:cstheme="minorHAnsi"/>
          <w:sz w:val="18"/>
          <w:szCs w:val="18"/>
        </w:rPr>
        <w:t>, compared to their current prices of 6.8–9.2 USD kg</w:t>
      </w:r>
      <w:r w:rsidR="002A0F58" w:rsidRPr="002A0F58">
        <w:rPr>
          <w:rFonts w:cstheme="minorHAnsi"/>
          <w:sz w:val="18"/>
          <w:szCs w:val="18"/>
          <w:vertAlign w:val="superscript"/>
        </w:rPr>
        <w:t>–1</w:t>
      </w:r>
      <w:r w:rsidR="002A0F58">
        <w:rPr>
          <w:rFonts w:cstheme="minorHAnsi"/>
          <w:sz w:val="18"/>
          <w:szCs w:val="18"/>
        </w:rPr>
        <w:t xml:space="preserve">. Despite acknowledging the high uncertainty in future prices influenced by geopolitical factors and technological advancements, the analysis suggests potential cost </w:t>
      </w:r>
      <w:r w:rsidR="009427A0">
        <w:rPr>
          <w:rFonts w:cstheme="minorHAnsi"/>
          <w:sz w:val="18"/>
          <w:szCs w:val="18"/>
        </w:rPr>
        <w:t>reductions</w:t>
      </w:r>
      <w:r w:rsidR="002A0F58">
        <w:rPr>
          <w:rFonts w:cstheme="minorHAnsi"/>
          <w:sz w:val="18"/>
          <w:szCs w:val="18"/>
        </w:rPr>
        <w:t xml:space="preserve"> for ammonia and methanol production </w:t>
      </w:r>
      <w:r w:rsidR="002A0F58">
        <w:rPr>
          <w:rFonts w:cstheme="minorHAnsi"/>
          <w:i/>
          <w:sz w:val="18"/>
          <w:szCs w:val="18"/>
        </w:rPr>
        <w:t>via</w:t>
      </w:r>
      <w:r w:rsidR="002A0F58">
        <w:rPr>
          <w:rFonts w:cstheme="minorHAnsi"/>
          <w:sz w:val="18"/>
          <w:szCs w:val="18"/>
        </w:rPr>
        <w:t xml:space="preserve"> green pathways.</w:t>
      </w:r>
    </w:p>
    <w:p w14:paraId="16831A7D" w14:textId="77777777" w:rsidR="009B2FA2" w:rsidRPr="00BB5E65" w:rsidRDefault="009B2FA2" w:rsidP="00362878">
      <w:pPr>
        <w:spacing w:after="0" w:line="288" w:lineRule="auto"/>
        <w:jc w:val="both"/>
        <w:rPr>
          <w:rFonts w:cstheme="minorHAnsi"/>
          <w:color w:val="0000FF"/>
          <w:sz w:val="18"/>
          <w:szCs w:val="18"/>
        </w:rPr>
      </w:pPr>
      <w:r w:rsidRPr="00BA110F">
        <w:rPr>
          <w:rFonts w:cstheme="minorHAnsi"/>
          <w:color w:val="0000FF"/>
          <w:sz w:val="18"/>
          <w:szCs w:val="18"/>
        </w:rPr>
        <w:t>2.1.</w:t>
      </w:r>
      <w:r w:rsidR="005243D9" w:rsidRPr="00BA110F">
        <w:rPr>
          <w:rFonts w:cstheme="minorHAnsi"/>
          <w:color w:val="0000FF"/>
          <w:sz w:val="18"/>
          <w:szCs w:val="18"/>
        </w:rPr>
        <w:t xml:space="preserve"> The main issue is around transparency in the methodology and assumptions made in the pLCA. It is not clear from the methodology (in the ESI) which </w:t>
      </w:r>
      <w:r w:rsidR="005243D9" w:rsidRPr="00BA110F">
        <w:rPr>
          <w:rFonts w:cstheme="minorHAnsi"/>
          <w:i/>
          <w:color w:val="0000FF"/>
          <w:sz w:val="18"/>
          <w:szCs w:val="18"/>
        </w:rPr>
        <w:t>premise</w:t>
      </w:r>
      <w:r w:rsidR="005243D9" w:rsidRPr="00BA110F">
        <w:rPr>
          <w:rFonts w:cstheme="minorHAnsi"/>
          <w:color w:val="0000FF"/>
          <w:sz w:val="18"/>
          <w:szCs w:val="18"/>
        </w:rPr>
        <w:t xml:space="preserve"> scenarios were used. From the information given in the paper, I would guess SSP2</w:t>
      </w:r>
      <w:r w:rsidR="00290F4D" w:rsidRPr="00BA110F">
        <w:rPr>
          <w:rFonts w:cstheme="minorHAnsi"/>
          <w:color w:val="0000FF"/>
          <w:sz w:val="18"/>
          <w:szCs w:val="18"/>
        </w:rPr>
        <w:noBreakHyphen/>
      </w:r>
      <w:r w:rsidR="005243D9" w:rsidRPr="00BA110F">
        <w:rPr>
          <w:rFonts w:cstheme="minorHAnsi"/>
          <w:color w:val="0000FF"/>
          <w:sz w:val="18"/>
          <w:szCs w:val="18"/>
        </w:rPr>
        <w:t>Base, SSP2</w:t>
      </w:r>
      <w:r w:rsidR="00290F4D" w:rsidRPr="00BA110F">
        <w:rPr>
          <w:rFonts w:cstheme="minorHAnsi"/>
          <w:color w:val="0000FF"/>
          <w:sz w:val="18"/>
          <w:szCs w:val="18"/>
        </w:rPr>
        <w:noBreakHyphen/>
      </w:r>
      <w:r w:rsidR="005243D9" w:rsidRPr="00BA110F">
        <w:rPr>
          <w:rFonts w:cstheme="minorHAnsi"/>
          <w:color w:val="0000FF"/>
          <w:sz w:val="18"/>
          <w:szCs w:val="18"/>
        </w:rPr>
        <w:t>PkBudg1100 and PkBudg500.</w:t>
      </w:r>
    </w:p>
    <w:p w14:paraId="6DC3A54B" w14:textId="77777777" w:rsidR="0003501A" w:rsidRPr="0003501A" w:rsidRDefault="0003501A" w:rsidP="0003501A">
      <w:pPr>
        <w:spacing w:after="0" w:line="288" w:lineRule="auto"/>
        <w:jc w:val="both"/>
        <w:rPr>
          <w:rFonts w:cstheme="minorHAnsi"/>
          <w:sz w:val="18"/>
          <w:szCs w:val="18"/>
        </w:rPr>
      </w:pPr>
      <w:r w:rsidRPr="0003501A">
        <w:rPr>
          <w:rFonts w:cstheme="minorHAnsi"/>
          <w:sz w:val="18"/>
          <w:szCs w:val="18"/>
        </w:rPr>
        <w:t xml:space="preserve">We appreciate the suggestion from the Reviewer and acknowledge that the information regarding the </w:t>
      </w:r>
      <w:r w:rsidRPr="0003501A">
        <w:rPr>
          <w:rFonts w:cstheme="minorHAnsi"/>
          <w:i/>
          <w:sz w:val="18"/>
          <w:szCs w:val="18"/>
        </w:rPr>
        <w:t>premise</w:t>
      </w:r>
      <w:r w:rsidRPr="0003501A">
        <w:rPr>
          <w:rFonts w:cstheme="minorHAnsi"/>
          <w:sz w:val="18"/>
          <w:szCs w:val="18"/>
        </w:rPr>
        <w:t xml:space="preserve"> scenarios utilised in our work could be improved. To perform the prospective LCA, we utilise scenario results from the IMAGE Integrated Assessment Model (IAM). The </w:t>
      </w:r>
      <w:r w:rsidRPr="0003501A">
        <w:rPr>
          <w:rFonts w:cstheme="minorHAnsi"/>
          <w:i/>
          <w:sz w:val="18"/>
          <w:szCs w:val="18"/>
        </w:rPr>
        <w:t>premise</w:t>
      </w:r>
      <w:r w:rsidRPr="0003501A">
        <w:rPr>
          <w:rFonts w:cstheme="minorHAnsi"/>
          <w:sz w:val="18"/>
          <w:szCs w:val="18"/>
        </w:rPr>
        <w:t> v1.5.8 framework is further used to construct future background data based on the results derived from IMAGE. In our study, we employ the SSP2, corresponding to the middle</w:t>
      </w:r>
      <w:r w:rsidRPr="0003501A">
        <w:rPr>
          <w:rFonts w:cstheme="minorHAnsi"/>
          <w:sz w:val="18"/>
          <w:szCs w:val="18"/>
        </w:rPr>
        <w:noBreakHyphen/>
        <w:t>of</w:t>
      </w:r>
      <w:r w:rsidRPr="0003501A">
        <w:rPr>
          <w:rFonts w:cstheme="minorHAnsi"/>
          <w:sz w:val="18"/>
          <w:szCs w:val="18"/>
        </w:rPr>
        <w:noBreakHyphen/>
        <w:t>the</w:t>
      </w:r>
      <w:r w:rsidRPr="0003501A">
        <w:rPr>
          <w:rFonts w:cstheme="minorHAnsi"/>
          <w:sz w:val="18"/>
          <w:szCs w:val="18"/>
        </w:rPr>
        <w:noBreakHyphen/>
        <w:t xml:space="preserve">road pathway, combined with three Representative Concentration Pathways (RCPs). Therefore, the exact scenarios derived from </w:t>
      </w:r>
      <w:r w:rsidRPr="0003501A">
        <w:rPr>
          <w:rFonts w:cstheme="minorHAnsi"/>
          <w:i/>
          <w:sz w:val="18"/>
          <w:szCs w:val="18"/>
        </w:rPr>
        <w:t>premise</w:t>
      </w:r>
      <w:r w:rsidRPr="0003501A">
        <w:rPr>
          <w:rFonts w:cstheme="minorHAnsi"/>
          <w:sz w:val="18"/>
          <w:szCs w:val="18"/>
        </w:rPr>
        <w:t xml:space="preserve"> based on the results from the IMAGE IAM are:</w:t>
      </w:r>
    </w:p>
    <w:p w14:paraId="05A927EF" w14:textId="5F887B34" w:rsidR="0003501A" w:rsidRPr="0003501A" w:rsidRDefault="0003501A" w:rsidP="0003501A">
      <w:pPr>
        <w:numPr>
          <w:ilvl w:val="0"/>
          <w:numId w:val="2"/>
        </w:numPr>
        <w:spacing w:after="0" w:line="288" w:lineRule="auto"/>
        <w:jc w:val="both"/>
        <w:rPr>
          <w:rFonts w:cstheme="minorHAnsi"/>
          <w:sz w:val="18"/>
          <w:szCs w:val="18"/>
          <w:lang w:val="en-US"/>
        </w:rPr>
      </w:pPr>
      <w:r w:rsidRPr="0003501A">
        <w:rPr>
          <w:rFonts w:cstheme="minorHAnsi"/>
          <w:sz w:val="18"/>
          <w:szCs w:val="18"/>
          <w:lang w:val="en-US"/>
        </w:rPr>
        <w:t>SSP2</w:t>
      </w:r>
      <w:r w:rsidRPr="0003501A">
        <w:rPr>
          <w:rFonts w:cstheme="minorHAnsi"/>
          <w:sz w:val="18"/>
          <w:szCs w:val="18"/>
          <w:lang w:val="en-US"/>
        </w:rPr>
        <w:noBreakHyphen/>
        <w:t>Base, limiting global mean surface temperature (GMST) to 3.5 </w:t>
      </w:r>
      <w:r w:rsidR="000B666B" w:rsidRPr="0003501A">
        <w:rPr>
          <w:rFonts w:cstheme="minorHAnsi"/>
          <w:sz w:val="18"/>
          <w:szCs w:val="18"/>
        </w:rPr>
        <w:t>°</w:t>
      </w:r>
      <w:r w:rsidRPr="0003501A">
        <w:rPr>
          <w:rFonts w:cstheme="minorHAnsi"/>
          <w:sz w:val="18"/>
          <w:szCs w:val="18"/>
          <w:lang w:val="en-US"/>
        </w:rPr>
        <w:t>C.</w:t>
      </w:r>
    </w:p>
    <w:p w14:paraId="456DAEB3" w14:textId="77777777" w:rsidR="0003501A" w:rsidRPr="0003501A" w:rsidRDefault="0003501A" w:rsidP="0003501A">
      <w:pPr>
        <w:numPr>
          <w:ilvl w:val="0"/>
          <w:numId w:val="2"/>
        </w:numPr>
        <w:spacing w:after="0" w:line="288" w:lineRule="auto"/>
        <w:jc w:val="both"/>
        <w:rPr>
          <w:rFonts w:cstheme="minorHAnsi"/>
          <w:sz w:val="18"/>
          <w:szCs w:val="18"/>
          <w:lang w:val="en-US"/>
        </w:rPr>
      </w:pPr>
      <w:r w:rsidRPr="0003501A">
        <w:rPr>
          <w:rFonts w:cstheme="minorHAnsi"/>
          <w:sz w:val="18"/>
          <w:szCs w:val="18"/>
          <w:lang w:val="en-US"/>
        </w:rPr>
        <w:t>SSP2</w:t>
      </w:r>
      <w:r w:rsidRPr="0003501A">
        <w:rPr>
          <w:rFonts w:cstheme="minorHAnsi"/>
          <w:sz w:val="18"/>
          <w:szCs w:val="18"/>
          <w:lang w:val="en-US"/>
        </w:rPr>
        <w:noBreakHyphen/>
        <w:t>RCP26, limiting GMST to 2 </w:t>
      </w:r>
      <w:r w:rsidRPr="0003501A">
        <w:rPr>
          <w:rFonts w:cstheme="minorHAnsi"/>
          <w:sz w:val="18"/>
          <w:szCs w:val="18"/>
        </w:rPr>
        <w:t>°</w:t>
      </w:r>
      <w:r w:rsidRPr="0003501A">
        <w:rPr>
          <w:rFonts w:cstheme="minorHAnsi"/>
          <w:sz w:val="18"/>
          <w:szCs w:val="18"/>
          <w:lang w:val="en-US"/>
        </w:rPr>
        <w:t>C.</w:t>
      </w:r>
    </w:p>
    <w:p w14:paraId="1BD3EFAE" w14:textId="77777777" w:rsidR="0003501A" w:rsidRPr="0003501A" w:rsidRDefault="0003501A" w:rsidP="0003501A">
      <w:pPr>
        <w:numPr>
          <w:ilvl w:val="0"/>
          <w:numId w:val="2"/>
        </w:numPr>
        <w:spacing w:after="0" w:line="288" w:lineRule="auto"/>
        <w:jc w:val="both"/>
        <w:rPr>
          <w:rFonts w:cstheme="minorHAnsi"/>
          <w:sz w:val="18"/>
          <w:szCs w:val="18"/>
          <w:lang w:val="en-US"/>
        </w:rPr>
      </w:pPr>
      <w:r w:rsidRPr="0003501A">
        <w:rPr>
          <w:rFonts w:cstheme="minorHAnsi"/>
          <w:sz w:val="18"/>
          <w:szCs w:val="18"/>
          <w:lang w:val="en-US"/>
        </w:rPr>
        <w:t>SSP2</w:t>
      </w:r>
      <w:r w:rsidRPr="0003501A">
        <w:rPr>
          <w:rFonts w:cstheme="minorHAnsi"/>
          <w:sz w:val="18"/>
          <w:szCs w:val="18"/>
          <w:lang w:val="en-US"/>
        </w:rPr>
        <w:noBreakHyphen/>
        <w:t>RCP19, limiting GMST to 1.5 </w:t>
      </w:r>
      <w:r w:rsidRPr="0003501A">
        <w:rPr>
          <w:rFonts w:cstheme="minorHAnsi"/>
          <w:sz w:val="18"/>
          <w:szCs w:val="18"/>
        </w:rPr>
        <w:t>°</w:t>
      </w:r>
      <w:r w:rsidRPr="0003501A">
        <w:rPr>
          <w:rFonts w:cstheme="minorHAnsi"/>
          <w:sz w:val="18"/>
          <w:szCs w:val="18"/>
          <w:lang w:val="en-US"/>
        </w:rPr>
        <w:t>C.</w:t>
      </w:r>
    </w:p>
    <w:p w14:paraId="2C9EBA35" w14:textId="77777777" w:rsidR="0003501A" w:rsidRPr="0003501A" w:rsidRDefault="0003501A" w:rsidP="0003501A">
      <w:pPr>
        <w:spacing w:line="288" w:lineRule="auto"/>
        <w:jc w:val="both"/>
        <w:rPr>
          <w:rFonts w:cstheme="minorHAnsi"/>
          <w:b/>
          <w:sz w:val="18"/>
          <w:szCs w:val="18"/>
        </w:rPr>
      </w:pPr>
      <w:r w:rsidRPr="0003501A">
        <w:rPr>
          <w:rFonts w:cstheme="minorHAnsi"/>
          <w:b/>
          <w:sz w:val="18"/>
          <w:szCs w:val="18"/>
        </w:rPr>
        <w:t xml:space="preserve">The ESI has been updated to include the exact scenarios utilised from </w:t>
      </w:r>
      <w:r w:rsidRPr="0003501A">
        <w:rPr>
          <w:rFonts w:cstheme="minorHAnsi"/>
          <w:b/>
          <w:i/>
          <w:sz w:val="18"/>
          <w:szCs w:val="18"/>
        </w:rPr>
        <w:t>premise</w:t>
      </w:r>
      <w:r w:rsidRPr="0003501A">
        <w:rPr>
          <w:rFonts w:cstheme="minorHAnsi"/>
          <w:b/>
          <w:sz w:val="18"/>
          <w:szCs w:val="18"/>
        </w:rPr>
        <w:t>.</w:t>
      </w:r>
    </w:p>
    <w:p w14:paraId="406D7688" w14:textId="77777777" w:rsidR="009B2FA2" w:rsidRPr="00BB5E65" w:rsidRDefault="009B2FA2" w:rsidP="00362878">
      <w:pPr>
        <w:spacing w:after="0" w:line="288" w:lineRule="auto"/>
        <w:jc w:val="both"/>
        <w:rPr>
          <w:rFonts w:cstheme="minorHAnsi"/>
          <w:color w:val="0000FF"/>
          <w:sz w:val="18"/>
          <w:szCs w:val="18"/>
        </w:rPr>
      </w:pPr>
      <w:r w:rsidRPr="00B53E5D">
        <w:rPr>
          <w:rFonts w:cstheme="minorHAnsi"/>
          <w:color w:val="0000FF"/>
          <w:sz w:val="18"/>
          <w:szCs w:val="18"/>
        </w:rPr>
        <w:t>2.2.</w:t>
      </w:r>
      <w:r w:rsidR="00040861" w:rsidRPr="00B53E5D">
        <w:rPr>
          <w:rFonts w:cstheme="minorHAnsi"/>
          <w:color w:val="0000FF"/>
          <w:sz w:val="18"/>
          <w:szCs w:val="18"/>
        </w:rPr>
        <w:t> </w:t>
      </w:r>
      <w:r w:rsidR="005243D9" w:rsidRPr="00B53E5D">
        <w:rPr>
          <w:rFonts w:cstheme="minorHAnsi"/>
          <w:color w:val="0000FF"/>
          <w:sz w:val="18"/>
          <w:szCs w:val="18"/>
        </w:rPr>
        <w:t>The LCIA used is also not stated, but judging from the results presented, I would assume CML was used.</w:t>
      </w:r>
    </w:p>
    <w:p w14:paraId="382B6D75" w14:textId="430933A8" w:rsidR="0003501A" w:rsidRPr="0003501A" w:rsidRDefault="0003501A" w:rsidP="0003501A">
      <w:pPr>
        <w:spacing w:line="288" w:lineRule="auto"/>
        <w:jc w:val="both"/>
        <w:rPr>
          <w:rFonts w:cstheme="minorHAnsi"/>
          <w:b/>
          <w:sz w:val="18"/>
          <w:szCs w:val="18"/>
        </w:rPr>
      </w:pPr>
      <w:r w:rsidRPr="0003501A">
        <w:rPr>
          <w:rFonts w:cstheme="minorHAnsi"/>
          <w:sz w:val="18"/>
          <w:szCs w:val="18"/>
        </w:rPr>
        <w:t xml:space="preserve">The detailed methodology was described in the ESI, following editorial guidelines. In </w:t>
      </w:r>
      <w:r w:rsidRPr="0003501A">
        <w:rPr>
          <w:rFonts w:cstheme="minorHAnsi"/>
          <w:b/>
          <w:sz w:val="18"/>
          <w:szCs w:val="18"/>
        </w:rPr>
        <w:t>Section 1</w:t>
      </w:r>
      <w:r w:rsidRPr="0003501A">
        <w:rPr>
          <w:rFonts w:cstheme="minorHAnsi"/>
          <w:sz w:val="18"/>
          <w:szCs w:val="18"/>
        </w:rPr>
        <w:t xml:space="preserve"> of the ESI, we discuss the impact assessment methods utilised in our study. In this work, we assess multiple impact categories to shed light on potential trade</w:t>
      </w:r>
      <w:r w:rsidRPr="0003501A">
        <w:rPr>
          <w:rFonts w:cstheme="minorHAnsi"/>
          <w:sz w:val="18"/>
          <w:szCs w:val="18"/>
        </w:rPr>
        <w:noBreakHyphen/>
        <w:t>offs. We specifically utilised the IPCC 2013 100</w:t>
      </w:r>
      <w:r w:rsidRPr="0003501A">
        <w:rPr>
          <w:rFonts w:cstheme="minorHAnsi"/>
          <w:sz w:val="18"/>
          <w:szCs w:val="18"/>
        </w:rPr>
        <w:noBreakHyphen/>
        <w:t>year global warming potentials (GWPs) to evaluate the climate change impacts, and the Environmental Footprint 3.0 (EF) methods to quantify 14 other impact categories (</w:t>
      </w:r>
      <w:r w:rsidRPr="003345A3">
        <w:rPr>
          <w:rFonts w:cstheme="minorHAnsi"/>
          <w:i/>
          <w:sz w:val="18"/>
          <w:szCs w:val="18"/>
        </w:rPr>
        <w:t>i.e.</w:t>
      </w:r>
      <w:r w:rsidRPr="0003501A">
        <w:rPr>
          <w:rFonts w:cstheme="minorHAnsi"/>
          <w:sz w:val="18"/>
          <w:szCs w:val="18"/>
        </w:rPr>
        <w:t>, acidification, freshwater ecotoxicity, freshwater eutrophication, marine eutrophication, terrestrial eutrophication, carcinogenic human toxicity, non</w:t>
      </w:r>
      <w:r w:rsidRPr="0003501A">
        <w:rPr>
          <w:rFonts w:cstheme="minorHAnsi"/>
          <w:sz w:val="18"/>
          <w:szCs w:val="18"/>
        </w:rPr>
        <w:noBreakHyphen/>
        <w:t xml:space="preserve">carcinogenic human toxicity, ionising radiation, photochemical ozone formation, fossil resource use, minerals and metals resource use, water use, particulate matter formation, and ozone depletion). </w:t>
      </w:r>
      <w:r w:rsidRPr="0003501A">
        <w:rPr>
          <w:rFonts w:cstheme="minorHAnsi"/>
          <w:b/>
          <w:sz w:val="18"/>
          <w:szCs w:val="18"/>
        </w:rPr>
        <w:t>A brief description of the impact categories employed in this study is provided in Section 10 of the ESI. We have also expanded the methods section of the main manuscript to more clearly inform the readers about the impact assessment methods employed in our study (page 2, line </w:t>
      </w:r>
      <w:r w:rsidR="004E6DF9">
        <w:rPr>
          <w:rFonts w:cstheme="minorHAnsi"/>
          <w:b/>
          <w:sz w:val="18"/>
          <w:szCs w:val="18"/>
        </w:rPr>
        <w:t>52</w:t>
      </w:r>
      <w:r w:rsidRPr="0003501A">
        <w:rPr>
          <w:rFonts w:cstheme="minorHAnsi"/>
          <w:b/>
          <w:sz w:val="18"/>
          <w:szCs w:val="18"/>
        </w:rPr>
        <w:t>, left column).</w:t>
      </w:r>
    </w:p>
    <w:p w14:paraId="55E04D36" w14:textId="77777777" w:rsidR="009B2FA2" w:rsidRPr="00BB5E65" w:rsidRDefault="009B2FA2" w:rsidP="00362878">
      <w:pPr>
        <w:spacing w:after="0" w:line="288" w:lineRule="auto"/>
        <w:jc w:val="both"/>
        <w:rPr>
          <w:rFonts w:cstheme="minorHAnsi"/>
          <w:color w:val="0000FF"/>
          <w:sz w:val="18"/>
          <w:szCs w:val="18"/>
        </w:rPr>
      </w:pPr>
      <w:r w:rsidRPr="00FA5733">
        <w:rPr>
          <w:rFonts w:cstheme="minorHAnsi"/>
          <w:color w:val="0000FF"/>
          <w:sz w:val="18"/>
          <w:szCs w:val="18"/>
        </w:rPr>
        <w:t>2.3.</w:t>
      </w:r>
      <w:r w:rsidR="00040861" w:rsidRPr="00FA5733">
        <w:rPr>
          <w:rFonts w:cstheme="minorHAnsi"/>
          <w:color w:val="0000FF"/>
          <w:sz w:val="18"/>
          <w:szCs w:val="18"/>
        </w:rPr>
        <w:t> There is no mass and energy balance data given, which would make the results of the work difficult to replicate</w:t>
      </w:r>
      <w:r w:rsidR="001B15F3" w:rsidRPr="00FA5733">
        <w:rPr>
          <w:rFonts w:cstheme="minorHAnsi"/>
          <w:color w:val="0000FF"/>
          <w:sz w:val="18"/>
          <w:szCs w:val="18"/>
        </w:rPr>
        <w:t>.</w:t>
      </w:r>
    </w:p>
    <w:p w14:paraId="1B6A0C0C" w14:textId="77777777" w:rsidR="0003501A" w:rsidRPr="0003501A" w:rsidRDefault="0003501A" w:rsidP="0003501A">
      <w:pPr>
        <w:spacing w:line="288" w:lineRule="auto"/>
        <w:jc w:val="both"/>
        <w:rPr>
          <w:rFonts w:cstheme="minorHAnsi"/>
          <w:b/>
          <w:sz w:val="18"/>
          <w:szCs w:val="18"/>
        </w:rPr>
      </w:pPr>
      <w:r w:rsidRPr="0003501A">
        <w:rPr>
          <w:rFonts w:cstheme="minorHAnsi"/>
          <w:sz w:val="18"/>
          <w:szCs w:val="18"/>
        </w:rPr>
        <w:t xml:space="preserve">The inventories used for the technologies studied in this work are either sourced from </w:t>
      </w:r>
      <w:r w:rsidRPr="0003501A">
        <w:rPr>
          <w:rFonts w:cstheme="minorHAnsi"/>
          <w:i/>
          <w:sz w:val="18"/>
          <w:szCs w:val="18"/>
        </w:rPr>
        <w:t>premise</w:t>
      </w:r>
      <w:r w:rsidRPr="0003501A">
        <w:rPr>
          <w:rFonts w:cstheme="minorHAnsi"/>
          <w:sz w:val="18"/>
          <w:szCs w:val="18"/>
        </w:rPr>
        <w:t xml:space="preserve"> or taken from the literature. Therefore, as we do not have process models describing or providing novel inventories for the technologies studied, we omit the inclusion of mass and energy balances for each production pathway for the chemicals studied. We would also like to point the Reviewer to the extended methods section in the ESI, which delves deeper into the sources of these inventories. Specifically, </w:t>
      </w:r>
      <w:r w:rsidRPr="0003501A">
        <w:rPr>
          <w:rFonts w:cstheme="minorHAnsi"/>
          <w:b/>
          <w:sz w:val="18"/>
          <w:szCs w:val="18"/>
        </w:rPr>
        <w:t>Section 2</w:t>
      </w:r>
      <w:r w:rsidRPr="0003501A">
        <w:rPr>
          <w:rFonts w:cstheme="minorHAnsi"/>
          <w:sz w:val="18"/>
          <w:szCs w:val="18"/>
        </w:rPr>
        <w:t xml:space="preserve"> of the ESI briefly describes the source of the mass and energy balances values employed in this study. However, we agree with the Reviewer that information on mass and energy balances could be improved. </w:t>
      </w:r>
      <w:r w:rsidRPr="0003501A">
        <w:rPr>
          <w:rFonts w:cstheme="minorHAnsi"/>
          <w:b/>
          <w:sz w:val="18"/>
          <w:szCs w:val="18"/>
        </w:rPr>
        <w:t>Therefore, we have included Table S1 in the ESI, briefly summarising the original source of the inventories utilised in our work.</w:t>
      </w:r>
    </w:p>
    <w:p w14:paraId="08BA020E" w14:textId="77777777" w:rsidR="009B2FA2" w:rsidRPr="00BB5E65" w:rsidRDefault="009B2FA2" w:rsidP="00362878">
      <w:pPr>
        <w:spacing w:after="0" w:line="288" w:lineRule="auto"/>
        <w:jc w:val="both"/>
        <w:rPr>
          <w:rFonts w:cstheme="minorHAnsi"/>
          <w:color w:val="0000FF"/>
          <w:sz w:val="18"/>
          <w:szCs w:val="18"/>
        </w:rPr>
      </w:pPr>
      <w:r w:rsidRPr="007238AA">
        <w:rPr>
          <w:rFonts w:cstheme="minorHAnsi"/>
          <w:color w:val="0000FF"/>
          <w:sz w:val="18"/>
          <w:szCs w:val="18"/>
        </w:rPr>
        <w:t>2.4.</w:t>
      </w:r>
      <w:r w:rsidR="00040861" w:rsidRPr="007238AA">
        <w:rPr>
          <w:rFonts w:cstheme="minorHAnsi"/>
          <w:color w:val="0000FF"/>
          <w:sz w:val="18"/>
          <w:szCs w:val="18"/>
        </w:rPr>
        <w:t> The geography considered is also not stated which makes the results and conclusions difficult to understand. The study appears to be global but this is not explicitly stated. The methodology used for the temporal regional assessment is also not given.</w:t>
      </w:r>
    </w:p>
    <w:p w14:paraId="2A533553" w14:textId="42E2B99C" w:rsidR="0003501A" w:rsidRPr="0003501A" w:rsidRDefault="0003501A" w:rsidP="0003501A">
      <w:pPr>
        <w:spacing w:line="288" w:lineRule="auto"/>
        <w:jc w:val="both"/>
        <w:rPr>
          <w:rFonts w:cstheme="minorHAnsi"/>
          <w:sz w:val="18"/>
          <w:szCs w:val="18"/>
        </w:rPr>
      </w:pPr>
      <w:r w:rsidRPr="0003501A">
        <w:rPr>
          <w:rFonts w:cstheme="minorHAnsi"/>
          <w:sz w:val="18"/>
          <w:szCs w:val="18"/>
        </w:rPr>
        <w:t xml:space="preserve">We thank the Reviewer for their suggestion to improve clarity regarding the geographical dimension of the assessment. The assessments are carried out on a global level (captions of </w:t>
      </w:r>
      <w:r w:rsidRPr="0003501A">
        <w:rPr>
          <w:rFonts w:cstheme="minorHAnsi"/>
          <w:b/>
          <w:sz w:val="18"/>
          <w:szCs w:val="18"/>
        </w:rPr>
        <w:t>Fig. 1</w:t>
      </w:r>
      <w:r w:rsidRPr="0003501A">
        <w:rPr>
          <w:rFonts w:cstheme="minorHAnsi"/>
          <w:sz w:val="18"/>
          <w:szCs w:val="18"/>
        </w:rPr>
        <w:t xml:space="preserve">, </w:t>
      </w:r>
      <w:r w:rsidRPr="0003501A">
        <w:rPr>
          <w:rFonts w:cstheme="minorHAnsi"/>
          <w:b/>
          <w:sz w:val="18"/>
          <w:szCs w:val="18"/>
        </w:rPr>
        <w:t>2</w:t>
      </w:r>
      <w:r w:rsidRPr="0003501A">
        <w:rPr>
          <w:rFonts w:cstheme="minorHAnsi"/>
          <w:sz w:val="18"/>
          <w:szCs w:val="18"/>
        </w:rPr>
        <w:t xml:space="preserve">, and </w:t>
      </w:r>
      <w:r w:rsidRPr="0003501A">
        <w:rPr>
          <w:rFonts w:cstheme="minorHAnsi"/>
          <w:b/>
          <w:sz w:val="18"/>
          <w:szCs w:val="18"/>
        </w:rPr>
        <w:t>3</w:t>
      </w:r>
      <w:r w:rsidRPr="0003501A">
        <w:rPr>
          <w:rFonts w:cstheme="minorHAnsi"/>
          <w:sz w:val="18"/>
          <w:szCs w:val="18"/>
        </w:rPr>
        <w:t xml:space="preserve"> in the main manuscript). For the regional assessment shown in </w:t>
      </w:r>
      <w:r w:rsidRPr="0003501A">
        <w:rPr>
          <w:rFonts w:cstheme="minorHAnsi"/>
          <w:b/>
          <w:sz w:val="18"/>
          <w:szCs w:val="18"/>
        </w:rPr>
        <w:t>Fig. 4</w:t>
      </w:r>
      <w:r w:rsidRPr="0003501A">
        <w:rPr>
          <w:rFonts w:cstheme="minorHAnsi"/>
          <w:sz w:val="18"/>
          <w:szCs w:val="18"/>
        </w:rPr>
        <w:t xml:space="preserve"> of the main manuscript, we selected the most representative datasets in alignment with the regional scope of our analysis. When the data for specific countries or regions were not available, we utilised the global (GLO) or rest</w:t>
      </w:r>
      <w:r w:rsidRPr="0003501A">
        <w:rPr>
          <w:rFonts w:cstheme="minorHAnsi"/>
          <w:sz w:val="18"/>
          <w:szCs w:val="18"/>
        </w:rPr>
        <w:noBreakHyphen/>
        <w:t>of</w:t>
      </w:r>
      <w:r w:rsidRPr="0003501A">
        <w:rPr>
          <w:rFonts w:cstheme="minorHAnsi"/>
          <w:sz w:val="18"/>
          <w:szCs w:val="18"/>
        </w:rPr>
        <w:noBreakHyphen/>
        <w:t>the</w:t>
      </w:r>
      <w:r w:rsidRPr="0003501A">
        <w:rPr>
          <w:rFonts w:cstheme="minorHAnsi"/>
          <w:sz w:val="18"/>
          <w:szCs w:val="18"/>
        </w:rPr>
        <w:noBreakHyphen/>
        <w:t>world (RoW)</w:t>
      </w:r>
      <w:r w:rsidRPr="0003501A">
        <w:rPr>
          <w:rFonts w:cstheme="minorHAnsi"/>
          <w:sz w:val="18"/>
          <w:szCs w:val="18"/>
        </w:rPr>
        <w:noBreakHyphen/>
        <w:t xml:space="preserve">based inventories to fill in data gaps. </w:t>
      </w:r>
      <w:r w:rsidRPr="0003501A">
        <w:rPr>
          <w:rFonts w:cstheme="minorHAnsi"/>
          <w:b/>
          <w:sz w:val="18"/>
          <w:szCs w:val="18"/>
        </w:rPr>
        <w:t>In response to the Reviewer’s suggestion, we have included text in the discussion of results for Fig. 1, 2, and 3 to further clarify that these analyses are carried out on a global level (page 2, line 2</w:t>
      </w:r>
      <w:r w:rsidR="00700A2D">
        <w:rPr>
          <w:rFonts w:cstheme="minorHAnsi"/>
          <w:b/>
          <w:sz w:val="18"/>
          <w:szCs w:val="18"/>
        </w:rPr>
        <w:t>7</w:t>
      </w:r>
      <w:r w:rsidRPr="0003501A">
        <w:rPr>
          <w:rFonts w:cstheme="minorHAnsi"/>
          <w:b/>
          <w:sz w:val="18"/>
          <w:szCs w:val="18"/>
        </w:rPr>
        <w:t>, right column) and (page 5, line </w:t>
      </w:r>
      <w:r w:rsidR="00700A2D">
        <w:rPr>
          <w:rFonts w:cstheme="minorHAnsi"/>
          <w:b/>
          <w:sz w:val="18"/>
          <w:szCs w:val="18"/>
        </w:rPr>
        <w:t>1</w:t>
      </w:r>
      <w:r w:rsidRPr="0003501A">
        <w:rPr>
          <w:rFonts w:cstheme="minorHAnsi"/>
          <w:b/>
          <w:sz w:val="18"/>
          <w:szCs w:val="18"/>
        </w:rPr>
        <w:t xml:space="preserve">, </w:t>
      </w:r>
      <w:r w:rsidR="00700A2D">
        <w:rPr>
          <w:rFonts w:cstheme="minorHAnsi"/>
          <w:b/>
          <w:sz w:val="18"/>
          <w:szCs w:val="18"/>
        </w:rPr>
        <w:t>right</w:t>
      </w:r>
      <w:r w:rsidRPr="0003501A">
        <w:rPr>
          <w:rFonts w:cstheme="minorHAnsi"/>
          <w:b/>
          <w:sz w:val="18"/>
          <w:szCs w:val="18"/>
        </w:rPr>
        <w:t> column).</w:t>
      </w:r>
    </w:p>
    <w:p w14:paraId="4EF980D8" w14:textId="77777777" w:rsidR="009B2FA2" w:rsidRPr="00BB5E65" w:rsidRDefault="009B2FA2" w:rsidP="00362878">
      <w:pPr>
        <w:spacing w:after="0" w:line="288" w:lineRule="auto"/>
        <w:jc w:val="both"/>
        <w:rPr>
          <w:rFonts w:cstheme="minorHAnsi"/>
          <w:color w:val="0000FF"/>
          <w:sz w:val="18"/>
          <w:szCs w:val="18"/>
        </w:rPr>
      </w:pPr>
      <w:r w:rsidRPr="005C413E">
        <w:rPr>
          <w:rFonts w:cstheme="minorHAnsi"/>
          <w:color w:val="0000FF"/>
          <w:sz w:val="18"/>
          <w:szCs w:val="18"/>
        </w:rPr>
        <w:t>2.5.</w:t>
      </w:r>
      <w:r w:rsidR="00040861" w:rsidRPr="005C413E">
        <w:rPr>
          <w:rFonts w:cstheme="minorHAnsi"/>
          <w:color w:val="0000FF"/>
          <w:sz w:val="18"/>
          <w:szCs w:val="18"/>
        </w:rPr>
        <w:t> Another area of concern is the assumption that methanol serves as a form of carbon dioxide storage, which results in the net emissions being negative. As one of the main conclusions and messages in the paper is that methanol can have net negative emissions, which I feel could be misleading and misinterpreted, the paper could benefit from mentioning the limitations to this assumption.</w:t>
      </w:r>
    </w:p>
    <w:p w14:paraId="0E5BEB9B" w14:textId="6A00D38C" w:rsidR="0003501A" w:rsidRPr="0003501A" w:rsidRDefault="0003501A" w:rsidP="0003501A">
      <w:pPr>
        <w:spacing w:line="288" w:lineRule="auto"/>
        <w:jc w:val="both"/>
        <w:rPr>
          <w:rFonts w:cstheme="minorHAnsi"/>
          <w:b/>
          <w:sz w:val="18"/>
          <w:szCs w:val="18"/>
        </w:rPr>
      </w:pPr>
      <w:r w:rsidRPr="0003501A">
        <w:rPr>
          <w:rFonts w:cstheme="minorHAnsi"/>
          <w:sz w:val="18"/>
          <w:szCs w:val="18"/>
        </w:rPr>
        <w:t>We agree with the Reviewer that the calculated climate change impacts for methanol are net</w:t>
      </w:r>
      <w:r w:rsidRPr="0003501A">
        <w:rPr>
          <w:rFonts w:cstheme="minorHAnsi"/>
          <w:sz w:val="18"/>
          <w:szCs w:val="18"/>
        </w:rPr>
        <w:noBreakHyphen/>
        <w:t>negative when specifically performing a cradle</w:t>
      </w:r>
      <w:r w:rsidRPr="0003501A">
        <w:rPr>
          <w:rFonts w:cstheme="minorHAnsi"/>
          <w:sz w:val="18"/>
          <w:szCs w:val="18"/>
        </w:rPr>
        <w:noBreakHyphen/>
        <w:t>to</w:t>
      </w:r>
      <w:r w:rsidRPr="0003501A">
        <w:rPr>
          <w:rFonts w:cstheme="minorHAnsi"/>
          <w:sz w:val="18"/>
          <w:szCs w:val="18"/>
        </w:rPr>
        <w:noBreakHyphen/>
        <w:t>gate analysis (see captions of all figures). Moreover, the methods section also emphasises that this work evaluates the cradle</w:t>
      </w:r>
      <w:r w:rsidRPr="0003501A">
        <w:rPr>
          <w:rFonts w:cstheme="minorHAnsi"/>
          <w:sz w:val="18"/>
          <w:szCs w:val="18"/>
        </w:rPr>
        <w:noBreakHyphen/>
        <w:t>to</w:t>
      </w:r>
      <w:r w:rsidRPr="0003501A">
        <w:rPr>
          <w:rFonts w:cstheme="minorHAnsi"/>
          <w:sz w:val="18"/>
          <w:szCs w:val="18"/>
        </w:rPr>
        <w:noBreakHyphen/>
        <w:t>gate impacts, encompassing all relevant inputs and outputs from both the technosphere and biosphere necessary for chemical production. A cradle</w:t>
      </w:r>
      <w:r w:rsidRPr="0003501A">
        <w:rPr>
          <w:rFonts w:cstheme="minorHAnsi"/>
          <w:sz w:val="18"/>
          <w:szCs w:val="18"/>
        </w:rPr>
        <w:noBreakHyphen/>
        <w:t>to</w:t>
      </w:r>
      <w:r w:rsidRPr="0003501A">
        <w:rPr>
          <w:rFonts w:cstheme="minorHAnsi"/>
          <w:sz w:val="18"/>
          <w:szCs w:val="18"/>
        </w:rPr>
        <w:noBreakHyphen/>
        <w:t xml:space="preserve">gate assessment is carried out for all categories to avoid assumptions about the use phase of all three chemicals analysed, thereby reducing uncertainties. </w:t>
      </w:r>
      <w:r w:rsidRPr="0003501A">
        <w:rPr>
          <w:rFonts w:cstheme="minorHAnsi"/>
          <w:b/>
          <w:sz w:val="18"/>
          <w:szCs w:val="18"/>
        </w:rPr>
        <w:t>In response to the Reviewer’s comment, we have further enhanced the contextualisation in the main manuscript to provide clarification to our readers (page 2, line </w:t>
      </w:r>
      <w:r w:rsidR="006B03DB">
        <w:rPr>
          <w:rFonts w:cstheme="minorHAnsi"/>
          <w:b/>
          <w:sz w:val="18"/>
          <w:szCs w:val="18"/>
        </w:rPr>
        <w:t>19</w:t>
      </w:r>
      <w:r w:rsidRPr="0003501A">
        <w:rPr>
          <w:rFonts w:cstheme="minorHAnsi"/>
          <w:b/>
          <w:sz w:val="18"/>
          <w:szCs w:val="18"/>
        </w:rPr>
        <w:t>, left column) and (page 2, line 2</w:t>
      </w:r>
      <w:r w:rsidR="006B03DB">
        <w:rPr>
          <w:rFonts w:cstheme="minorHAnsi"/>
          <w:b/>
          <w:sz w:val="18"/>
          <w:szCs w:val="18"/>
        </w:rPr>
        <w:t>5</w:t>
      </w:r>
      <w:r w:rsidRPr="0003501A">
        <w:rPr>
          <w:rFonts w:cstheme="minorHAnsi"/>
          <w:b/>
          <w:sz w:val="18"/>
          <w:szCs w:val="18"/>
        </w:rPr>
        <w:t>, right column).</w:t>
      </w:r>
    </w:p>
    <w:p w14:paraId="66BFBA6C" w14:textId="77777777" w:rsidR="009B2FA2" w:rsidRPr="00BB5E65" w:rsidRDefault="009B2FA2" w:rsidP="00362878">
      <w:pPr>
        <w:spacing w:after="0" w:line="288" w:lineRule="auto"/>
        <w:jc w:val="both"/>
        <w:rPr>
          <w:rFonts w:cstheme="minorHAnsi"/>
          <w:color w:val="0000FF"/>
          <w:sz w:val="18"/>
          <w:szCs w:val="18"/>
        </w:rPr>
      </w:pPr>
      <w:r w:rsidRPr="00EB1957">
        <w:rPr>
          <w:rFonts w:cstheme="minorHAnsi"/>
          <w:color w:val="0000FF"/>
          <w:sz w:val="18"/>
          <w:szCs w:val="18"/>
        </w:rPr>
        <w:t>2.6.</w:t>
      </w:r>
      <w:r w:rsidR="00040861" w:rsidRPr="00EB1957">
        <w:rPr>
          <w:rFonts w:cstheme="minorHAnsi"/>
          <w:color w:val="0000FF"/>
          <w:sz w:val="18"/>
          <w:szCs w:val="18"/>
        </w:rPr>
        <w:t xml:space="preserve"> Other areas where the paper needs revising: The version of </w:t>
      </w:r>
      <w:r w:rsidR="00040861" w:rsidRPr="00075BA6">
        <w:rPr>
          <w:rFonts w:cstheme="minorHAnsi"/>
          <w:i/>
          <w:color w:val="0000FF"/>
          <w:sz w:val="18"/>
          <w:szCs w:val="18"/>
        </w:rPr>
        <w:t>premise</w:t>
      </w:r>
      <w:r w:rsidR="00040861" w:rsidRPr="00EB1957">
        <w:rPr>
          <w:rFonts w:cstheme="minorHAnsi"/>
          <w:color w:val="0000FF"/>
          <w:sz w:val="18"/>
          <w:szCs w:val="18"/>
        </w:rPr>
        <w:t xml:space="preserve"> used is not stated</w:t>
      </w:r>
      <w:r w:rsidR="00CB4ED2" w:rsidRPr="00EB1957">
        <w:rPr>
          <w:rFonts w:cstheme="minorHAnsi"/>
          <w:color w:val="0000FF"/>
          <w:sz w:val="18"/>
          <w:szCs w:val="18"/>
        </w:rPr>
        <w:t>.</w:t>
      </w:r>
    </w:p>
    <w:p w14:paraId="4BE340E7" w14:textId="4BFD9674" w:rsidR="0003501A" w:rsidRPr="0003501A" w:rsidRDefault="0003501A" w:rsidP="0003501A">
      <w:pPr>
        <w:spacing w:line="288" w:lineRule="auto"/>
        <w:jc w:val="both"/>
        <w:rPr>
          <w:rFonts w:cstheme="minorHAnsi"/>
          <w:b/>
          <w:sz w:val="18"/>
          <w:szCs w:val="18"/>
        </w:rPr>
      </w:pPr>
      <w:r w:rsidRPr="0003501A">
        <w:rPr>
          <w:rFonts w:cstheme="minorHAnsi"/>
          <w:sz w:val="18"/>
          <w:szCs w:val="18"/>
        </w:rPr>
        <w:t xml:space="preserve">In this work, to perform a prospective LCA, we utilised the </w:t>
      </w:r>
      <w:r w:rsidRPr="0003501A">
        <w:rPr>
          <w:rFonts w:cstheme="minorHAnsi"/>
          <w:i/>
          <w:sz w:val="18"/>
          <w:szCs w:val="18"/>
        </w:rPr>
        <w:t>premise</w:t>
      </w:r>
      <w:r w:rsidRPr="0003501A">
        <w:rPr>
          <w:rFonts w:cstheme="minorHAnsi"/>
          <w:sz w:val="18"/>
          <w:szCs w:val="18"/>
        </w:rPr>
        <w:t xml:space="preserve"> v1.5.8 framework to construct future background data. </w:t>
      </w:r>
      <w:r w:rsidRPr="0003501A">
        <w:rPr>
          <w:rFonts w:cstheme="minorHAnsi"/>
          <w:b/>
          <w:sz w:val="18"/>
          <w:szCs w:val="18"/>
        </w:rPr>
        <w:t xml:space="preserve">The methods section of the main manuscript has been modified to include the version of </w:t>
      </w:r>
      <w:r w:rsidRPr="0003501A">
        <w:rPr>
          <w:rFonts w:cstheme="minorHAnsi"/>
          <w:b/>
          <w:i/>
          <w:sz w:val="18"/>
          <w:szCs w:val="18"/>
        </w:rPr>
        <w:t>premise</w:t>
      </w:r>
      <w:r w:rsidRPr="0003501A">
        <w:rPr>
          <w:rFonts w:cstheme="minorHAnsi"/>
          <w:b/>
          <w:sz w:val="18"/>
          <w:szCs w:val="18"/>
        </w:rPr>
        <w:t xml:space="preserve"> utilised in our study (page 2, line </w:t>
      </w:r>
      <w:r w:rsidR="00E71882">
        <w:rPr>
          <w:rFonts w:cstheme="minorHAnsi"/>
          <w:b/>
          <w:sz w:val="18"/>
          <w:szCs w:val="18"/>
        </w:rPr>
        <w:t>51</w:t>
      </w:r>
      <w:r w:rsidRPr="0003501A">
        <w:rPr>
          <w:rFonts w:cstheme="minorHAnsi"/>
          <w:b/>
          <w:sz w:val="18"/>
          <w:szCs w:val="18"/>
        </w:rPr>
        <w:t xml:space="preserve">, left column). Additionally, appropriate changes have been made in the ESI to include the version of </w:t>
      </w:r>
      <w:r w:rsidRPr="0003501A">
        <w:rPr>
          <w:rFonts w:cstheme="minorHAnsi"/>
          <w:b/>
          <w:i/>
          <w:sz w:val="18"/>
          <w:szCs w:val="18"/>
        </w:rPr>
        <w:t>premise</w:t>
      </w:r>
      <w:r w:rsidRPr="0003501A">
        <w:rPr>
          <w:rFonts w:cstheme="minorHAnsi"/>
          <w:b/>
          <w:sz w:val="18"/>
          <w:szCs w:val="18"/>
        </w:rPr>
        <w:t>.</w:t>
      </w:r>
    </w:p>
    <w:p w14:paraId="4311F678" w14:textId="77777777" w:rsidR="009B2FA2" w:rsidRPr="00BB5E65" w:rsidRDefault="009B2FA2" w:rsidP="00362878">
      <w:pPr>
        <w:spacing w:after="0" w:line="288" w:lineRule="auto"/>
        <w:jc w:val="both"/>
        <w:rPr>
          <w:rFonts w:cstheme="minorHAnsi"/>
          <w:color w:val="0000FF"/>
          <w:sz w:val="18"/>
          <w:szCs w:val="18"/>
        </w:rPr>
      </w:pPr>
      <w:r w:rsidRPr="00D43342">
        <w:rPr>
          <w:rFonts w:cstheme="minorHAnsi"/>
          <w:color w:val="0000FF"/>
          <w:sz w:val="18"/>
          <w:szCs w:val="18"/>
        </w:rPr>
        <w:t>2.7.</w:t>
      </w:r>
      <w:r w:rsidR="00040861" w:rsidRPr="00D43342">
        <w:rPr>
          <w:rFonts w:cstheme="minorHAnsi"/>
          <w:color w:val="0000FF"/>
          <w:sz w:val="18"/>
          <w:szCs w:val="18"/>
        </w:rPr>
        <w:t> Introduction - the sentence: ‘Nonetheless, the current environmental assessments of chemicals omit them in the analysis, potentially leading to more pessimistic estimates’, does not make sense. Are you referring to the Scope 3/indirect emissions being omitted?</w:t>
      </w:r>
    </w:p>
    <w:p w14:paraId="39AA0F89" w14:textId="3ED28D12" w:rsidR="0003501A" w:rsidRPr="0003501A" w:rsidRDefault="0003501A" w:rsidP="0003501A">
      <w:pPr>
        <w:spacing w:line="288" w:lineRule="auto"/>
        <w:jc w:val="both"/>
        <w:rPr>
          <w:rFonts w:cstheme="minorHAnsi"/>
          <w:b/>
          <w:sz w:val="18"/>
          <w:szCs w:val="18"/>
        </w:rPr>
      </w:pPr>
      <w:r w:rsidRPr="0003501A">
        <w:rPr>
          <w:rFonts w:cstheme="minorHAnsi"/>
          <w:sz w:val="18"/>
          <w:szCs w:val="18"/>
        </w:rPr>
        <w:t>We thank the Reviewer for highlighting this aspect. The statement refers to the omission of the evolution of scope 2 (partially</w:t>
      </w:r>
      <w:r w:rsidR="003345A3">
        <w:rPr>
          <w:rFonts w:cstheme="minorHAnsi"/>
          <w:sz w:val="18"/>
          <w:szCs w:val="18"/>
        </w:rPr>
        <w:t xml:space="preserve">, </w:t>
      </w:r>
      <w:r w:rsidR="003345A3" w:rsidRPr="003345A3">
        <w:rPr>
          <w:rFonts w:cstheme="minorHAnsi"/>
          <w:i/>
          <w:sz w:val="18"/>
          <w:szCs w:val="18"/>
        </w:rPr>
        <w:t>i.e.</w:t>
      </w:r>
      <w:r w:rsidR="003345A3">
        <w:rPr>
          <w:rFonts w:cstheme="minorHAnsi"/>
          <w:sz w:val="18"/>
          <w:szCs w:val="18"/>
        </w:rPr>
        <w:t xml:space="preserve"> a limited number of studies have considered future electricity scenarios, but their focus has predominantly been on the electricity used directly for chemicals production, disregarding changes in </w:t>
      </w:r>
      <w:r w:rsidR="005312A7">
        <w:rPr>
          <w:rFonts w:cstheme="minorHAnsi"/>
          <w:sz w:val="18"/>
          <w:szCs w:val="18"/>
        </w:rPr>
        <w:t>grid electricity mixes</w:t>
      </w:r>
      <w:r w:rsidR="003345A3">
        <w:rPr>
          <w:rFonts w:cstheme="minorHAnsi"/>
          <w:sz w:val="18"/>
          <w:szCs w:val="18"/>
        </w:rPr>
        <w:t xml:space="preserve"> employed throughout the entire value chain</w:t>
      </w:r>
      <w:r w:rsidRPr="0003501A">
        <w:rPr>
          <w:rFonts w:cstheme="minorHAnsi"/>
          <w:sz w:val="18"/>
          <w:szCs w:val="18"/>
        </w:rPr>
        <w:t xml:space="preserve">) and scope 3 emissions in current environmental assessments of chemicals. The majority of prior LCA studies often assume that chemical production occurs under the existing energy system and global supply chains, neglecting forthcoming decarbonisation efforts. A limited number of studies have considered future electricity scenarios, but their focus has predominantly been on the electricity used directly for chemical production, disregarding changes in the electricity mixes employed throughout the entire value chain. This approach may partially address the mitigation of scope 2 emissions, yet it leaves scope 3 emissions at their current levels (assuming that all activities in the background system that are responsible for scope 3 emissions still operate with the current power mixes), potentially resulting in an overestimation of the impacts. Overall, a comprehensive analysis of the environmental impacts of chemical production in the context of a decarbonising global economy is still missing. In this work, we aim to carry out such an assessment, which could be essential for policymakers and stakeholders to make informed decisions. </w:t>
      </w:r>
      <w:r w:rsidRPr="0003501A">
        <w:rPr>
          <w:rFonts w:cstheme="minorHAnsi"/>
          <w:b/>
          <w:sz w:val="18"/>
          <w:szCs w:val="18"/>
        </w:rPr>
        <w:t>In response to the Reviewer’s comment, the first paragraph of the introduction has been modified to provide further clarity (page 1, line 1</w:t>
      </w:r>
      <w:r w:rsidR="00D4617A">
        <w:rPr>
          <w:rFonts w:cstheme="minorHAnsi"/>
          <w:b/>
          <w:sz w:val="18"/>
          <w:szCs w:val="18"/>
        </w:rPr>
        <w:t>3</w:t>
      </w:r>
      <w:r w:rsidRPr="0003501A">
        <w:rPr>
          <w:rFonts w:cstheme="minorHAnsi"/>
          <w:b/>
          <w:sz w:val="18"/>
          <w:szCs w:val="18"/>
        </w:rPr>
        <w:t>, left column).</w:t>
      </w:r>
    </w:p>
    <w:p w14:paraId="01029FD7" w14:textId="77777777" w:rsidR="009B2FA2" w:rsidRPr="00BB5E65" w:rsidRDefault="009B2FA2" w:rsidP="00362878">
      <w:pPr>
        <w:spacing w:after="0" w:line="288" w:lineRule="auto"/>
        <w:jc w:val="both"/>
        <w:rPr>
          <w:rFonts w:cstheme="minorHAnsi"/>
          <w:color w:val="0000FF"/>
          <w:sz w:val="18"/>
          <w:szCs w:val="18"/>
        </w:rPr>
      </w:pPr>
      <w:r w:rsidRPr="000B32C6">
        <w:rPr>
          <w:rFonts w:cstheme="minorHAnsi"/>
          <w:color w:val="0000FF"/>
          <w:sz w:val="18"/>
          <w:szCs w:val="18"/>
        </w:rPr>
        <w:t>2.8.</w:t>
      </w:r>
      <w:r w:rsidR="00040861" w:rsidRPr="000B32C6">
        <w:rPr>
          <w:rFonts w:cstheme="minorHAnsi"/>
          <w:color w:val="0000FF"/>
          <w:sz w:val="18"/>
          <w:szCs w:val="18"/>
        </w:rPr>
        <w:t> Results - when discussing the results, the authors say the climate impacts of green routes decrease significantly over time. How much of a reduction is considered a ‘significant decrease’?</w:t>
      </w:r>
    </w:p>
    <w:p w14:paraId="6B9B97D8" w14:textId="1D81CFC0" w:rsidR="0009419D" w:rsidRPr="0009419D" w:rsidRDefault="0009419D" w:rsidP="0009419D">
      <w:pPr>
        <w:spacing w:line="288" w:lineRule="auto"/>
        <w:jc w:val="both"/>
        <w:rPr>
          <w:rFonts w:cstheme="minorHAnsi"/>
          <w:b/>
          <w:sz w:val="18"/>
          <w:szCs w:val="18"/>
        </w:rPr>
      </w:pPr>
      <w:r w:rsidRPr="0009419D">
        <w:rPr>
          <w:rFonts w:cstheme="minorHAnsi"/>
          <w:sz w:val="18"/>
          <w:szCs w:val="18"/>
        </w:rPr>
        <w:t>Green routes, namely wind and solar</w:t>
      </w:r>
      <w:r w:rsidRPr="0009419D">
        <w:rPr>
          <w:rFonts w:cstheme="minorHAnsi"/>
          <w:sz w:val="18"/>
          <w:szCs w:val="18"/>
        </w:rPr>
        <w:noBreakHyphen/>
        <w:t>based pathways for the production of hydrogen, ammonia, and methanol, exhibit a decrease in climate change impacts</w:t>
      </w:r>
      <w:r w:rsidR="003B0919">
        <w:rPr>
          <w:rFonts w:cstheme="minorHAnsi"/>
          <w:sz w:val="18"/>
          <w:szCs w:val="18"/>
        </w:rPr>
        <w:t xml:space="preserve"> for all three chemicals</w:t>
      </w:r>
      <w:r w:rsidRPr="0009419D">
        <w:rPr>
          <w:rFonts w:cstheme="minorHAnsi"/>
          <w:sz w:val="18"/>
          <w:szCs w:val="18"/>
        </w:rPr>
        <w:t xml:space="preserve">, ranging from 17% to 42% over time, even under the baseline 3.5 °C scenario. On average, the reduction in climate change impacts </w:t>
      </w:r>
      <w:r w:rsidR="003B0919">
        <w:rPr>
          <w:rFonts w:cstheme="minorHAnsi"/>
          <w:sz w:val="18"/>
          <w:szCs w:val="18"/>
        </w:rPr>
        <w:t xml:space="preserve">of all three chemicals </w:t>
      </w:r>
      <w:r w:rsidRPr="0009419D">
        <w:rPr>
          <w:rFonts w:cstheme="minorHAnsi"/>
          <w:sz w:val="18"/>
          <w:szCs w:val="18"/>
        </w:rPr>
        <w:t xml:space="preserve">is approximately 26%. In contrast, fossil and blue routes under the same 3.5 °C scenario show </w:t>
      </w:r>
      <w:r w:rsidR="003B0919">
        <w:rPr>
          <w:rFonts w:cstheme="minorHAnsi"/>
          <w:sz w:val="18"/>
          <w:szCs w:val="18"/>
        </w:rPr>
        <w:t>a</w:t>
      </w:r>
      <w:r w:rsidRPr="0009419D">
        <w:rPr>
          <w:rFonts w:cstheme="minorHAnsi"/>
          <w:sz w:val="18"/>
          <w:szCs w:val="18"/>
        </w:rPr>
        <w:t xml:space="preserve"> reduction in impacts, averaging only around 2%. </w:t>
      </w:r>
      <w:r w:rsidRPr="0009419D">
        <w:rPr>
          <w:rFonts w:cstheme="minorHAnsi"/>
          <w:b/>
          <w:sz w:val="18"/>
          <w:szCs w:val="18"/>
        </w:rPr>
        <w:t>Therefore, we have made appropriate changes to the results to highlight key numbers of this analysis, providing a quantitative overview of the difference between the decrease in the two scenarios (page 2, line </w:t>
      </w:r>
      <w:r w:rsidR="005B570C">
        <w:rPr>
          <w:rFonts w:cstheme="minorHAnsi"/>
          <w:b/>
          <w:sz w:val="18"/>
          <w:szCs w:val="18"/>
        </w:rPr>
        <w:t>32</w:t>
      </w:r>
      <w:r w:rsidRPr="0009419D">
        <w:rPr>
          <w:rFonts w:cstheme="minorHAnsi"/>
          <w:b/>
          <w:sz w:val="18"/>
          <w:szCs w:val="18"/>
        </w:rPr>
        <w:t>, right column).</w:t>
      </w:r>
    </w:p>
    <w:p w14:paraId="0340BF5B" w14:textId="77777777" w:rsidR="009B2FA2" w:rsidRPr="00BB5E65" w:rsidRDefault="009B2FA2" w:rsidP="00362878">
      <w:pPr>
        <w:spacing w:after="0" w:line="288" w:lineRule="auto"/>
        <w:jc w:val="both"/>
        <w:rPr>
          <w:rFonts w:cstheme="minorHAnsi"/>
          <w:color w:val="0000FF"/>
          <w:sz w:val="18"/>
          <w:szCs w:val="18"/>
        </w:rPr>
      </w:pPr>
      <w:r w:rsidRPr="008C7128">
        <w:rPr>
          <w:rFonts w:cstheme="minorHAnsi"/>
          <w:color w:val="0000FF"/>
          <w:sz w:val="18"/>
          <w:szCs w:val="18"/>
        </w:rPr>
        <w:t>2.9.</w:t>
      </w:r>
      <w:r w:rsidR="00040861" w:rsidRPr="008C7128">
        <w:rPr>
          <w:rFonts w:cstheme="minorHAnsi"/>
          <w:color w:val="0000FF"/>
          <w:sz w:val="18"/>
          <w:szCs w:val="18"/>
        </w:rPr>
        <w:t> Results - in the discussion, much emphasis is placed on the increase in efficiency for why impacts reduce with time. However, the other aspect of SSPs is that barriers to the uptake of renewable energy are lower in the 1.5 °C scenarios vs 3.5 °C</w:t>
      </w:r>
      <w:r w:rsidRPr="008C7128">
        <w:rPr>
          <w:rFonts w:cstheme="minorHAnsi"/>
          <w:color w:val="0000FF"/>
          <w:sz w:val="18"/>
          <w:szCs w:val="18"/>
        </w:rPr>
        <w:t>.</w:t>
      </w:r>
    </w:p>
    <w:p w14:paraId="0D0C0126" w14:textId="65C4EA65" w:rsidR="0009419D" w:rsidRPr="0009419D" w:rsidRDefault="0009419D" w:rsidP="0009419D">
      <w:pPr>
        <w:spacing w:line="288" w:lineRule="auto"/>
        <w:jc w:val="both"/>
        <w:rPr>
          <w:rFonts w:cstheme="minorHAnsi"/>
          <w:b/>
          <w:sz w:val="18"/>
          <w:szCs w:val="18"/>
        </w:rPr>
      </w:pPr>
      <w:r w:rsidRPr="0009419D">
        <w:rPr>
          <w:rFonts w:cstheme="minorHAnsi"/>
          <w:sz w:val="18"/>
          <w:szCs w:val="18"/>
        </w:rPr>
        <w:t xml:space="preserve">We agree with the Reviewer that it is crucial to recognise that, in addition to efficiency improvements, the distinction in results between climate scenarios – </w:t>
      </w:r>
      <w:r w:rsidRPr="0009419D">
        <w:rPr>
          <w:rFonts w:cstheme="minorHAnsi"/>
          <w:i/>
          <w:sz w:val="18"/>
          <w:szCs w:val="18"/>
        </w:rPr>
        <w:t>i.e.</w:t>
      </w:r>
      <w:r w:rsidRPr="0009419D">
        <w:rPr>
          <w:rFonts w:cstheme="minorHAnsi"/>
          <w:sz w:val="18"/>
          <w:szCs w:val="18"/>
        </w:rPr>
        <w:t xml:space="preserve">, the 1.5 °C, 2 °C, and 3.5 °C scenarios – also underscores the significance of lower barriers to renewable energy uptake in power generation. Lower barriers to renewable energy adoption in the 1.5 °C and 2 °C scenarios also play a crucial role in displaying enhanced reductions in climate change impacts compared to the 3.5 °C and should be acknowledged. </w:t>
      </w:r>
      <w:r w:rsidRPr="0009419D">
        <w:rPr>
          <w:rFonts w:cstheme="minorHAnsi"/>
          <w:b/>
          <w:sz w:val="18"/>
          <w:szCs w:val="18"/>
        </w:rPr>
        <w:t>In this context, the discussion has been appended to highlight this aspect of our work (page 5, line </w:t>
      </w:r>
      <w:r w:rsidR="00642888">
        <w:rPr>
          <w:rFonts w:cstheme="minorHAnsi"/>
          <w:b/>
          <w:sz w:val="18"/>
          <w:szCs w:val="18"/>
        </w:rPr>
        <w:t>20</w:t>
      </w:r>
      <w:r w:rsidRPr="0009419D">
        <w:rPr>
          <w:rFonts w:cstheme="minorHAnsi"/>
          <w:b/>
          <w:sz w:val="18"/>
          <w:szCs w:val="18"/>
        </w:rPr>
        <w:t>, left column).</w:t>
      </w:r>
    </w:p>
    <w:p w14:paraId="3652C556" w14:textId="77777777" w:rsidR="009B2FA2" w:rsidRPr="00BB5E65" w:rsidRDefault="009B2FA2" w:rsidP="00362878">
      <w:pPr>
        <w:spacing w:after="0" w:line="288" w:lineRule="auto"/>
        <w:jc w:val="both"/>
        <w:rPr>
          <w:rFonts w:cstheme="minorHAnsi"/>
          <w:color w:val="0000FF"/>
          <w:sz w:val="18"/>
          <w:szCs w:val="18"/>
        </w:rPr>
      </w:pPr>
      <w:r w:rsidRPr="00826A4E">
        <w:rPr>
          <w:rFonts w:cstheme="minorHAnsi"/>
          <w:color w:val="0000FF"/>
          <w:sz w:val="18"/>
          <w:szCs w:val="18"/>
        </w:rPr>
        <w:t>2.10.</w:t>
      </w:r>
      <w:r w:rsidR="00040861" w:rsidRPr="00826A4E">
        <w:rPr>
          <w:rFonts w:cstheme="minorHAnsi"/>
          <w:color w:val="0000FF"/>
          <w:sz w:val="18"/>
          <w:szCs w:val="18"/>
        </w:rPr>
        <w:t> Fi</w:t>
      </w:r>
      <w:r w:rsidR="00826A4E">
        <w:rPr>
          <w:rFonts w:cstheme="minorHAnsi"/>
          <w:color w:val="0000FF"/>
          <w:sz w:val="18"/>
          <w:szCs w:val="18"/>
        </w:rPr>
        <w:t>g. </w:t>
      </w:r>
      <w:r w:rsidR="00040861" w:rsidRPr="00826A4E">
        <w:rPr>
          <w:rFonts w:cstheme="minorHAnsi"/>
          <w:color w:val="0000FF"/>
          <w:sz w:val="18"/>
          <w:szCs w:val="18"/>
        </w:rPr>
        <w:t>1 and Fig</w:t>
      </w:r>
      <w:r w:rsidR="00826A4E">
        <w:rPr>
          <w:rFonts w:cstheme="minorHAnsi"/>
          <w:color w:val="0000FF"/>
          <w:sz w:val="18"/>
          <w:szCs w:val="18"/>
        </w:rPr>
        <w:t>. </w:t>
      </w:r>
      <w:r w:rsidR="00040861" w:rsidRPr="00826A4E">
        <w:rPr>
          <w:rFonts w:cstheme="minorHAnsi"/>
          <w:color w:val="0000FF"/>
          <w:sz w:val="18"/>
          <w:szCs w:val="18"/>
        </w:rPr>
        <w:t>2</w:t>
      </w:r>
      <w:r w:rsidR="00131FFA" w:rsidRPr="00826A4E">
        <w:rPr>
          <w:rFonts w:cstheme="minorHAnsi"/>
          <w:color w:val="0000FF"/>
          <w:sz w:val="18"/>
          <w:szCs w:val="18"/>
        </w:rPr>
        <w:t xml:space="preserve"> </w:t>
      </w:r>
      <w:r w:rsidR="004E20F5">
        <w:rPr>
          <w:rFonts w:cstheme="minorHAnsi"/>
          <w:color w:val="0000FF"/>
          <w:sz w:val="18"/>
          <w:szCs w:val="18"/>
        </w:rPr>
        <w:noBreakHyphen/>
      </w:r>
      <w:r w:rsidR="00040861" w:rsidRPr="00826A4E">
        <w:rPr>
          <w:rFonts w:cstheme="minorHAnsi"/>
          <w:color w:val="0000FF"/>
          <w:sz w:val="18"/>
          <w:szCs w:val="18"/>
        </w:rPr>
        <w:t xml:space="preserve"> I am assuming these are the impacts to climate change over 100</w:t>
      </w:r>
      <w:r w:rsidR="00556D97" w:rsidRPr="00826A4E">
        <w:rPr>
          <w:rFonts w:cstheme="minorHAnsi"/>
          <w:color w:val="0000FF"/>
          <w:sz w:val="18"/>
          <w:szCs w:val="18"/>
        </w:rPr>
        <w:noBreakHyphen/>
      </w:r>
      <w:r w:rsidR="00040861" w:rsidRPr="00826A4E">
        <w:rPr>
          <w:rFonts w:cstheme="minorHAnsi"/>
          <w:color w:val="0000FF"/>
          <w:sz w:val="18"/>
          <w:szCs w:val="18"/>
        </w:rPr>
        <w:t>years</w:t>
      </w:r>
      <w:r w:rsidR="001B15F3" w:rsidRPr="00826A4E">
        <w:rPr>
          <w:rFonts w:cstheme="minorHAnsi"/>
          <w:color w:val="0000FF"/>
          <w:sz w:val="18"/>
          <w:szCs w:val="18"/>
        </w:rPr>
        <w:t>?</w:t>
      </w:r>
    </w:p>
    <w:p w14:paraId="5E61E94E" w14:textId="6F9376B7" w:rsidR="00D42C31" w:rsidRPr="00714BB8" w:rsidRDefault="00D42C31" w:rsidP="00D42C31">
      <w:pPr>
        <w:spacing w:line="288" w:lineRule="auto"/>
        <w:jc w:val="both"/>
        <w:rPr>
          <w:rFonts w:cstheme="minorHAnsi"/>
          <w:b/>
          <w:sz w:val="18"/>
          <w:szCs w:val="18"/>
        </w:rPr>
      </w:pPr>
      <w:bookmarkStart w:id="2" w:name="_Hlk160776344"/>
      <w:bookmarkEnd w:id="0"/>
      <w:r w:rsidRPr="00B964DF">
        <w:rPr>
          <w:rFonts w:cstheme="minorHAnsi"/>
          <w:b/>
          <w:sz w:val="18"/>
          <w:szCs w:val="18"/>
        </w:rPr>
        <w:t>Fig. 1</w:t>
      </w:r>
      <w:r>
        <w:rPr>
          <w:rFonts w:cstheme="minorHAnsi"/>
          <w:sz w:val="18"/>
          <w:szCs w:val="18"/>
        </w:rPr>
        <w:t xml:space="preserve"> and </w:t>
      </w:r>
      <w:r>
        <w:rPr>
          <w:rFonts w:cstheme="minorHAnsi"/>
          <w:b/>
          <w:sz w:val="18"/>
          <w:szCs w:val="18"/>
        </w:rPr>
        <w:t>Fig. </w:t>
      </w:r>
      <w:r w:rsidRPr="00466520">
        <w:rPr>
          <w:rFonts w:cstheme="minorHAnsi"/>
          <w:b/>
          <w:sz w:val="18"/>
          <w:szCs w:val="18"/>
        </w:rPr>
        <w:t>2</w:t>
      </w:r>
      <w:r>
        <w:rPr>
          <w:rFonts w:cstheme="minorHAnsi"/>
          <w:sz w:val="18"/>
          <w:szCs w:val="18"/>
        </w:rPr>
        <w:t xml:space="preserve"> depict the impacts of climate change over 100</w:t>
      </w:r>
      <w:r>
        <w:rPr>
          <w:rFonts w:cstheme="minorHAnsi"/>
          <w:sz w:val="18"/>
          <w:szCs w:val="18"/>
        </w:rPr>
        <w:noBreakHyphen/>
        <w:t xml:space="preserve">years. </w:t>
      </w:r>
      <w:r w:rsidRPr="00466520">
        <w:rPr>
          <w:rFonts w:cstheme="minorHAnsi"/>
          <w:sz w:val="18"/>
          <w:szCs w:val="18"/>
        </w:rPr>
        <w:t>Our</w:t>
      </w:r>
      <w:r>
        <w:rPr>
          <w:rFonts w:cstheme="minorHAnsi"/>
          <w:sz w:val="18"/>
          <w:szCs w:val="18"/>
        </w:rPr>
        <w:t xml:space="preserve"> analysis utilised the IPCC 2013 100</w:t>
      </w:r>
      <w:r>
        <w:rPr>
          <w:rFonts w:cstheme="minorHAnsi"/>
          <w:sz w:val="18"/>
          <w:szCs w:val="18"/>
        </w:rPr>
        <w:noBreakHyphen/>
        <w:t xml:space="preserve">year average GWPs to quantify the climate change impacts depicted in </w:t>
      </w:r>
      <w:r>
        <w:rPr>
          <w:rFonts w:cstheme="minorHAnsi"/>
          <w:b/>
          <w:sz w:val="18"/>
          <w:szCs w:val="18"/>
        </w:rPr>
        <w:t>Fig. 1</w:t>
      </w:r>
      <w:r>
        <w:rPr>
          <w:rFonts w:cstheme="minorHAnsi"/>
          <w:sz w:val="18"/>
          <w:szCs w:val="18"/>
        </w:rPr>
        <w:t xml:space="preserve"> and </w:t>
      </w:r>
      <w:r>
        <w:rPr>
          <w:rFonts w:cstheme="minorHAnsi"/>
          <w:b/>
          <w:sz w:val="18"/>
          <w:szCs w:val="18"/>
        </w:rPr>
        <w:t>Fig. 2</w:t>
      </w:r>
      <w:r>
        <w:rPr>
          <w:rFonts w:cstheme="minorHAnsi"/>
          <w:sz w:val="18"/>
          <w:szCs w:val="18"/>
        </w:rPr>
        <w:t xml:space="preserve"> of the main manuscript. </w:t>
      </w:r>
      <w:r>
        <w:rPr>
          <w:rFonts w:cstheme="minorHAnsi"/>
          <w:b/>
          <w:sz w:val="18"/>
          <w:szCs w:val="18"/>
        </w:rPr>
        <w:t xml:space="preserve">In this regard, supplementary text has been added to the captions of Fig. 1 and Fig. 2 of the main manuscript, emphasising the method employed for quantifying our climate change impacts. Furthermore, the </w:t>
      </w:r>
      <w:r w:rsidR="002A2F19">
        <w:rPr>
          <w:rFonts w:cstheme="minorHAnsi"/>
          <w:b/>
          <w:sz w:val="18"/>
          <w:szCs w:val="18"/>
        </w:rPr>
        <w:t>methods</w:t>
      </w:r>
      <w:r>
        <w:rPr>
          <w:rFonts w:cstheme="minorHAnsi"/>
          <w:b/>
          <w:sz w:val="18"/>
          <w:szCs w:val="18"/>
        </w:rPr>
        <w:t xml:space="preserve"> section of the main manuscript has been revised to incorporate this aspect of our study (page 2, line </w:t>
      </w:r>
      <w:r w:rsidR="00554CCA">
        <w:rPr>
          <w:rFonts w:cstheme="minorHAnsi"/>
          <w:b/>
          <w:sz w:val="18"/>
          <w:szCs w:val="18"/>
        </w:rPr>
        <w:t>5</w:t>
      </w:r>
      <w:r w:rsidR="00FC33D5">
        <w:rPr>
          <w:rFonts w:cstheme="minorHAnsi"/>
          <w:b/>
          <w:sz w:val="18"/>
          <w:szCs w:val="18"/>
        </w:rPr>
        <w:t>4</w:t>
      </w:r>
      <w:r>
        <w:rPr>
          <w:rFonts w:cstheme="minorHAnsi"/>
          <w:b/>
          <w:sz w:val="18"/>
          <w:szCs w:val="18"/>
        </w:rPr>
        <w:t xml:space="preserve">, </w:t>
      </w:r>
      <w:r w:rsidR="00554CCA">
        <w:rPr>
          <w:rFonts w:cstheme="minorHAnsi"/>
          <w:b/>
          <w:sz w:val="18"/>
          <w:szCs w:val="18"/>
        </w:rPr>
        <w:t>left</w:t>
      </w:r>
      <w:r>
        <w:rPr>
          <w:rFonts w:cstheme="minorHAnsi"/>
          <w:b/>
          <w:sz w:val="18"/>
          <w:szCs w:val="18"/>
        </w:rPr>
        <w:t> column).</w:t>
      </w:r>
      <w:bookmarkEnd w:id="2"/>
    </w:p>
    <w:sectPr w:rsidR="00D42C31" w:rsidRPr="00714BB8" w:rsidSect="003C41F9">
      <w:footerReference w:type="default" r:id="rId7"/>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01187A" w14:textId="77777777" w:rsidR="00047B93" w:rsidRDefault="00047B93">
      <w:pPr>
        <w:spacing w:after="0" w:line="240" w:lineRule="auto"/>
      </w:pPr>
      <w:r>
        <w:separator/>
      </w:r>
    </w:p>
  </w:endnote>
  <w:endnote w:type="continuationSeparator" w:id="0">
    <w:p w14:paraId="2F31D5E0" w14:textId="77777777" w:rsidR="00047B93" w:rsidRDefault="00047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4583CF82" w14:textId="77777777" w:rsidR="00A054C2" w:rsidRPr="00C90A7B" w:rsidRDefault="00047FE2">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Pr>
            <w:rFonts w:cs="Arial"/>
            <w:noProof/>
            <w:sz w:val="18"/>
            <w:szCs w:val="18"/>
          </w:rPr>
          <w:t>8</w:t>
        </w:r>
        <w:r w:rsidRPr="00552979">
          <w:rPr>
            <w:rFonts w:cs="Arial"/>
            <w:sz w:val="18"/>
            <w:szCs w:val="18"/>
          </w:rPr>
          <w:fldChar w:fldCharType="end"/>
        </w:r>
      </w:p>
    </w:sdtContent>
  </w:sdt>
  <w:p w14:paraId="6CBC91A7" w14:textId="77777777" w:rsidR="00A054C2" w:rsidRDefault="00047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16E6B" w14:textId="77777777" w:rsidR="00047B93" w:rsidRDefault="00047B93">
      <w:pPr>
        <w:spacing w:after="0" w:line="240" w:lineRule="auto"/>
      </w:pPr>
      <w:r>
        <w:separator/>
      </w:r>
    </w:p>
  </w:footnote>
  <w:footnote w:type="continuationSeparator" w:id="0">
    <w:p w14:paraId="3C8C41F8" w14:textId="77777777" w:rsidR="00047B93" w:rsidRDefault="00047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70E26"/>
    <w:multiLevelType w:val="hybridMultilevel"/>
    <w:tmpl w:val="84203BFE"/>
    <w:lvl w:ilvl="0" w:tplc="06786E04">
      <w:start w:val="1"/>
      <w:numFmt w:val="lowerRoman"/>
      <w:lvlText w:val="(%1)"/>
      <w:lvlJc w:val="left"/>
      <w:pPr>
        <w:ind w:left="1440" w:hanging="720"/>
      </w:pPr>
      <w:rPr>
        <w:rFonts w:asciiTheme="minorHAnsi" w:eastAsiaTheme="minorHAnsi" w:hAnsiTheme="minorHAnsi" w:cs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kwtKwFAIbyFbgtAAAA"/>
  </w:docVars>
  <w:rsids>
    <w:rsidRoot w:val="009B2FA2"/>
    <w:rsid w:val="000130A3"/>
    <w:rsid w:val="0003501A"/>
    <w:rsid w:val="00040861"/>
    <w:rsid w:val="00043C77"/>
    <w:rsid w:val="00047B93"/>
    <w:rsid w:val="00047FE2"/>
    <w:rsid w:val="00055B74"/>
    <w:rsid w:val="00066DB1"/>
    <w:rsid w:val="00075BA6"/>
    <w:rsid w:val="0008052A"/>
    <w:rsid w:val="0009419D"/>
    <w:rsid w:val="000B32C6"/>
    <w:rsid w:val="000B666B"/>
    <w:rsid w:val="000C01B8"/>
    <w:rsid w:val="000C0526"/>
    <w:rsid w:val="000C6E44"/>
    <w:rsid w:val="00102A51"/>
    <w:rsid w:val="001077D7"/>
    <w:rsid w:val="00115901"/>
    <w:rsid w:val="0012250E"/>
    <w:rsid w:val="00123618"/>
    <w:rsid w:val="00131FFA"/>
    <w:rsid w:val="00135219"/>
    <w:rsid w:val="00163E74"/>
    <w:rsid w:val="00172A52"/>
    <w:rsid w:val="001A0952"/>
    <w:rsid w:val="001A70F9"/>
    <w:rsid w:val="001B15F3"/>
    <w:rsid w:val="001B2BD5"/>
    <w:rsid w:val="001B4215"/>
    <w:rsid w:val="001D7C00"/>
    <w:rsid w:val="001E40E2"/>
    <w:rsid w:val="001F1841"/>
    <w:rsid w:val="00201942"/>
    <w:rsid w:val="00210124"/>
    <w:rsid w:val="00232DE4"/>
    <w:rsid w:val="002367C3"/>
    <w:rsid w:val="00247C16"/>
    <w:rsid w:val="002537F4"/>
    <w:rsid w:val="00263E44"/>
    <w:rsid w:val="002805DC"/>
    <w:rsid w:val="00290F4D"/>
    <w:rsid w:val="00297344"/>
    <w:rsid w:val="002A0C16"/>
    <w:rsid w:val="002A0F58"/>
    <w:rsid w:val="002A1348"/>
    <w:rsid w:val="002A2F19"/>
    <w:rsid w:val="002F31FD"/>
    <w:rsid w:val="002F4016"/>
    <w:rsid w:val="00310F51"/>
    <w:rsid w:val="003111BD"/>
    <w:rsid w:val="0033456F"/>
    <w:rsid w:val="003345A3"/>
    <w:rsid w:val="0036133F"/>
    <w:rsid w:val="00362878"/>
    <w:rsid w:val="0038557B"/>
    <w:rsid w:val="003A5285"/>
    <w:rsid w:val="003B0919"/>
    <w:rsid w:val="003B13C6"/>
    <w:rsid w:val="003B56CD"/>
    <w:rsid w:val="003C648F"/>
    <w:rsid w:val="003D0244"/>
    <w:rsid w:val="0040722F"/>
    <w:rsid w:val="004168B2"/>
    <w:rsid w:val="00426AAA"/>
    <w:rsid w:val="00432926"/>
    <w:rsid w:val="00452630"/>
    <w:rsid w:val="00455C3C"/>
    <w:rsid w:val="00460424"/>
    <w:rsid w:val="00466520"/>
    <w:rsid w:val="004713F2"/>
    <w:rsid w:val="00495226"/>
    <w:rsid w:val="004A27AB"/>
    <w:rsid w:val="004A5AD2"/>
    <w:rsid w:val="004C221D"/>
    <w:rsid w:val="004D3D1F"/>
    <w:rsid w:val="004E20F5"/>
    <w:rsid w:val="004E6DF9"/>
    <w:rsid w:val="004F6BE7"/>
    <w:rsid w:val="004F7964"/>
    <w:rsid w:val="005024A3"/>
    <w:rsid w:val="0051149C"/>
    <w:rsid w:val="00514907"/>
    <w:rsid w:val="005243D9"/>
    <w:rsid w:val="005312A7"/>
    <w:rsid w:val="005437BA"/>
    <w:rsid w:val="00554CCA"/>
    <w:rsid w:val="00556D97"/>
    <w:rsid w:val="00567929"/>
    <w:rsid w:val="00567DEF"/>
    <w:rsid w:val="00574DD1"/>
    <w:rsid w:val="00575487"/>
    <w:rsid w:val="00586D36"/>
    <w:rsid w:val="00591C93"/>
    <w:rsid w:val="005B1D17"/>
    <w:rsid w:val="005B570C"/>
    <w:rsid w:val="005C413E"/>
    <w:rsid w:val="005C6839"/>
    <w:rsid w:val="005D2A78"/>
    <w:rsid w:val="005D2D7B"/>
    <w:rsid w:val="005E1A88"/>
    <w:rsid w:val="005E492E"/>
    <w:rsid w:val="005F2FDA"/>
    <w:rsid w:val="00613FAD"/>
    <w:rsid w:val="00627CC0"/>
    <w:rsid w:val="00641297"/>
    <w:rsid w:val="00641D9F"/>
    <w:rsid w:val="00642888"/>
    <w:rsid w:val="00651788"/>
    <w:rsid w:val="00653B99"/>
    <w:rsid w:val="00656C7B"/>
    <w:rsid w:val="006A4993"/>
    <w:rsid w:val="006B03DB"/>
    <w:rsid w:val="006C18AF"/>
    <w:rsid w:val="006D51CF"/>
    <w:rsid w:val="006D5998"/>
    <w:rsid w:val="006F3B79"/>
    <w:rsid w:val="006F51CC"/>
    <w:rsid w:val="006F7261"/>
    <w:rsid w:val="006F7514"/>
    <w:rsid w:val="00700A2D"/>
    <w:rsid w:val="00712290"/>
    <w:rsid w:val="00714BB8"/>
    <w:rsid w:val="007238AA"/>
    <w:rsid w:val="007341A5"/>
    <w:rsid w:val="00743A99"/>
    <w:rsid w:val="007454F0"/>
    <w:rsid w:val="00746A7B"/>
    <w:rsid w:val="00764BD8"/>
    <w:rsid w:val="007819E7"/>
    <w:rsid w:val="00787A83"/>
    <w:rsid w:val="00795BAD"/>
    <w:rsid w:val="007B3972"/>
    <w:rsid w:val="007B5D33"/>
    <w:rsid w:val="007C39BB"/>
    <w:rsid w:val="007C40C8"/>
    <w:rsid w:val="007E5D4D"/>
    <w:rsid w:val="007F409C"/>
    <w:rsid w:val="00811BF7"/>
    <w:rsid w:val="00826A4E"/>
    <w:rsid w:val="008303F9"/>
    <w:rsid w:val="0083349B"/>
    <w:rsid w:val="00887BBD"/>
    <w:rsid w:val="008934E2"/>
    <w:rsid w:val="00893E84"/>
    <w:rsid w:val="008C4D05"/>
    <w:rsid w:val="008C7128"/>
    <w:rsid w:val="00901324"/>
    <w:rsid w:val="0091689A"/>
    <w:rsid w:val="009348A9"/>
    <w:rsid w:val="009379BC"/>
    <w:rsid w:val="009427A0"/>
    <w:rsid w:val="00953838"/>
    <w:rsid w:val="00966427"/>
    <w:rsid w:val="00984BEA"/>
    <w:rsid w:val="00987213"/>
    <w:rsid w:val="00997CA5"/>
    <w:rsid w:val="009A3558"/>
    <w:rsid w:val="009B2FA2"/>
    <w:rsid w:val="009B352A"/>
    <w:rsid w:val="009F1A93"/>
    <w:rsid w:val="00A01EFD"/>
    <w:rsid w:val="00A15C83"/>
    <w:rsid w:val="00A17DCF"/>
    <w:rsid w:val="00A2580E"/>
    <w:rsid w:val="00A31B0D"/>
    <w:rsid w:val="00A35395"/>
    <w:rsid w:val="00A41E49"/>
    <w:rsid w:val="00A66437"/>
    <w:rsid w:val="00A7035C"/>
    <w:rsid w:val="00A80191"/>
    <w:rsid w:val="00A85391"/>
    <w:rsid w:val="00AB3714"/>
    <w:rsid w:val="00AB740D"/>
    <w:rsid w:val="00AE37D8"/>
    <w:rsid w:val="00AE5B90"/>
    <w:rsid w:val="00AF4112"/>
    <w:rsid w:val="00B04E42"/>
    <w:rsid w:val="00B15259"/>
    <w:rsid w:val="00B32373"/>
    <w:rsid w:val="00B37083"/>
    <w:rsid w:val="00B51033"/>
    <w:rsid w:val="00B53E5D"/>
    <w:rsid w:val="00B71B07"/>
    <w:rsid w:val="00B73D7C"/>
    <w:rsid w:val="00B906B9"/>
    <w:rsid w:val="00B93D34"/>
    <w:rsid w:val="00B964DF"/>
    <w:rsid w:val="00BA110F"/>
    <w:rsid w:val="00BA1A64"/>
    <w:rsid w:val="00BB4E51"/>
    <w:rsid w:val="00BB5E65"/>
    <w:rsid w:val="00BC7ABF"/>
    <w:rsid w:val="00BD1FF0"/>
    <w:rsid w:val="00BE2A0A"/>
    <w:rsid w:val="00BF10C3"/>
    <w:rsid w:val="00BF773C"/>
    <w:rsid w:val="00C452D4"/>
    <w:rsid w:val="00C67F71"/>
    <w:rsid w:val="00C7218A"/>
    <w:rsid w:val="00C7345A"/>
    <w:rsid w:val="00C73966"/>
    <w:rsid w:val="00C91BC0"/>
    <w:rsid w:val="00C97937"/>
    <w:rsid w:val="00CA4399"/>
    <w:rsid w:val="00CB3547"/>
    <w:rsid w:val="00CB4ED2"/>
    <w:rsid w:val="00CC3F32"/>
    <w:rsid w:val="00CD4117"/>
    <w:rsid w:val="00CE4224"/>
    <w:rsid w:val="00CE6973"/>
    <w:rsid w:val="00D02032"/>
    <w:rsid w:val="00D27131"/>
    <w:rsid w:val="00D37431"/>
    <w:rsid w:val="00D42C31"/>
    <w:rsid w:val="00D43342"/>
    <w:rsid w:val="00D4355E"/>
    <w:rsid w:val="00D4617A"/>
    <w:rsid w:val="00D474C3"/>
    <w:rsid w:val="00D54E3A"/>
    <w:rsid w:val="00D57A46"/>
    <w:rsid w:val="00D64589"/>
    <w:rsid w:val="00D66359"/>
    <w:rsid w:val="00D94B55"/>
    <w:rsid w:val="00DC0FF6"/>
    <w:rsid w:val="00DD5DD7"/>
    <w:rsid w:val="00DE597B"/>
    <w:rsid w:val="00DF2E35"/>
    <w:rsid w:val="00E047F5"/>
    <w:rsid w:val="00E07F6E"/>
    <w:rsid w:val="00E12F6F"/>
    <w:rsid w:val="00E21725"/>
    <w:rsid w:val="00E2467B"/>
    <w:rsid w:val="00E27643"/>
    <w:rsid w:val="00E71882"/>
    <w:rsid w:val="00EA0F07"/>
    <w:rsid w:val="00EA2679"/>
    <w:rsid w:val="00EB1957"/>
    <w:rsid w:val="00EB55A6"/>
    <w:rsid w:val="00ED4931"/>
    <w:rsid w:val="00EE6E50"/>
    <w:rsid w:val="00EF66F0"/>
    <w:rsid w:val="00F176EF"/>
    <w:rsid w:val="00F22435"/>
    <w:rsid w:val="00F2275B"/>
    <w:rsid w:val="00F50938"/>
    <w:rsid w:val="00F65816"/>
    <w:rsid w:val="00FA5733"/>
    <w:rsid w:val="00FB1D45"/>
    <w:rsid w:val="00FB23D8"/>
    <w:rsid w:val="00FC33D5"/>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91C6"/>
  <w15:chartTrackingRefBased/>
  <w15:docId w15:val="{0D3792FA-7162-4FA8-8A1D-F0F7EB2F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2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paragraph" w:styleId="ListParagraph">
    <w:name w:val="List Paragraph"/>
    <w:basedOn w:val="Normal"/>
    <w:uiPriority w:val="34"/>
    <w:qFormat/>
    <w:rsid w:val="009B2FA2"/>
    <w:pPr>
      <w:suppressAutoHyphens/>
      <w:ind w:left="720"/>
      <w:contextualSpacing/>
    </w:pPr>
    <w:rPr>
      <w:rFonts w:eastAsiaTheme="minorEastAsia"/>
      <w:lang w:val="en-US"/>
    </w:rPr>
  </w:style>
  <w:style w:type="paragraph" w:styleId="Footer">
    <w:name w:val="footer"/>
    <w:basedOn w:val="Normal"/>
    <w:link w:val="FooterChar"/>
    <w:uiPriority w:val="99"/>
    <w:unhideWhenUsed/>
    <w:rsid w:val="009B2FA2"/>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9B2FA2"/>
    <w:rPr>
      <w:rFonts w:eastAsiaTheme="minorEastAsia"/>
      <w:lang w:val="en-US"/>
    </w:rPr>
  </w:style>
  <w:style w:type="paragraph" w:styleId="CommentText">
    <w:name w:val="annotation text"/>
    <w:basedOn w:val="Normal"/>
    <w:link w:val="CommentTextChar"/>
    <w:uiPriority w:val="99"/>
    <w:unhideWhenUsed/>
    <w:qFormat/>
    <w:rsid w:val="009B2FA2"/>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9B2FA2"/>
    <w:rPr>
      <w:rFonts w:eastAsiaTheme="minorEastAsia"/>
      <w:sz w:val="20"/>
      <w:szCs w:val="20"/>
      <w:lang w:val="en-US"/>
    </w:rPr>
  </w:style>
  <w:style w:type="paragraph" w:styleId="BalloonText">
    <w:name w:val="Balloon Text"/>
    <w:basedOn w:val="Normal"/>
    <w:link w:val="BalloonTextChar"/>
    <w:uiPriority w:val="99"/>
    <w:semiHidden/>
    <w:unhideWhenUsed/>
    <w:rsid w:val="009B2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FA2"/>
    <w:rPr>
      <w:rFonts w:ascii="Segoe UI" w:hAnsi="Segoe UI" w:cs="Segoe UI"/>
      <w:sz w:val="18"/>
      <w:szCs w:val="18"/>
      <w:lang w:val="de-CH"/>
    </w:rPr>
  </w:style>
  <w:style w:type="paragraph" w:styleId="Header">
    <w:name w:val="header"/>
    <w:basedOn w:val="Normal"/>
    <w:link w:val="HeaderChar"/>
    <w:uiPriority w:val="99"/>
    <w:unhideWhenUsed/>
    <w:rsid w:val="000B32C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3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099809">
      <w:bodyDiv w:val="1"/>
      <w:marLeft w:val="0"/>
      <w:marRight w:val="0"/>
      <w:marTop w:val="0"/>
      <w:marBottom w:val="0"/>
      <w:divBdr>
        <w:top w:val="none" w:sz="0" w:space="0" w:color="auto"/>
        <w:left w:val="none" w:sz="0" w:space="0" w:color="auto"/>
        <w:bottom w:val="none" w:sz="0" w:space="0" w:color="auto"/>
        <w:right w:val="none" w:sz="0" w:space="0" w:color="auto"/>
      </w:divBdr>
      <w:divsChild>
        <w:div w:id="1488788668">
          <w:marLeft w:val="0"/>
          <w:marRight w:val="0"/>
          <w:marTop w:val="0"/>
          <w:marBottom w:val="0"/>
          <w:divBdr>
            <w:top w:val="single" w:sz="2" w:space="0" w:color="E3E3E3"/>
            <w:left w:val="single" w:sz="2" w:space="0" w:color="E3E3E3"/>
            <w:bottom w:val="single" w:sz="2" w:space="0" w:color="E3E3E3"/>
            <w:right w:val="single" w:sz="2" w:space="0" w:color="E3E3E3"/>
          </w:divBdr>
          <w:divsChild>
            <w:div w:id="1752923297">
              <w:marLeft w:val="0"/>
              <w:marRight w:val="0"/>
              <w:marTop w:val="0"/>
              <w:marBottom w:val="0"/>
              <w:divBdr>
                <w:top w:val="single" w:sz="2" w:space="0" w:color="E3E3E3"/>
                <w:left w:val="single" w:sz="2" w:space="0" w:color="E3E3E3"/>
                <w:bottom w:val="single" w:sz="2" w:space="0" w:color="E3E3E3"/>
                <w:right w:val="single" w:sz="2" w:space="0" w:color="E3E3E3"/>
              </w:divBdr>
              <w:divsChild>
                <w:div w:id="857743438">
                  <w:marLeft w:val="0"/>
                  <w:marRight w:val="0"/>
                  <w:marTop w:val="0"/>
                  <w:marBottom w:val="0"/>
                  <w:divBdr>
                    <w:top w:val="single" w:sz="2" w:space="0" w:color="E3E3E3"/>
                    <w:left w:val="single" w:sz="2" w:space="0" w:color="E3E3E3"/>
                    <w:bottom w:val="single" w:sz="2" w:space="0" w:color="E3E3E3"/>
                    <w:right w:val="single" w:sz="2" w:space="0" w:color="E3E3E3"/>
                  </w:divBdr>
                  <w:divsChild>
                    <w:div w:id="512376804">
                      <w:marLeft w:val="0"/>
                      <w:marRight w:val="0"/>
                      <w:marTop w:val="0"/>
                      <w:marBottom w:val="0"/>
                      <w:divBdr>
                        <w:top w:val="single" w:sz="2" w:space="0" w:color="E3E3E3"/>
                        <w:left w:val="single" w:sz="2" w:space="0" w:color="E3E3E3"/>
                        <w:bottom w:val="single" w:sz="2" w:space="0" w:color="E3E3E3"/>
                        <w:right w:val="single" w:sz="2" w:space="0" w:color="E3E3E3"/>
                      </w:divBdr>
                      <w:divsChild>
                        <w:div w:id="208340646">
                          <w:marLeft w:val="0"/>
                          <w:marRight w:val="0"/>
                          <w:marTop w:val="0"/>
                          <w:marBottom w:val="0"/>
                          <w:divBdr>
                            <w:top w:val="single" w:sz="2" w:space="0" w:color="E3E3E3"/>
                            <w:left w:val="single" w:sz="2" w:space="0" w:color="E3E3E3"/>
                            <w:bottom w:val="single" w:sz="2" w:space="0" w:color="E3E3E3"/>
                            <w:right w:val="single" w:sz="2" w:space="0" w:color="E3E3E3"/>
                          </w:divBdr>
                          <w:divsChild>
                            <w:div w:id="795219970">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492018">
                                  <w:marLeft w:val="0"/>
                                  <w:marRight w:val="0"/>
                                  <w:marTop w:val="0"/>
                                  <w:marBottom w:val="0"/>
                                  <w:divBdr>
                                    <w:top w:val="single" w:sz="2" w:space="0" w:color="E3E3E3"/>
                                    <w:left w:val="single" w:sz="2" w:space="0" w:color="E3E3E3"/>
                                    <w:bottom w:val="single" w:sz="2" w:space="0" w:color="E3E3E3"/>
                                    <w:right w:val="single" w:sz="2" w:space="0" w:color="E3E3E3"/>
                                  </w:divBdr>
                                  <w:divsChild>
                                    <w:div w:id="751705430">
                                      <w:marLeft w:val="0"/>
                                      <w:marRight w:val="0"/>
                                      <w:marTop w:val="0"/>
                                      <w:marBottom w:val="0"/>
                                      <w:divBdr>
                                        <w:top w:val="single" w:sz="2" w:space="0" w:color="E3E3E3"/>
                                        <w:left w:val="single" w:sz="2" w:space="0" w:color="E3E3E3"/>
                                        <w:bottom w:val="single" w:sz="2" w:space="0" w:color="E3E3E3"/>
                                        <w:right w:val="single" w:sz="2" w:space="0" w:color="E3E3E3"/>
                                      </w:divBdr>
                                      <w:divsChild>
                                        <w:div w:id="859928449">
                                          <w:marLeft w:val="0"/>
                                          <w:marRight w:val="0"/>
                                          <w:marTop w:val="0"/>
                                          <w:marBottom w:val="0"/>
                                          <w:divBdr>
                                            <w:top w:val="single" w:sz="2" w:space="0" w:color="E3E3E3"/>
                                            <w:left w:val="single" w:sz="2" w:space="0" w:color="E3E3E3"/>
                                            <w:bottom w:val="single" w:sz="2" w:space="0" w:color="E3E3E3"/>
                                            <w:right w:val="single" w:sz="2" w:space="0" w:color="E3E3E3"/>
                                          </w:divBdr>
                                          <w:divsChild>
                                            <w:div w:id="1459299155">
                                              <w:marLeft w:val="0"/>
                                              <w:marRight w:val="0"/>
                                              <w:marTop w:val="0"/>
                                              <w:marBottom w:val="0"/>
                                              <w:divBdr>
                                                <w:top w:val="single" w:sz="2" w:space="0" w:color="E3E3E3"/>
                                                <w:left w:val="single" w:sz="2" w:space="0" w:color="E3E3E3"/>
                                                <w:bottom w:val="single" w:sz="2" w:space="0" w:color="E3E3E3"/>
                                                <w:right w:val="single" w:sz="2" w:space="0" w:color="E3E3E3"/>
                                              </w:divBdr>
                                              <w:divsChild>
                                                <w:div w:id="181671292">
                                                  <w:marLeft w:val="0"/>
                                                  <w:marRight w:val="0"/>
                                                  <w:marTop w:val="0"/>
                                                  <w:marBottom w:val="0"/>
                                                  <w:divBdr>
                                                    <w:top w:val="single" w:sz="2" w:space="0" w:color="E3E3E3"/>
                                                    <w:left w:val="single" w:sz="2" w:space="0" w:color="E3E3E3"/>
                                                    <w:bottom w:val="single" w:sz="2" w:space="0" w:color="E3E3E3"/>
                                                    <w:right w:val="single" w:sz="2" w:space="0" w:color="E3E3E3"/>
                                                  </w:divBdr>
                                                  <w:divsChild>
                                                    <w:div w:id="1463304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756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3070</Words>
  <Characters>17503</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192</cp:revision>
  <cp:lastPrinted>2024-03-12T15:01:00Z</cp:lastPrinted>
  <dcterms:created xsi:type="dcterms:W3CDTF">2023-06-07T12:00:00Z</dcterms:created>
  <dcterms:modified xsi:type="dcterms:W3CDTF">2024-03-12T15:01:00Z</dcterms:modified>
</cp:coreProperties>
</file>