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Centering Panel Redesign Spec</w:t>
      </w:r>
    </w:p>
    <w:p>
      <w:pPr>
        <w:jc w:val="center"/>
      </w:pPr>
      <w:r>
        <w:t>UI, backend highlight contract, and implementation requirements for interpretable centering analysis in the card-analysis extension.</w:t>
      </w:r>
    </w:p>
    <w:p>
      <w:pPr>
        <w:pStyle w:val="Heading1"/>
      </w:pPr>
      <w:r>
        <w:t>1. Objective</w:t>
      </w:r>
    </w:p>
    <w:p>
      <w:pPr>
        <w:pStyle w:val="ListBullet"/>
      </w:pPr>
      <w:r>
        <w:t>Redesign the Centering issue view so a user can clearly understand what was measured, how the centering result was computed, why the card is labeled as centered or off-center, and which visual boundaries were used.</w:t>
      </w:r>
    </w:p>
    <w:p>
      <w:pPr>
        <w:pStyle w:val="ListBullet"/>
      </w:pPr>
      <w:r>
        <w:t>The redesign must make the centering result visually interpretable, not just textually displayed.</w:t>
      </w:r>
    </w:p>
    <w:p>
      <w:pPr>
        <w:pStyle w:val="Heading1"/>
      </w:pPr>
      <w:r>
        <w:t>2. Problem Statement</w:t>
      </w:r>
    </w:p>
    <w:p>
      <w:pPr>
        <w:pStyle w:val="ListBullet"/>
      </w:pPr>
      <w:r>
        <w:t>The current centering view is hard to interpret because it uses a generic highlight instead of a measurement overlay.</w:t>
      </w:r>
    </w:p>
    <w:p>
      <w:pPr>
        <w:pStyle w:val="ListBullet"/>
      </w:pPr>
      <w:r>
        <w:t>The user cannot tell which box corresponds to the outer card boundary, the inner frame, or the actual measured reference.</w:t>
      </w:r>
    </w:p>
    <w:p>
      <w:pPr>
        <w:pStyle w:val="ListBullet"/>
      </w:pPr>
      <w:r>
        <w:t>The UI does not show the actual top, bottom, left, and right distances.</w:t>
      </w:r>
    </w:p>
    <w:p>
      <w:pPr>
        <w:pStyle w:val="ListBullet"/>
      </w:pPr>
      <w:r>
        <w:t>The full raw image includes distracting background, stand, shadows, and empty space.</w:t>
      </w:r>
    </w:p>
    <w:p>
      <w:pPr>
        <w:pStyle w:val="ListBullet"/>
      </w:pPr>
      <w:r>
        <w:t>A label such as “53/47 top-heavy centering” is not sufficient to explain the result on its own.</w:t>
      </w:r>
    </w:p>
    <w:p>
      <w:pPr>
        <w:pStyle w:val="Heading1"/>
      </w:pPr>
      <w:r>
        <w:t>3. Product Requirement</w:t>
      </w:r>
    </w:p>
    <w:p>
      <w:pPr>
        <w:pStyle w:val="ListBullet"/>
      </w:pPr>
      <w:r>
        <w:t>When the user selects Centering, the UI must show a measurement-driven overlay on a cropped and rectified card image.</w:t>
      </w:r>
    </w:p>
    <w:p>
      <w:pPr>
        <w:pStyle w:val="ListBullet"/>
      </w:pPr>
      <w:r>
        <w:t>The user should be able to answer: what boundaries were used, whether the card is top-heavy or side-heavy, how significant the issue is, and whether the centering remains acceptable.</w:t>
      </w:r>
    </w:p>
    <w:p>
      <w:pPr>
        <w:pStyle w:val="Heading1"/>
      </w:pPr>
      <w:r>
        <w:t>4. Design Principles</w:t>
      </w:r>
    </w:p>
    <w:p>
      <w:pPr>
        <w:pStyle w:val="ListBullet"/>
      </w:pPr>
      <w:r>
        <w:t>Use a cropped and rectified card image rather than the full raw listing image.</w:t>
      </w:r>
    </w:p>
    <w:p>
      <w:pPr>
        <w:pStyle w:val="ListBullet"/>
      </w:pPr>
      <w:r>
        <w:t>Treat centering as a measurement problem, not a generic defect-localization problem.</w:t>
      </w:r>
    </w:p>
    <w:p>
      <w:pPr>
        <w:pStyle w:val="ListBullet"/>
      </w:pPr>
      <w:r>
        <w:t>Be explicit about what is measured: outer card edge versus inner printed frame.</w:t>
      </w:r>
    </w:p>
    <w:p>
      <w:pPr>
        <w:pStyle w:val="ListBullet"/>
      </w:pPr>
      <w:r>
        <w:t>Show both numeric and visual explanation.</w:t>
      </w:r>
    </w:p>
    <w:p>
      <w:pPr>
        <w:pStyle w:val="Heading1"/>
      </w:pPr>
      <w:r>
        <w:t>5. Required UI Behavior</w:t>
      </w:r>
    </w:p>
    <w:p>
      <w:pPr>
        <w:pStyle w:val="ListBullet"/>
      </w:pPr>
      <w:r>
        <w:t>When the user clicks Centering, the main image area must switch to a centering inspection mode.</w:t>
      </w:r>
    </w:p>
    <w:p>
      <w:pPr>
        <w:pStyle w:val="ListBullet"/>
      </w:pPr>
      <w:r>
        <w:t>The centering inspection mode must show the cropped or rectified card, the detected outer card boundary, the detected inner measured frame, top/bottom/left/right margin markers, and a centering summary.</w:t>
      </w:r>
    </w:p>
    <w:p>
      <w:pPr>
        <w:pStyle w:val="Heading1"/>
      </w:pPr>
      <w:r>
        <w:t>6. Required Overlays</w:t>
      </w:r>
    </w:p>
    <w:p>
      <w:pPr>
        <w:pStyle w:val="ListBullet"/>
      </w:pPr>
      <w:r>
        <w:t>Overlay A — Outer Card Boundary: show a thin rectangle representing the detected outer edge of the card. Recommended color: blue or neutral white. Label: “Outer card edge.”</w:t>
      </w:r>
    </w:p>
    <w:p>
      <w:pPr>
        <w:pStyle w:val="ListBullet"/>
      </w:pPr>
      <w:r>
        <w:t>Overlay B — Inner Measured Frame: show a second thin rectangle representing the inner frame or print boundary used for centering measurement. Recommended color: yellow. Label: “Inner frame.”</w:t>
      </w:r>
    </w:p>
    <w:p>
      <w:pPr>
        <w:pStyle w:val="ListBullet"/>
      </w:pPr>
      <w:r>
        <w:t>Overlay C — Margin Measurement Labels: display values for Top, Bottom, Left, and Right. Example: “Top: 53”, “Bottom: 47”, “Left: 50”, “Right: 50”.</w:t>
      </w:r>
    </w:p>
    <w:p>
      <w:pPr>
        <w:pStyle w:val="ListBullet"/>
      </w:pPr>
      <w:r>
        <w:t>Overlay D — Optional Centerlines: show the horizontal and vertical centerlines of the outer card and the inner frame to explain offset visually.</w:t>
      </w:r>
    </w:p>
    <w:p>
      <w:pPr>
        <w:pStyle w:val="Heading1"/>
      </w:pPr>
      <w:r>
        <w:t>7. Required Text Summary</w:t>
      </w:r>
    </w:p>
    <w:p>
      <w:pPr>
        <w:pStyle w:val="ListBullet"/>
      </w:pPr>
      <w:r>
        <w:t>Primary line example: “53/47 T/B, 50/50 L/R”.</w:t>
      </w:r>
    </w:p>
    <w:p>
      <w:pPr>
        <w:pStyle w:val="ListBullet"/>
      </w:pPr>
      <w:r>
        <w:t>Interpretation line example: “Slightly top-heavy” or “Well-centered”.</w:t>
      </w:r>
    </w:p>
    <w:p>
      <w:pPr>
        <w:pStyle w:val="ListBullet"/>
      </w:pPr>
      <w:r>
        <w:t>Optional standards line example: “Within PSA 10 front-centering tolerance” or “Likely below PSA 10 centering threshold”.</w:t>
      </w:r>
    </w:p>
    <w:p>
      <w:pPr>
        <w:pStyle w:val="Heading1"/>
      </w:pPr>
      <w:r>
        <w:t>8. UI Layout Spec</w:t>
      </w:r>
    </w:p>
    <w:p>
      <w:pPr>
        <w:pStyle w:val="ListBullet"/>
      </w:pPr>
      <w:r>
        <w:t>Main image card: display the cropped or rectified card image with overlays drawn directly on the card.</w:t>
      </w:r>
    </w:p>
    <w:p>
      <w:pPr>
        <w:pStyle w:val="ListBullet"/>
      </w:pPr>
      <w:r>
        <w:t>Centering summary card: show the issue badge, ratio summary, interpretation, and optional confidence.</w:t>
      </w:r>
    </w:p>
    <w:p>
      <w:pPr>
        <w:pStyle w:val="ListBullet"/>
      </w:pPr>
      <w:r>
        <w:t>Expanded issue detail row: include brief helper text such as “Measured from outer card edge to inner print frame”.</w:t>
      </w:r>
    </w:p>
    <w:p>
      <w:pPr>
        <w:pStyle w:val="Heading1"/>
      </w:pPr>
      <w:r>
        <w:t>9. Interaction Behavior</w:t>
      </w:r>
    </w:p>
    <w:p>
      <w:pPr>
        <w:pStyle w:val="ListBullet"/>
      </w:pPr>
      <w:r>
        <w:t>When the user taps Centering, activate centering inspection mode and collapse other issue overlays.</w:t>
      </w:r>
    </w:p>
    <w:p>
      <w:pPr>
        <w:pStyle w:val="ListBullet"/>
      </w:pPr>
      <w:r>
        <w:t>If the user taps a measurement label such as “Top: 53”, emphasize that measurement guide and optionally dim others.</w:t>
      </w:r>
    </w:p>
    <w:p>
      <w:pPr>
        <w:pStyle w:val="ListBullet"/>
      </w:pPr>
      <w:r>
        <w:t>When the user returns to All issues, remove centering-specific measurement overlays and restore the default issue navigation view.</w:t>
      </w:r>
    </w:p>
    <w:p>
      <w:pPr>
        <w:pStyle w:val="Heading1"/>
      </w:pPr>
      <w:r>
        <w:t>10. Visual Style Spec</w:t>
      </w:r>
    </w:p>
    <w:p>
      <w:pPr>
        <w:pStyle w:val="ListBullet"/>
      </w:pPr>
      <w:r>
        <w:t>Use thin, precise strokes for boundary overlays. Do not use thick translucent rounded rectangles for centering.</w:t>
      </w:r>
    </w:p>
    <w:p>
      <w:pPr>
        <w:pStyle w:val="ListBullet"/>
      </w:pPr>
      <w:r>
        <w:t>Recommended color scheme: outer card boundary in blue or neutral white; inner frame in yellow; measurement arrows and labels in white or muted gold.</w:t>
      </w:r>
    </w:p>
    <w:p>
      <w:pPr>
        <w:pStyle w:val="ListBullet"/>
      </w:pPr>
      <w:r>
        <w:t>Use semantic colors for interpretation states: green or gold for good, yellow or orange for minor issue, orange or red for major issue.</w:t>
      </w:r>
    </w:p>
    <w:p>
      <w:pPr>
        <w:pStyle w:val="Heading1"/>
      </w:pPr>
      <w:r>
        <w:t>11. Backend Highlight Contract</w:t>
      </w:r>
    </w:p>
    <w:p>
      <w:pPr>
        <w:pStyle w:val="ListBullet"/>
      </w:pPr>
      <w:r>
        <w:t>The frontend must not infer centering geometry itself. The backend should return a structured centering payload.</w:t>
      </w:r>
    </w:p>
    <w:p>
      <w:pPr>
        <w:pStyle w:val="ListBullet"/>
      </w:pPr>
      <w:r>
        <w:t>Required fields: card_bbox, inner_frame_bbox, margins, ratios, interpretation, confidence, and optional psa_assessment.</w:t>
      </w:r>
    </w:p>
    <w:p>
      <w:pPr>
        <w:pStyle w:val="Heading1"/>
      </w:pPr>
      <w:r>
        <w:t>12. Example Backend Payload</w:t>
      </w:r>
    </w:p>
    <w:p>
      <w:pPr>
        <w:ind w:left="504"/>
      </w:pPr>
      <w:r>
        <w:rPr>
          <w:rFonts w:ascii="Courier New" w:hAnsi="Courier New"/>
          <w:sz w:val="18"/>
        </w:rPr>
        <w:t>{</w:t>
      </w:r>
    </w:p>
    <w:p>
      <w:pPr>
        <w:ind w:left="504"/>
      </w:pPr>
      <w:r>
        <w:rPr>
          <w:rFonts w:ascii="Courier New" w:hAnsi="Courier New"/>
          <w:sz w:val="18"/>
        </w:rPr>
        <w:t xml:space="preserve">  "issue_id": "centering",</w:t>
      </w:r>
    </w:p>
    <w:p>
      <w:pPr>
        <w:ind w:left="504"/>
      </w:pPr>
      <w:r>
        <w:rPr>
          <w:rFonts w:ascii="Courier New" w:hAnsi="Courier New"/>
          <w:sz w:val="18"/>
        </w:rPr>
        <w:t xml:space="preserve">  "category": "centering",</w:t>
      </w:r>
    </w:p>
    <w:p>
      <w:pPr>
        <w:ind w:left="504"/>
      </w:pPr>
      <w:r>
        <w:rPr>
          <w:rFonts w:ascii="Courier New" w:hAnsi="Courier New"/>
          <w:sz w:val="18"/>
        </w:rPr>
        <w:t xml:space="preserve">  "label": "53/47 top-heavy centering",</w:t>
      </w:r>
    </w:p>
    <w:p>
      <w:pPr>
        <w:ind w:left="504"/>
      </w:pPr>
      <w:r>
        <w:rPr>
          <w:rFonts w:ascii="Courier New" w:hAnsi="Courier New"/>
          <w:sz w:val="18"/>
        </w:rPr>
        <w:t xml:space="preserve">  "source": "cv",</w:t>
      </w:r>
    </w:p>
    <w:p>
      <w:pPr>
        <w:ind w:left="504"/>
      </w:pPr>
      <w:r>
        <w:rPr>
          <w:rFonts w:ascii="Courier New" w:hAnsi="Courier New"/>
          <w:sz w:val="18"/>
        </w:rPr>
        <w:t xml:space="preserve">  "confidence": "high",</w:t>
      </w:r>
    </w:p>
    <w:p>
      <w:pPr>
        <w:ind w:left="504"/>
      </w:pPr>
      <w:r>
        <w:rPr>
          <w:rFonts w:ascii="Courier New" w:hAnsi="Courier New"/>
          <w:sz w:val="18"/>
        </w:rPr>
        <w:t xml:space="preserve">  "highlight": {</w:t>
      </w:r>
    </w:p>
    <w:p>
      <w:pPr>
        <w:ind w:left="504"/>
      </w:pPr>
      <w:r>
        <w:rPr>
          <w:rFonts w:ascii="Courier New" w:hAnsi="Courier New"/>
          <w:sz w:val="18"/>
        </w:rPr>
        <w:t xml:space="preserve">    "type": "centering_measurement",</w:t>
      </w:r>
    </w:p>
    <w:p>
      <w:pPr>
        <w:ind w:left="504"/>
      </w:pPr>
      <w:r>
        <w:rPr>
          <w:rFonts w:ascii="Courier New" w:hAnsi="Courier New"/>
          <w:sz w:val="18"/>
        </w:rPr>
        <w:t xml:space="preserve">    "data": {</w:t>
      </w:r>
    </w:p>
    <w:p>
      <w:pPr>
        <w:pStyle w:val="ListBullet"/>
      </w:pPr>
      <w:r>
        <w:t xml:space="preserve">      "card_bbox": {"x": 12, "y": 10, "w": 320, "h": 450},</w:t>
      </w:r>
    </w:p>
    <w:p>
      <w:pPr>
        <w:pStyle w:val="ListBullet"/>
      </w:pPr>
      <w:r>
        <w:t xml:space="preserve">      "inner_frame_bbox": {"x": 24, "y": 20, "w": 296, "h": 430},</w:t>
      </w:r>
    </w:p>
    <w:p>
      <w:pPr>
        <w:pStyle w:val="ListBullet"/>
      </w:pPr>
      <w:r>
        <w:t xml:space="preserve">      "margins": {"left": 50, "right": 50, "top": 53, "bottom": 47},</w:t>
      </w:r>
    </w:p>
    <w:p>
      <w:pPr>
        <w:pStyle w:val="ListBullet"/>
      </w:pPr>
      <w:r>
        <w:t xml:space="preserve">      "ratios": {"left_right": "50/50", "top_bottom": "53/47"},</w:t>
      </w:r>
    </w:p>
    <w:p>
      <w:pPr>
        <w:pStyle w:val="ListBullet"/>
      </w:pPr>
      <w:r>
        <w:t xml:space="preserve">      "interpretation": "slightly top-heavy",</w:t>
      </w:r>
    </w:p>
    <w:p>
      <w:pPr>
        <w:pStyle w:val="ListBullet"/>
      </w:pPr>
      <w:r>
        <w:t xml:space="preserve">      "psa_assessment": "within_psa10_tolerance"</w:t>
      </w:r>
    </w:p>
    <w:p>
      <w:pPr>
        <w:pStyle w:val="ListBullet"/>
      </w:pPr>
      <w:r>
        <w:t xml:space="preserve">    }</w:t>
      </w:r>
    </w:p>
    <w:p>
      <w:pPr>
        <w:pStyle w:val="ListBullet"/>
      </w:pPr>
      <w:r>
        <w:t xml:space="preserve">  }</w:t>
      </w:r>
    </w:p>
    <w:p>
      <w:pPr>
        <w:ind w:left="504"/>
      </w:pPr>
      <w:r>
        <w:rPr>
          <w:rFonts w:ascii="Courier New" w:hAnsi="Courier New"/>
          <w:sz w:val="18"/>
        </w:rPr>
        <w:t>}</w:t>
      </w:r>
    </w:p>
    <w:p>
      <w:pPr>
        <w:pStyle w:val="Heading1"/>
      </w:pPr>
      <w:r>
        <w:t>13. Rendering Logic</w:t>
      </w:r>
    </w:p>
    <w:p>
      <w:pPr>
        <w:pStyle w:val="ListBullet"/>
      </w:pPr>
      <w:r>
        <w:t>Display the cropped or rectified card image.</w:t>
      </w:r>
    </w:p>
    <w:p>
      <w:pPr>
        <w:pStyle w:val="ListBullet"/>
      </w:pPr>
      <w:r>
        <w:t>Draw the outer card boundary.</w:t>
      </w:r>
    </w:p>
    <w:p>
      <w:pPr>
        <w:pStyle w:val="ListBullet"/>
      </w:pPr>
      <w:r>
        <w:t>Draw the inner measured frame.</w:t>
      </w:r>
    </w:p>
    <w:p>
      <w:pPr>
        <w:pStyle w:val="ListBullet"/>
      </w:pPr>
      <w:r>
        <w:t>Render measurement guides for top, bottom, left, and right distances.</w:t>
      </w:r>
    </w:p>
    <w:p>
      <w:pPr>
        <w:pStyle w:val="ListBullet"/>
      </w:pPr>
      <w:r>
        <w:t>Display the ratio labels and interpretation text.</w:t>
      </w:r>
    </w:p>
    <w:p>
      <w:pPr>
        <w:pStyle w:val="Heading1"/>
      </w:pPr>
      <w:r>
        <w:t>14. Fallback Behavior</w:t>
      </w:r>
    </w:p>
    <w:p>
      <w:pPr>
        <w:pStyle w:val="ListBullet"/>
      </w:pPr>
      <w:r>
        <w:t>If centering geometry confidence is low, show “Centering estimate uncertain” and explain that image angle, glare, or crop quality limits precision.</w:t>
      </w:r>
    </w:p>
    <w:p>
      <w:pPr>
        <w:pStyle w:val="ListBullet"/>
      </w:pPr>
      <w:r>
        <w:t>If the card cannot be cropped or rectified successfully, do not render the centering overlay on the full raw image unless absolutely necessary. Instead show that the card could not be isolated accurately.</w:t>
      </w:r>
    </w:p>
    <w:p>
      <w:pPr>
        <w:pStyle w:val="ListBullet"/>
      </w:pPr>
      <w:r>
        <w:t>If the inner frame cannot be detected confidently, state that the outer card was detected but the inner frame was not, and that centering is unavailable or low-confidence.</w:t>
      </w:r>
    </w:p>
    <w:p>
      <w:pPr>
        <w:pStyle w:val="Heading1"/>
      </w:pPr>
      <w:r>
        <w:t>15. UX Copy Recommendations</w:t>
      </w:r>
    </w:p>
    <w:p>
      <w:pPr>
        <w:pStyle w:val="ListBullet"/>
      </w:pPr>
      <w:r>
        <w:t>Good case: “52/48 L/R, 51/49 T/B” — “Well-centered” — “Within acceptable front-centering range”.</w:t>
      </w:r>
    </w:p>
    <w:p>
      <w:pPr>
        <w:pStyle w:val="ListBullet"/>
      </w:pPr>
      <w:r>
        <w:t>Minor issue: “53/47 T/B” — “Slightly top-heavy” — “Minor centering issue”.</w:t>
      </w:r>
    </w:p>
    <w:p>
      <w:pPr>
        <w:pStyle w:val="ListBullet"/>
      </w:pPr>
      <w:r>
        <w:t>Low-confidence case: “Centering estimate uncertain” — “Image perspective or glare limits accuracy”.</w:t>
      </w:r>
    </w:p>
    <w:p>
      <w:pPr>
        <w:pStyle w:val="Heading1"/>
      </w:pPr>
      <w:r>
        <w:t>16. Implementation Priority</w:t>
      </w:r>
    </w:p>
    <w:p>
      <w:pPr>
        <w:pStyle w:val="ListBullet"/>
      </w:pPr>
      <w:r>
        <w:t>Phase 1 — Must have: cropped/rectified card image, outer boundary overlay, inner frame overlay, top/bottom/left/right values, summary text.</w:t>
      </w:r>
    </w:p>
    <w:p>
      <w:pPr>
        <w:pStyle w:val="ListBullet"/>
      </w:pPr>
      <w:r>
        <w:t>Phase 2 — Should have: centerlines, measurement emphasis interactions, PSA tolerance interpretation.</w:t>
      </w:r>
    </w:p>
    <w:p>
      <w:pPr>
        <w:pStyle w:val="ListBullet"/>
      </w:pPr>
      <w:r>
        <w:t>Phase 3 — Nice to have: animated overlay transitions, compare front and back centering views, toggle between raw and cropped view.</w:t>
      </w:r>
    </w:p>
    <w:p>
      <w:pPr>
        <w:pStyle w:val="Heading1"/>
      </w:pPr>
      <w:r>
        <w:t>17. Acceptance Criteria</w:t>
      </w:r>
    </w:p>
    <w:p>
      <w:pPr>
        <w:pStyle w:val="ListBullet"/>
      </w:pPr>
      <w:r>
        <w:t>A user can visually understand why the card is called centered or off-center.</w:t>
      </w:r>
    </w:p>
    <w:p>
      <w:pPr>
        <w:pStyle w:val="ListBullet"/>
      </w:pPr>
      <w:r>
        <w:t>The user can identify the outer card edge and the inner measured frame.</w:t>
      </w:r>
    </w:p>
    <w:p>
      <w:pPr>
        <w:pStyle w:val="ListBullet"/>
      </w:pPr>
      <w:r>
        <w:t>The user can see where values such as 53/47 came from.</w:t>
      </w:r>
    </w:p>
    <w:p>
      <w:pPr>
        <w:pStyle w:val="ListBullet"/>
      </w:pPr>
      <w:r>
        <w:t>The centering result is displayed on the cropped or rectified card image.</w:t>
      </w:r>
    </w:p>
    <w:p>
      <w:pPr>
        <w:pStyle w:val="ListBullet"/>
      </w:pPr>
      <w:r>
        <w:t>The frontend can render the centering view entirely from backend geometry payload.</w:t>
      </w:r>
    </w:p>
    <w:p>
      <w:pPr>
        <w:pStyle w:val="Heading1"/>
      </w:pPr>
      <w:r>
        <w:t>18. Claude-Ready Build Instruction</w:t>
      </w:r>
    </w:p>
    <w:p>
      <w:pPr>
        <w:pStyle w:val="ListBullet"/>
      </w:pPr>
      <w:r>
        <w:t>Refactor the current Centering issue view in the card-analysis panel.</w:t>
      </w:r>
    </w:p>
    <w:p>
      <w:pPr>
        <w:pStyle w:val="ListBullet"/>
      </w:pPr>
      <w:r>
        <w:t>Do not use the full raw listing image as the primary centering inspection view.</w:t>
      </w:r>
    </w:p>
    <w:p>
      <w:pPr>
        <w:pStyle w:val="ListBullet"/>
      </w:pPr>
      <w:r>
        <w:t>Use the cropped or rectified card image instead.</w:t>
      </w:r>
    </w:p>
    <w:p>
      <w:pPr>
        <w:pStyle w:val="ListBullet"/>
      </w:pPr>
      <w:r>
        <w:t>Replace the generic highlight box with a measurement overlay that renders the outer card boundary, inner measured frame, top/bottom/left/right labels, ratio summary, and interpretation text.</w:t>
      </w:r>
    </w:p>
    <w:p>
      <w:pPr>
        <w:pStyle w:val="ListBullet"/>
      </w:pPr>
      <w:r>
        <w:t>Use a backend payload shaped like card_bbox, inner_frame_bbox, margins, ratios, interpretation, and confidence.</w:t>
      </w:r>
    </w:p>
    <w:p>
      <w:pPr>
        <w:pStyle w:val="ListBullet"/>
      </w:pPr>
      <w:r>
        <w:t>The result must be visually interpretable, not just textually displayed.</w:t>
      </w:r>
    </w:p>
    <w:p>
      <w:pPr>
        <w:pStyle w:val="Heading1"/>
      </w:pPr>
      <w:r>
        <w:t>19. Summary</w:t>
      </w:r>
    </w:p>
    <w:p>
      <w:pPr>
        <w:pStyle w:val="ListBullet"/>
      </w:pPr>
      <w:r>
        <w:t>Centering must be presented as a measurement overlay, not a generic issue highlight.</w:t>
      </w:r>
    </w:p>
    <w:p>
      <w:pPr>
        <w:pStyle w:val="ListBullet"/>
      </w:pPr>
      <w:r>
        <w:t>The primary inspection view must use the cropped and rectified card image.</w:t>
      </w:r>
    </w:p>
    <w:p>
      <w:pPr>
        <w:pStyle w:val="ListBullet"/>
      </w:pPr>
      <w:r>
        <w:t>The backend should provide explicit geometry so the frontend can render a trustworthy and interpretable centering explanation.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