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6812D" w14:textId="77777777" w:rsidR="00B02591" w:rsidRDefault="00000000">
      <w:r>
        <w:br/>
      </w:r>
      <w:r>
        <w:br/>
      </w:r>
      <w:r>
        <w:br/>
      </w:r>
    </w:p>
    <w:p w14:paraId="7C466F90" w14:textId="77777777" w:rsidR="00B02591" w:rsidRDefault="00000000">
      <w:pPr>
        <w:pStyle w:val="ReportTitle"/>
        <w:jc w:val="center"/>
      </w:pPr>
      <w:r>
        <w:t>Comprehensive Analysis of SAP FICO</w:t>
      </w:r>
    </w:p>
    <w:p w14:paraId="3532EDCF" w14:textId="77777777" w:rsidR="00B02591" w:rsidRDefault="00000000">
      <w:pPr>
        <w:jc w:val="center"/>
      </w:pPr>
      <w:r>
        <w:rPr>
          <w:i/>
          <w:sz w:val="32"/>
        </w:rPr>
        <w:t>Architecture, Integration, and Strategic Business Value</w:t>
      </w:r>
    </w:p>
    <w:p w14:paraId="7DD9F9D5" w14:textId="77777777" w:rsidR="00B02591" w:rsidRDefault="00000000">
      <w:r>
        <w:br/>
      </w:r>
      <w:r>
        <w:br/>
      </w:r>
      <w:r>
        <w:br/>
      </w:r>
      <w:r>
        <w:br/>
      </w:r>
      <w:r>
        <w:br/>
      </w:r>
    </w:p>
    <w:p w14:paraId="2E526634" w14:textId="23655293" w:rsidR="00B02591" w:rsidRDefault="00000000">
      <w:pPr>
        <w:jc w:val="center"/>
      </w:pPr>
      <w:r>
        <w:rPr>
          <w:sz w:val="24"/>
        </w:rPr>
        <w:t>Date: September 26, 2026</w:t>
      </w:r>
      <w:r>
        <w:rPr>
          <w:sz w:val="24"/>
        </w:rPr>
        <w:br/>
        <w:t>Prepared for: Internship Evaluation</w:t>
      </w:r>
      <w:r>
        <w:rPr>
          <w:sz w:val="24"/>
        </w:rPr>
        <w:br/>
        <w:t>Prepared by: A</w:t>
      </w:r>
      <w:r w:rsidR="001530AF">
        <w:rPr>
          <w:sz w:val="24"/>
        </w:rPr>
        <w:t>bhranil Singha Roy</w:t>
      </w:r>
    </w:p>
    <w:p w14:paraId="2A279C41" w14:textId="77777777" w:rsidR="00B02591" w:rsidRDefault="00000000">
      <w:r>
        <w:br w:type="page"/>
      </w:r>
    </w:p>
    <w:p w14:paraId="4CA22867" w14:textId="77777777" w:rsidR="00B02591" w:rsidRDefault="00000000">
      <w:pPr>
        <w:pStyle w:val="Heading1"/>
      </w:pPr>
      <w:r>
        <w:lastRenderedPageBreak/>
        <w:t>Executive Summary</w:t>
      </w:r>
    </w:p>
    <w:p w14:paraId="03F4D981" w14:textId="77777777" w:rsidR="00B02591" w:rsidRDefault="00000000">
      <w:r>
        <w:t>In the modern enterprise landscape, the SAP Financial Accounting and Controlling (FICO) module stands as the paramount financial nerve center. This report provides an in-depth analysis of SAP FICO, exploring its core architectural functionalities, mechanics of cross-modular integration, advanced use cases, and the strategic benefits it delivers. Furthermore, the report addresses the inherent complexities of implementation and change management, offering a holistic view suitable for enterprise architecture planning and strategic financial management.</w:t>
      </w:r>
    </w:p>
    <w:p w14:paraId="6348D46C" w14:textId="77777777" w:rsidR="00B02591" w:rsidRDefault="00000000">
      <w:pPr>
        <w:pStyle w:val="Heading1"/>
      </w:pPr>
      <w:r>
        <w:t>1. Introduction and Architectural Overview</w:t>
      </w:r>
    </w:p>
    <w:p w14:paraId="7C0A13AA" w14:textId="77777777" w:rsidR="00B02591" w:rsidRDefault="00000000">
      <w:r>
        <w:t>SAP FICO is the cornerstone of the SAP Enterprise Resource Planning (ERP) suite. It bridges the gap between operational data and financial stewardship. In the context of modern SAP environments (such as SAP S/4HANA), FICO leverages the Universal Journal (Table ACDOCA), which unifies financial and managerial accounting into a single source of truth. This architectural paradigm shift eliminates the need for reconciliation between FI and CO, enabling real-time analytics and a continuous financial close.</w:t>
      </w:r>
    </w:p>
    <w:p w14:paraId="29A15832" w14:textId="77777777" w:rsidR="00B02591" w:rsidRDefault="00000000">
      <w:r>
        <w:rPr>
          <w:b/>
        </w:rPr>
        <w:t xml:space="preserve">• Financial Accounting (FI): </w:t>
      </w:r>
      <w:r>
        <w:t>Focused on generating statutory financial statements (Balance Sheet, Profit &amp; Loss) that meet macroeconomic regulatory standards such as IFRS, US GAAP, and local mandates.</w:t>
      </w:r>
      <w:r>
        <w:br/>
      </w:r>
      <w:r>
        <w:rPr>
          <w:b/>
        </w:rPr>
        <w:t xml:space="preserve">• Controlling (CO): </w:t>
      </w:r>
      <w:r>
        <w:t>Focused on internal managerial accounting. It tracks variances, allocates overhead, calculates product costs, and measures profitability by segment, empowering executive decision-making.</w:t>
      </w:r>
    </w:p>
    <w:p w14:paraId="2DC13E52" w14:textId="77777777" w:rsidR="00B02591" w:rsidRDefault="00000000">
      <w:pPr>
        <w:pStyle w:val="Heading1"/>
      </w:pPr>
      <w:r>
        <w:t>2. Deep Dive into Core Functionalities</w:t>
      </w:r>
    </w:p>
    <w:p w14:paraId="6980A68E" w14:textId="77777777" w:rsidR="00B02591" w:rsidRDefault="00000000">
      <w:pPr>
        <w:pStyle w:val="Heading2"/>
      </w:pPr>
      <w:r>
        <w:t>2.1 Financial Accounting (FI) Sub-Modules</w:t>
      </w:r>
    </w:p>
    <w:p w14:paraId="07827C77" w14:textId="77777777" w:rsidR="00B02591" w:rsidRDefault="00000000">
      <w:pPr>
        <w:pStyle w:val="ListBullet"/>
      </w:pPr>
      <w:r>
        <w:rPr>
          <w:b/>
        </w:rPr>
        <w:t xml:space="preserve">General Ledger (FI-GL): </w:t>
      </w:r>
      <w:r>
        <w:t>The foundational ledger recording all financial postings. In SAP S/4HANA, the New General Ledger allows for parallel accounting (multiple ledgers) and real-time document splitting.</w:t>
      </w:r>
    </w:p>
    <w:p w14:paraId="33EDA3C5" w14:textId="77777777" w:rsidR="00B02591" w:rsidRDefault="00000000">
      <w:pPr>
        <w:pStyle w:val="ListBullet"/>
      </w:pPr>
      <w:r>
        <w:rPr>
          <w:b/>
        </w:rPr>
        <w:t xml:space="preserve">Accounts Payable &amp; Receivable (FI-AP / FI-AR): </w:t>
      </w:r>
      <w:r>
        <w:t>Governs the sub-ledgers for vendor and customer transactions. It integrates with treasury functions to optimize working capital, handle dunning processes, and manage automated payment runs.</w:t>
      </w:r>
    </w:p>
    <w:p w14:paraId="3EB07B6F" w14:textId="77777777" w:rsidR="00B02591" w:rsidRDefault="00000000">
      <w:pPr>
        <w:pStyle w:val="ListBullet"/>
      </w:pPr>
      <w:r>
        <w:rPr>
          <w:b/>
        </w:rPr>
        <w:t xml:space="preserve">Asset Accounting (FI-AA): </w:t>
      </w:r>
      <w:r>
        <w:t>Manages the entire lifecycle of fixed assets—from capitalization and periodic depreciation to retirement or sale—ensuring accurate valuation for both tax and book depreciation areas.</w:t>
      </w:r>
    </w:p>
    <w:p w14:paraId="137C1403" w14:textId="77777777" w:rsidR="00B02591" w:rsidRDefault="00000000">
      <w:pPr>
        <w:pStyle w:val="ListBullet"/>
      </w:pPr>
      <w:r>
        <w:rPr>
          <w:b/>
        </w:rPr>
        <w:t xml:space="preserve">Bank Ledger (FI-BL): </w:t>
      </w:r>
      <w:r>
        <w:t>Facilitates the processing of electronic bank statements (EBS), liquidity forecasting, and automated bank reconciliations.</w:t>
      </w:r>
    </w:p>
    <w:p w14:paraId="1A1883E5" w14:textId="77777777" w:rsidR="00B02591" w:rsidRDefault="00000000">
      <w:pPr>
        <w:pStyle w:val="Heading2"/>
      </w:pPr>
      <w:r>
        <w:lastRenderedPageBreak/>
        <w:t>2.2 Controlling (CO) Sub-Modules</w:t>
      </w:r>
    </w:p>
    <w:p w14:paraId="3988A2A3" w14:textId="77777777" w:rsidR="00B02591" w:rsidRDefault="00000000">
      <w:pPr>
        <w:pStyle w:val="ListBullet"/>
      </w:pPr>
      <w:r>
        <w:rPr>
          <w:b/>
        </w:rPr>
        <w:t xml:space="preserve">Cost Center Accounting (CO-OM-CCA): </w:t>
      </w:r>
      <w:r>
        <w:t>Captures and allocates overhead costs within the organization. It tracks budget vs. actual variances for responsibility areas.</w:t>
      </w:r>
    </w:p>
    <w:p w14:paraId="49D414C4" w14:textId="77777777" w:rsidR="00B02591" w:rsidRDefault="00000000">
      <w:pPr>
        <w:pStyle w:val="ListBullet"/>
      </w:pPr>
      <w:r>
        <w:rPr>
          <w:b/>
        </w:rPr>
        <w:t xml:space="preserve">Product Cost Controlling (CO-PC): </w:t>
      </w:r>
      <w:r>
        <w:t>Calculates the Cost of Goods Manufactured (COGM) and Cost of Goods Sold (COGS). It handles standard cost estimates, variance calculation, and WIP (Work in Process) settlement.</w:t>
      </w:r>
    </w:p>
    <w:p w14:paraId="682D7CF7" w14:textId="77777777" w:rsidR="00B02591" w:rsidRDefault="00000000">
      <w:pPr>
        <w:pStyle w:val="ListBullet"/>
      </w:pPr>
      <w:r>
        <w:rPr>
          <w:b/>
        </w:rPr>
        <w:t xml:space="preserve">Profitability Analysis (CO-PA): </w:t>
      </w:r>
      <w:r>
        <w:t>Evaluates market performance by slicing data across characteristics (e.g., product group, customer region, sales channel). Both costing-based and account-based (margin analysis) methods provide multidimensional P&amp;L views.</w:t>
      </w:r>
    </w:p>
    <w:p w14:paraId="342000CC" w14:textId="77777777" w:rsidR="00B02591" w:rsidRDefault="00000000">
      <w:pPr>
        <w:pStyle w:val="ListBullet"/>
      </w:pPr>
      <w:r>
        <w:rPr>
          <w:b/>
        </w:rPr>
        <w:t xml:space="preserve">Internal Orders (CO-OM-OPA): </w:t>
      </w:r>
      <w:r>
        <w:t>Acts as temporary cost collectors for specific projects, events, or R&amp;D initiatives before costs are settled to final receivers (like assets or cost centers).</w:t>
      </w:r>
    </w:p>
    <w:p w14:paraId="4ACB6F9F" w14:textId="77777777" w:rsidR="00B02591" w:rsidRDefault="00000000">
      <w:pPr>
        <w:pStyle w:val="Heading1"/>
      </w:pPr>
      <w:r>
        <w:t>3. Cross-Modular Integration Mechanics</w:t>
      </w:r>
    </w:p>
    <w:p w14:paraId="7985F49C" w14:textId="77777777" w:rsidR="00B02591" w:rsidRDefault="00000000">
      <w:r>
        <w:t>The inherent strength of SAP FICO is its tight integration with logistics and human resources modules. Every operational transaction automatically generates financial postings (Automatic Account Determination via OBYC/VKOA).</w:t>
      </w:r>
    </w:p>
    <w:p w14:paraId="2305FA50" w14:textId="77777777" w:rsidR="00B02591" w:rsidRDefault="00000000">
      <w:pPr>
        <w:pStyle w:val="ListBullet"/>
      </w:pPr>
      <w:r>
        <w:rPr>
          <w:b/>
        </w:rPr>
        <w:t xml:space="preserve">Integration with Materials Management (FI-MM): </w:t>
      </w:r>
      <w:r>
        <w:t>Procure-to-Pay (P2P) lifecycle. A Goods Receipt (GR) updates inventory valuation and credits the GR/IR clearing account. Invoice Receipt (IR) debits GR/IR and credits the vendor payload in AP. Materials valuation is maintained seamlessly.</w:t>
      </w:r>
    </w:p>
    <w:p w14:paraId="3760896F" w14:textId="77777777" w:rsidR="00B02591" w:rsidRDefault="00000000">
      <w:pPr>
        <w:pStyle w:val="ListBullet"/>
      </w:pPr>
      <w:r>
        <w:rPr>
          <w:b/>
        </w:rPr>
        <w:t xml:space="preserve">Integration with Sales &amp; Distribution (FI-SD): </w:t>
      </w:r>
      <w:r>
        <w:t>Order-to-Cash (O2C) lifecycle. Post Goods Issue (PGI) credits inventory and debits COGS. Subsequent customer billing creates an AR invoice and updates revenue accounts and tax ledgers.</w:t>
      </w:r>
    </w:p>
    <w:p w14:paraId="0D852DE9" w14:textId="77777777" w:rsidR="00B02591" w:rsidRDefault="00000000">
      <w:pPr>
        <w:pStyle w:val="ListBullet"/>
      </w:pPr>
      <w:r>
        <w:rPr>
          <w:b/>
        </w:rPr>
        <w:t xml:space="preserve">Integration with Production Planning (FI-PP): </w:t>
      </w:r>
      <w:r>
        <w:t>Manufacturing execution directly influences Product Costing (CO-PC). Raw material consumption, labor activity confirmations, and finished goods receipts are valued and settled against production orders.</w:t>
      </w:r>
    </w:p>
    <w:p w14:paraId="493EFB2B" w14:textId="77777777" w:rsidR="00B02591" w:rsidRDefault="00000000">
      <w:pPr>
        <w:pStyle w:val="ListBullet"/>
      </w:pPr>
      <w:r>
        <w:rPr>
          <w:b/>
        </w:rPr>
        <w:t xml:space="preserve">Integration with Human Capital Management (FI-HCM): </w:t>
      </w:r>
      <w:r>
        <w:t>Payroll runs map wage types directly to FI G/L accounts, simultaneously posting employer burdens to respective CO Cost Centers.</w:t>
      </w:r>
    </w:p>
    <w:p w14:paraId="10366AF4" w14:textId="77777777" w:rsidR="00B02591" w:rsidRDefault="00000000">
      <w:pPr>
        <w:pStyle w:val="Heading1"/>
      </w:pPr>
      <w:r>
        <w:t>4. Advanced Business Use Cases</w:t>
      </w:r>
    </w:p>
    <w:p w14:paraId="12B1CD50" w14:textId="77777777" w:rsidR="00B02591" w:rsidRDefault="00000000">
      <w:r>
        <w:t>Global enterprises utilize SAP FICO for highly complex, strategic workflows:</w:t>
      </w:r>
    </w:p>
    <w:p w14:paraId="4A1E3228" w14:textId="77777777" w:rsidR="00B02591" w:rsidRDefault="00000000">
      <w:pPr>
        <w:pStyle w:val="ListBullet"/>
      </w:pPr>
      <w:r>
        <w:rPr>
          <w:b/>
        </w:rPr>
        <w:t xml:space="preserve">Parallel Valuation and Transfer Pricing: </w:t>
      </w:r>
      <w:r>
        <w:t>Multinational corporations use FICO to value intercompany transactions differently for legal, group, and profit center perspectives, ensuring compliance with global tax laws (e.g., BEPS).</w:t>
      </w:r>
    </w:p>
    <w:p w14:paraId="0376F5F0" w14:textId="77777777" w:rsidR="00B02591" w:rsidRDefault="00000000">
      <w:pPr>
        <w:pStyle w:val="ListBullet"/>
      </w:pPr>
      <w:r>
        <w:rPr>
          <w:b/>
        </w:rPr>
        <w:lastRenderedPageBreak/>
        <w:t xml:space="preserve">Continuous Financial Close: </w:t>
      </w:r>
      <w:r>
        <w:t>Leveraging SAP S/4HANA's Universal Journal, businesses can automate depreciation, foreign currency valuations, and intercompany reconciliations on a daily basis, shortening the month-end close from weeks to days.</w:t>
      </w:r>
    </w:p>
    <w:p w14:paraId="05C59DA8" w14:textId="77777777" w:rsidR="00B02591" w:rsidRDefault="00000000">
      <w:pPr>
        <w:pStyle w:val="ListBullet"/>
      </w:pPr>
      <w:r>
        <w:rPr>
          <w:b/>
        </w:rPr>
        <w:t xml:space="preserve">Predictive Margin Analytics: </w:t>
      </w:r>
      <w:r>
        <w:t>Using CO-PA, businesses simulate how changes in raw material costs, freight rates, or regional tax codes will impact the net margins of specific product lines before executing sales contracts.</w:t>
      </w:r>
    </w:p>
    <w:p w14:paraId="093DE29E" w14:textId="77777777" w:rsidR="00B02591" w:rsidRDefault="00000000">
      <w:pPr>
        <w:pStyle w:val="Heading1"/>
      </w:pPr>
      <w:r>
        <w:t>5. Strategic Benefits &amp; ROI</w:t>
      </w:r>
    </w:p>
    <w:p w14:paraId="262B7DCC" w14:textId="77777777" w:rsidR="00B02591" w:rsidRDefault="00000000">
      <w:pPr>
        <w:pStyle w:val="ListBullet"/>
      </w:pPr>
      <w:r>
        <w:rPr>
          <w:b/>
        </w:rPr>
        <w:t xml:space="preserve">Single Source of Truth: </w:t>
      </w:r>
      <w:r>
        <w:t>Eliminates data silos, ensuring that the CEO, CFO, and Supply Chain Director are making decisions based on identical, real-time datasets.</w:t>
      </w:r>
    </w:p>
    <w:p w14:paraId="6D85D000" w14:textId="77777777" w:rsidR="00B02591" w:rsidRDefault="00000000">
      <w:pPr>
        <w:pStyle w:val="ListBullet"/>
      </w:pPr>
      <w:r>
        <w:rPr>
          <w:b/>
        </w:rPr>
        <w:t xml:space="preserve">Regulatory Risk Mitigation: </w:t>
      </w:r>
      <w:r>
        <w:t>Embedded compliance engines and comprehensive audit trails drastically reduce the risk of financial fraud and regulatory penalties.</w:t>
      </w:r>
    </w:p>
    <w:p w14:paraId="4189887C" w14:textId="77777777" w:rsidR="00B02591" w:rsidRDefault="00000000">
      <w:pPr>
        <w:pStyle w:val="ListBullet"/>
      </w:pPr>
      <w:r>
        <w:rPr>
          <w:b/>
        </w:rPr>
        <w:t xml:space="preserve">Working Capital Optimization: </w:t>
      </w:r>
      <w:r>
        <w:t>Enhanced visibility into aging reports (AP/AR) and inventory turnover directly improves cash flow and liquidity management.</w:t>
      </w:r>
    </w:p>
    <w:p w14:paraId="5445D9E2" w14:textId="77777777" w:rsidR="00B02591" w:rsidRDefault="00000000">
      <w:pPr>
        <w:pStyle w:val="Heading1"/>
      </w:pPr>
      <w:r>
        <w:t>6. Implementation Challenges &amp; Mitigation Strategies</w:t>
      </w:r>
    </w:p>
    <w:p w14:paraId="16C48EF7" w14:textId="77777777" w:rsidR="00B02591" w:rsidRDefault="00000000">
      <w:pPr>
        <w:pStyle w:val="ListBullet"/>
      </w:pPr>
      <w:r>
        <w:rPr>
          <w:b/>
        </w:rPr>
        <w:t xml:space="preserve">Master Data Governance: </w:t>
      </w:r>
      <w:r>
        <w:t xml:space="preserve">Challenge: FICO relies heavily on accurate master data (G/L accounts, vendor/customer masters). Poor data leads to catastrophic system-wide errors. </w:t>
      </w:r>
      <w:r>
        <w:br/>
        <w:t>Mitigation: Implement SAP Master Data Governance (MDG) prior to rollout to standardize data creation processes.</w:t>
      </w:r>
    </w:p>
    <w:p w14:paraId="0DAD67BC" w14:textId="77777777" w:rsidR="00B02591" w:rsidRDefault="00000000">
      <w:pPr>
        <w:pStyle w:val="ListBullet"/>
      </w:pPr>
      <w:r>
        <w:rPr>
          <w:b/>
        </w:rPr>
        <w:t xml:space="preserve">Legacy System Customization: </w:t>
      </w:r>
      <w:r>
        <w:t>Challenge: Companies often try to customize SAP to match their old, inefficient processes, increasing total cost of ownership (TCO).</w:t>
      </w:r>
      <w:r>
        <w:br/>
        <w:t>Mitigation: Adopt a 'Fit-to-Standard' approach, altering business processes to match SAP best practices rather than over-customizing the software.</w:t>
      </w:r>
    </w:p>
    <w:p w14:paraId="50714E25" w14:textId="77777777" w:rsidR="00B02591" w:rsidRDefault="00000000">
      <w:pPr>
        <w:pStyle w:val="ListBullet"/>
      </w:pPr>
      <w:r>
        <w:rPr>
          <w:b/>
        </w:rPr>
        <w:t xml:space="preserve">Organizational Change Management (OCM): </w:t>
      </w:r>
      <w:r>
        <w:t xml:space="preserve">Challenge: End-users resist transitioning to a complex, rigid system. </w:t>
      </w:r>
      <w:r>
        <w:br/>
        <w:t>Mitigation: Invest heavily in training, user acceptance testing (UAT), and continuous change enablement.</w:t>
      </w:r>
    </w:p>
    <w:p w14:paraId="25CFB9C9" w14:textId="77777777" w:rsidR="00B02591" w:rsidRDefault="00000000">
      <w:pPr>
        <w:pStyle w:val="Heading1"/>
      </w:pPr>
      <w:r>
        <w:t>Conclusion</w:t>
      </w:r>
    </w:p>
    <w:p w14:paraId="2D170D6B" w14:textId="77777777" w:rsidR="00B02591" w:rsidRDefault="00000000">
      <w:r>
        <w:t>SAP FICO is far more than a mere accounting tool; it is a strategic asset that transforms raw operational data into actionable financial intelligence. Through its robust internal architecture and profound integration with the broader SAP ecosystem, FICO enables enterprises to achieve unparalleled transparency, regulatory compliance, and operational efficiency. While implementation demands rigorous data governance and change management, the resulting agility and real-time insight position organizations for sustainable, data-driven growth in a competitive global market.</w:t>
      </w:r>
    </w:p>
    <w:sectPr w:rsidR="00B025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9869608">
    <w:abstractNumId w:val="8"/>
  </w:num>
  <w:num w:numId="2" w16cid:durableId="537010052">
    <w:abstractNumId w:val="6"/>
  </w:num>
  <w:num w:numId="3" w16cid:durableId="642202654">
    <w:abstractNumId w:val="5"/>
  </w:num>
  <w:num w:numId="4" w16cid:durableId="429660344">
    <w:abstractNumId w:val="4"/>
  </w:num>
  <w:num w:numId="5" w16cid:durableId="1544903498">
    <w:abstractNumId w:val="7"/>
  </w:num>
  <w:num w:numId="6" w16cid:durableId="875243157">
    <w:abstractNumId w:val="3"/>
  </w:num>
  <w:num w:numId="7" w16cid:durableId="1024938000">
    <w:abstractNumId w:val="2"/>
  </w:num>
  <w:num w:numId="8" w16cid:durableId="1264799719">
    <w:abstractNumId w:val="1"/>
  </w:num>
  <w:num w:numId="9" w16cid:durableId="1757558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0AF"/>
    <w:rsid w:val="002731F3"/>
    <w:rsid w:val="0029639D"/>
    <w:rsid w:val="00326F90"/>
    <w:rsid w:val="00AA1D8D"/>
    <w:rsid w:val="00B0259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C3FD9"/>
  <w14:defaultImageDpi w14:val="300"/>
  <w15:docId w15:val="{2BDF7258-37E3-4F5A-8ABD-F99411003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rPr>
      <w:rFonts w:ascii="Calibri" w:hAnsi="Calibri"/>
      <w:b/>
      <w:color w:val="003366"/>
      <w:sz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1106</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Abhranil Singha Roy</cp:lastModifiedBy>
  <cp:revision>2</cp:revision>
  <dcterms:created xsi:type="dcterms:W3CDTF">2013-12-23T23:15:00Z</dcterms:created>
  <dcterms:modified xsi:type="dcterms:W3CDTF">2026-09-26T08:05:00Z</dcterms:modified>
  <cp:category/>
</cp:coreProperties>
</file>