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F4E79"/>
          <w:sz w:val="28"/>
        </w:rPr>
        <w:t xml:space="preserve">Topic : </w:t>
      </w:r>
      <w:r>
        <w:rPr>
          <w:rFonts w:ascii="Calibri" w:hAnsi="Calibri"/>
          <w:b/>
          <w:color w:val="1F4E79"/>
          <w:sz w:val="28"/>
        </w:rPr>
        <w:t>VortexStream - Real-Time OTT Video QoE &amp; Operations Engine</w:t>
      </w:r>
    </w:p>
    <w:p>
      <w:pPr>
        <w:spacing w:before="80" w:after="40"/>
      </w:pPr>
      <w:r>
        <w:rPr>
          <w:rFonts w:ascii="Calibri" w:hAnsi="Calibri"/>
          <w:color w:val="595959"/>
          <w:sz w:val="20"/>
        </w:rPr>
        <w:t>Team Members</w:t>
      </w:r>
    </w:p>
    <w:p>
      <w:pPr>
        <w:spacing w:before="0" w:after="280"/>
      </w:pPr>
      <w:r>
        <w:rPr>
          <w:rFonts w:ascii="Calibri" w:hAnsi="Calibri"/>
          <w:b/>
          <w:color w:val="262626"/>
          <w:sz w:val="22"/>
        </w:rPr>
        <w:t>J R Abhishek (24PW17)   |   Pranav PK (24PW25)</w:t>
      </w:r>
    </w:p>
    <w:p>
      <w:pPr>
        <w:spacing w:before="0" w:after="360"/>
        <w:pBdr>
          <w:bottom w:val="single" w:sz="18" w:space="1" w:color="1F4E79"/>
        </w:pBdr>
      </w:pPr>
    </w:p>
    <w:p>
      <w:pPr>
        <w:spacing w:before="0" w:after="240"/>
      </w:pPr>
      <w:r>
        <w:rPr>
          <w:rFonts w:ascii="Calibri" w:hAnsi="Calibri"/>
          <w:b/>
          <w:color w:val="1F4E79"/>
          <w:sz w:val="26"/>
        </w:rPr>
        <w:t>Project Abstract</w:t>
      </w:r>
    </w:p>
    <w:p>
      <w:pPr>
        <w:spacing w:before="0" w:after="240" w:line="276" w:lineRule="auto"/>
        <w:jc w:val="both"/>
      </w:pPr>
      <w:r>
        <w:rPr>
          <w:rFonts w:ascii="Calibri" w:hAnsi="Calibri"/>
          <w:color w:val="262626"/>
          <w:sz w:val="21"/>
        </w:rPr>
        <w:t>VortexStream is an enterprise-scale big data engineering, real-time stream processing, and predictive analytics platform engineered to monitor, analyze, and proactively triage Quality of Experience (QoE) degradations across large-scale Over-The-Top (OTT) video streaming ecosystems. Leveraging high-resolution playback session telemetry from the Stanford Puffer dataset—capturing multi-client video buffer oscillations, chunk delivery stalls, bitrate ladder adaptations, and network transport anomalies across thousands of concurrent streams—the platform operates as an intelligent streaming operations control cockpit. By implementing a dual-path architecture combining a high-throughput analytical lakehouse with an asynchronous low-latency streaming pipeline, VortexStream eliminates the operational barrier between real-time outage alerting and longitudinal fleet-wide video diagnostics.</w:t>
      </w:r>
    </w:p>
    <w:p>
      <w:pPr>
        <w:spacing w:before="0" w:after="0" w:line="276" w:lineRule="auto"/>
        <w:jc w:val="both"/>
      </w:pPr>
      <w:r>
        <w:rPr>
          <w:rFonts w:ascii="Calibri" w:hAnsi="Calibri"/>
          <w:color w:val="262626"/>
          <w:sz w:val="21"/>
        </w:rPr>
        <w:t>In the real-time path, telemetry streams (playback events, network metrics, and client error logs) are ingested through Apache Kafka and processed via PySpark Structured Streaming with a 15-minute watermark and stateful session tracking (Query Q1) utilizing RocksDB state stores. Multi-grain sliding window aggregations (Query Q2 across 5 operational dimensions: global, city-ISP, CDN, device, and stream format) compute composite ITU-T P.1203/P.1204 QoE scores, rebuffer ratios, and Video Start Failure (VSF) rates, continuously evaluating dynamic SLA breach rules with two-window confirmation hysteresis. Live window metrics, active viewer session states, and automated incident alerts are persisted to Apache HBase with sub-millisecond write latencies utilizing salted distribution keys and reverse-timestamp row keys for O(1) recent scans. Simultaneously, the analytical path maintains an optimized, Snappy-compressed Parquet lakehouse, queried through DuckDB for instantaneous zero-copy in-process OLAP diagnostics (bitrate ladder efficiency, rebuffering distribution, and regional ISP anomalies) and PySpark batch ETL for comprehensive hourly rollups. Complementing streaming triage, an XGBoost machine learning model analyzes early playback telemetry (first 15 seconds) to predict viewer abandonment and churn risk in real time. An interactive Streamlit mission control dashboard unifies live incident alerting, regional QoE trends, and predictive viewer churn into a centralized operational cockpit.</w:t>
      </w:r>
    </w:p>
    <w:p>
      <w:r>
        <w:br w:type="page"/>
      </w:r>
    </w:p>
    <w:p>
      <w:pPr>
        <w:spacing w:before="0" w:after="280"/>
      </w:pPr>
      <w:r>
        <w:rPr>
          <w:rFonts w:ascii="Calibri" w:hAnsi="Calibri"/>
          <w:b/>
          <w:color w:val="1F4E79"/>
          <w:sz w:val="26"/>
        </w:rPr>
        <w:t>Technologies Used &amp; One-Line Descriptions</w:t>
      </w:r>
    </w:p>
    <w:tbl>
      <w:tblPr>
        <w:tblW w:type="auto" w:w="0"/>
        <w:jc w:val="center"/>
        <w:tblLayout w:type="fixed"/>
        <w:tblLook w:firstColumn="1" w:firstRow="1" w:lastColumn="0" w:lastRow="0" w:noHBand="0" w:noVBand="1" w:val="04A0"/>
        <w:tblBorders>
          <w:top w:val="single" w:sz="4" w:space="0" w:color="D9D9D9"/>
          <w:left w:val="none"/>
          <w:bottom w:val="single" w:sz="6" w:space="0" w:color="1F4E79"/>
          <w:right w:val="none"/>
          <w:insideH w:val="single" w:sz="4" w:space="0" w:color="E0E0E0"/>
          <w:insideV w:val="none"/>
        </w:tblBorders>
      </w:tblPr>
      <w:tblGrid>
        <w:gridCol w:w="4680"/>
        <w:gridCol w:w="4680"/>
      </w:tblGrid>
      <w:tr>
        <w:tc>
          <w:tcPr>
            <w:tcW w:type="dxa" w:w="3168"/>
            <w:shd w:fill="1F4E79"/>
            <w:tcMar>
              <w:top w:w="140" w:type="dxa"/>
              <w:bottom w:w="140" w:type="dxa"/>
              <w:left w:w="160" w:type="dxa"/>
              <w:right w:w="160" w:type="dxa"/>
            </w:tcMar>
          </w:tcPr>
          <w:p>
            <w:pPr>
              <w:spacing w:before="0" w:after="0"/>
            </w:pPr>
            <w:r>
              <w:rPr>
                <w:rFonts w:ascii="Calibri" w:hAnsi="Calibri"/>
                <w:b/>
                <w:color w:val="FFFFFF"/>
                <w:sz w:val="20"/>
              </w:rPr>
              <w:t>Technology</w:t>
            </w:r>
          </w:p>
        </w:tc>
        <w:tc>
          <w:tcPr>
            <w:tcW w:type="dxa" w:w="6192"/>
            <w:shd w:fill="1F4E79"/>
            <w:tcMar>
              <w:top w:w="140" w:type="dxa"/>
              <w:bottom w:w="140" w:type="dxa"/>
              <w:left w:w="160" w:type="dxa"/>
              <w:right w:w="160" w:type="dxa"/>
            </w:tcMar>
          </w:tcPr>
          <w:p>
            <w:pPr>
              <w:spacing w:before="0" w:after="0"/>
            </w:pPr>
            <w:r>
              <w:rPr>
                <w:rFonts w:ascii="Calibri" w:hAnsi="Calibri"/>
                <w:b/>
                <w:color w:val="FFFFFF"/>
                <w:sz w:val="20"/>
              </w:rPr>
              <w:t>Role &amp; Description</w:t>
            </w:r>
          </w:p>
        </w:tc>
      </w:tr>
      <w:tr>
        <w:tc>
          <w:tcPr>
            <w:tcW w:type="dxa" w:w="3168"/>
            <w:shd w:fill="FFFFFF"/>
            <w:tcMar>
              <w:top w:w="100" w:type="dxa"/>
              <w:bottom w:w="100" w:type="dxa"/>
              <w:left w:w="140" w:type="dxa"/>
              <w:right w:w="140" w:type="dxa"/>
            </w:tcMar>
          </w:tcPr>
          <w:p>
            <w:pPr>
              <w:spacing w:before="0" w:after="0"/>
            </w:pPr>
            <w:r>
              <w:rPr>
                <w:rFonts w:ascii="Calibri" w:hAnsi="Calibri"/>
                <w:b/>
                <w:color w:val="1F4E79"/>
                <w:sz w:val="19"/>
              </w:rPr>
              <w:t>Apache Kafka</w:t>
            </w:r>
          </w:p>
        </w:tc>
        <w:tc>
          <w:tcPr>
            <w:tcW w:type="dxa" w:w="6192"/>
            <w:shd w:fill="FFFFFF"/>
            <w:tcMar>
              <w:top w:w="100" w:type="dxa"/>
              <w:bottom w:w="100" w:type="dxa"/>
              <w:left w:w="140" w:type="dxa"/>
              <w:right w:w="140" w:type="dxa"/>
            </w:tcMar>
          </w:tcPr>
          <w:p>
            <w:pPr>
              <w:spacing w:before="0" w:after="0" w:line="264" w:lineRule="auto"/>
            </w:pPr>
            <w:r>
              <w:rPr>
                <w:rFonts w:ascii="Calibri" w:hAnsi="Calibri"/>
                <w:color w:val="262626"/>
                <w:sz w:val="18"/>
              </w:rPr>
              <w:t>High-throughput distributed message broker that ingests, buffers, and decouples real-time video playback events, network metrics, and client error telemetry streams.</w:t>
            </w:r>
          </w:p>
        </w:tc>
      </w:tr>
      <w:tr>
        <w:tc>
          <w:tcPr>
            <w:tcW w:type="dxa" w:w="3168"/>
            <w:shd w:fill="F2F4F7"/>
            <w:tcMar>
              <w:top w:w="100" w:type="dxa"/>
              <w:bottom w:w="100" w:type="dxa"/>
              <w:left w:w="140" w:type="dxa"/>
              <w:right w:w="140" w:type="dxa"/>
            </w:tcMar>
          </w:tcPr>
          <w:p>
            <w:pPr>
              <w:spacing w:before="0" w:after="0"/>
            </w:pPr>
            <w:r>
              <w:rPr>
                <w:rFonts w:ascii="Calibri" w:hAnsi="Calibri"/>
                <w:b/>
                <w:color w:val="1F4E79"/>
                <w:sz w:val="19"/>
              </w:rPr>
              <w:t>Apache Spark Core (RDD)</w:t>
            </w:r>
          </w:p>
        </w:tc>
        <w:tc>
          <w:tcPr>
            <w:tcW w:type="dxa" w:w="6192"/>
            <w:shd w:fill="F2F4F7"/>
            <w:tcMar>
              <w:top w:w="100" w:type="dxa"/>
              <w:bottom w:w="100" w:type="dxa"/>
              <w:left w:w="140" w:type="dxa"/>
              <w:right w:w="140" w:type="dxa"/>
            </w:tcMar>
          </w:tcPr>
          <w:p>
            <w:pPr>
              <w:spacing w:before="0" w:after="0" w:line="264" w:lineRule="auto"/>
            </w:pPr>
            <w:r>
              <w:rPr>
                <w:rFonts w:ascii="Calibri" w:hAnsi="Calibri"/>
                <w:color w:val="262626"/>
                <w:sz w:val="18"/>
              </w:rPr>
              <w:t>Distributed compute engine executing low-level resilient distributed dataset transformations for parallel data processing, log harmonization, and pipeline reconciliation.</w:t>
            </w:r>
          </w:p>
        </w:tc>
      </w:tr>
      <w:tr>
        <w:tc>
          <w:tcPr>
            <w:tcW w:type="dxa" w:w="3168"/>
            <w:shd w:fill="FFFFFF"/>
            <w:tcMar>
              <w:top w:w="100" w:type="dxa"/>
              <w:bottom w:w="100" w:type="dxa"/>
              <w:left w:w="140" w:type="dxa"/>
              <w:right w:w="140" w:type="dxa"/>
            </w:tcMar>
          </w:tcPr>
          <w:p>
            <w:pPr>
              <w:spacing w:before="0" w:after="0"/>
            </w:pPr>
            <w:r>
              <w:rPr>
                <w:rFonts w:ascii="Calibri" w:hAnsi="Calibri"/>
                <w:b/>
                <w:color w:val="1F4E79"/>
                <w:sz w:val="19"/>
              </w:rPr>
              <w:t>Apache Spark SQL</w:t>
            </w:r>
          </w:p>
        </w:tc>
        <w:tc>
          <w:tcPr>
            <w:tcW w:type="dxa" w:w="6192"/>
            <w:shd w:fill="FFFFFF"/>
            <w:tcMar>
              <w:top w:w="100" w:type="dxa"/>
              <w:bottom w:w="100" w:type="dxa"/>
              <w:left w:w="140" w:type="dxa"/>
              <w:right w:w="140" w:type="dxa"/>
            </w:tcMar>
          </w:tcPr>
          <w:p>
            <w:pPr>
              <w:spacing w:before="0" w:after="0" w:line="264" w:lineRule="auto"/>
            </w:pPr>
            <w:r>
              <w:rPr>
                <w:rFonts w:ascii="Calibri" w:hAnsi="Calibri"/>
                <w:color w:val="262626"/>
                <w:sz w:val="18"/>
              </w:rPr>
              <w:t>Catalyst-optimized structured query engine for scalable historical analytics, data quality screening audit gates (V1–V8), and Gold lakehouse aggregations.</w:t>
            </w:r>
          </w:p>
        </w:tc>
      </w:tr>
      <w:tr>
        <w:tc>
          <w:tcPr>
            <w:tcW w:type="dxa" w:w="3168"/>
            <w:shd w:fill="F2F4F7"/>
            <w:tcMar>
              <w:top w:w="100" w:type="dxa"/>
              <w:bottom w:w="100" w:type="dxa"/>
              <w:left w:w="140" w:type="dxa"/>
              <w:right w:w="140" w:type="dxa"/>
            </w:tcMar>
          </w:tcPr>
          <w:p>
            <w:pPr>
              <w:spacing w:before="0" w:after="0"/>
            </w:pPr>
            <w:r>
              <w:rPr>
                <w:rFonts w:ascii="Calibri" w:hAnsi="Calibri"/>
                <w:b/>
                <w:color w:val="1F4E79"/>
                <w:sz w:val="19"/>
              </w:rPr>
              <w:t>Apache Spark Structured Streaming</w:t>
            </w:r>
          </w:p>
        </w:tc>
        <w:tc>
          <w:tcPr>
            <w:tcW w:type="dxa" w:w="6192"/>
            <w:shd w:fill="F2F4F7"/>
            <w:tcMar>
              <w:top w:w="100" w:type="dxa"/>
              <w:bottom w:w="100" w:type="dxa"/>
              <w:left w:w="140" w:type="dxa"/>
              <w:right w:w="140" w:type="dxa"/>
            </w:tcMar>
          </w:tcPr>
          <w:p>
            <w:pPr>
              <w:spacing w:before="0" w:after="0" w:line="264" w:lineRule="auto"/>
            </w:pPr>
            <w:r>
              <w:rPr>
                <w:rFonts w:ascii="Calibri" w:hAnsi="Calibri"/>
                <w:color w:val="262626"/>
                <w:sz w:val="18"/>
              </w:rPr>
              <w:t>Micro-batch stream processing engine providing watermarked deduplication, stateful session lifecycle tracking, and 5-minute sliding multi-grain QoE window aggregations.</w:t>
            </w:r>
          </w:p>
        </w:tc>
      </w:tr>
      <w:tr>
        <w:tc>
          <w:tcPr>
            <w:tcW w:type="dxa" w:w="3168"/>
            <w:shd w:fill="FFFFFF"/>
            <w:tcMar>
              <w:top w:w="100" w:type="dxa"/>
              <w:bottom w:w="100" w:type="dxa"/>
              <w:left w:w="140" w:type="dxa"/>
              <w:right w:w="140" w:type="dxa"/>
            </w:tcMar>
          </w:tcPr>
          <w:p>
            <w:pPr>
              <w:spacing w:before="0" w:after="0"/>
            </w:pPr>
            <w:r>
              <w:rPr>
                <w:rFonts w:ascii="Calibri" w:hAnsi="Calibri"/>
                <w:b/>
                <w:color w:val="1F4E79"/>
                <w:sz w:val="19"/>
              </w:rPr>
              <w:t>Apache Spark MLlib / ML Engine</w:t>
            </w:r>
          </w:p>
        </w:tc>
        <w:tc>
          <w:tcPr>
            <w:tcW w:type="dxa" w:w="6192"/>
            <w:shd w:fill="FFFFFF"/>
            <w:tcMar>
              <w:top w:w="100" w:type="dxa"/>
              <w:bottom w:w="100" w:type="dxa"/>
              <w:left w:w="140" w:type="dxa"/>
              <w:right w:w="140" w:type="dxa"/>
            </w:tcMar>
          </w:tcPr>
          <w:p>
            <w:pPr>
              <w:spacing w:before="0" w:after="0" w:line="264" w:lineRule="auto"/>
            </w:pPr>
            <w:r>
              <w:rPr>
                <w:rFonts w:ascii="Calibri" w:hAnsi="Calibri"/>
                <w:color w:val="262626"/>
                <w:sz w:val="18"/>
              </w:rPr>
              <w:t>Distributed machine learning pipelines and XGBoost classification models delivering early-session predictive scoring for viewer abandonment and churn risk.</w:t>
            </w:r>
          </w:p>
        </w:tc>
      </w:tr>
      <w:tr>
        <w:tc>
          <w:tcPr>
            <w:tcW w:type="dxa" w:w="3168"/>
            <w:shd w:fill="F2F4F7"/>
            <w:tcMar>
              <w:top w:w="100" w:type="dxa"/>
              <w:bottom w:w="100" w:type="dxa"/>
              <w:left w:w="140" w:type="dxa"/>
              <w:right w:w="140" w:type="dxa"/>
            </w:tcMar>
          </w:tcPr>
          <w:p>
            <w:pPr>
              <w:spacing w:before="0" w:after="0"/>
            </w:pPr>
            <w:r>
              <w:rPr>
                <w:rFonts w:ascii="Calibri" w:hAnsi="Calibri"/>
                <w:b/>
                <w:color w:val="1F4E79"/>
                <w:sz w:val="19"/>
              </w:rPr>
              <w:t>Apache HBase</w:t>
            </w:r>
          </w:p>
        </w:tc>
        <w:tc>
          <w:tcPr>
            <w:tcW w:type="dxa" w:w="6192"/>
            <w:shd w:fill="F2F4F7"/>
            <w:tcMar>
              <w:top w:w="100" w:type="dxa"/>
              <w:bottom w:w="100" w:type="dxa"/>
              <w:left w:w="140" w:type="dxa"/>
              <w:right w:w="140" w:type="dxa"/>
            </w:tcMar>
          </w:tcPr>
          <w:p>
            <w:pPr>
              <w:spacing w:before="0" w:after="0" w:line="264" w:lineRule="auto"/>
            </w:pPr>
            <w:r>
              <w:rPr>
                <w:rFonts w:ascii="Calibri" w:hAnsi="Calibri"/>
                <w:color w:val="262626"/>
                <w:sz w:val="18"/>
              </w:rPr>
              <w:t>Distributed wide-column NoSQL database engineered for sub-millisecond writes, real-time alert persistence, active session state lookups, and fast reverse-timestamp range scans.</w:t>
            </w:r>
          </w:p>
        </w:tc>
      </w:tr>
      <w:tr>
        <w:tc>
          <w:tcPr>
            <w:tcW w:type="dxa" w:w="3168"/>
            <w:shd w:fill="FFFFFF"/>
            <w:tcMar>
              <w:top w:w="100" w:type="dxa"/>
              <w:bottom w:w="100" w:type="dxa"/>
              <w:left w:w="140" w:type="dxa"/>
              <w:right w:w="140" w:type="dxa"/>
            </w:tcMar>
          </w:tcPr>
          <w:p>
            <w:pPr>
              <w:spacing w:before="0" w:after="0"/>
            </w:pPr>
            <w:r>
              <w:rPr>
                <w:rFonts w:ascii="Calibri" w:hAnsi="Calibri"/>
                <w:b/>
                <w:color w:val="1F4E79"/>
                <w:sz w:val="19"/>
              </w:rPr>
              <w:t>Apache Parquet</w:t>
            </w:r>
          </w:p>
        </w:tc>
        <w:tc>
          <w:tcPr>
            <w:tcW w:type="dxa" w:w="6192"/>
            <w:shd w:fill="FFFFFF"/>
            <w:tcMar>
              <w:top w:w="100" w:type="dxa"/>
              <w:bottom w:w="100" w:type="dxa"/>
              <w:left w:w="140" w:type="dxa"/>
              <w:right w:w="140" w:type="dxa"/>
            </w:tcMar>
          </w:tcPr>
          <w:p>
            <w:pPr>
              <w:spacing w:before="0" w:after="0" w:line="264" w:lineRule="auto"/>
            </w:pPr>
            <w:r>
              <w:rPr>
                <w:rFonts w:ascii="Calibri" w:hAnsi="Calibri"/>
                <w:color w:val="262626"/>
                <w:sz w:val="18"/>
              </w:rPr>
              <w:t>Columnar storage format offering high-ratio Snappy compression, partition pruning, and zero-redundancy historical lakehouse storage for raw and aggregated telemetry.</w:t>
            </w:r>
          </w:p>
        </w:tc>
      </w:tr>
      <w:tr>
        <w:tc>
          <w:tcPr>
            <w:tcW w:type="dxa" w:w="3168"/>
            <w:shd w:fill="F2F4F7"/>
            <w:tcMar>
              <w:top w:w="100" w:type="dxa"/>
              <w:bottom w:w="100" w:type="dxa"/>
              <w:left w:w="140" w:type="dxa"/>
              <w:right w:w="140" w:type="dxa"/>
            </w:tcMar>
          </w:tcPr>
          <w:p>
            <w:pPr>
              <w:spacing w:before="0" w:after="0"/>
            </w:pPr>
            <w:r>
              <w:rPr>
                <w:rFonts w:ascii="Calibri" w:hAnsi="Calibri"/>
                <w:b/>
                <w:color w:val="1F4E79"/>
                <w:sz w:val="19"/>
              </w:rPr>
              <w:t>DuckDB</w:t>
            </w:r>
          </w:p>
        </w:tc>
        <w:tc>
          <w:tcPr>
            <w:tcW w:type="dxa" w:w="6192"/>
            <w:shd w:fill="F2F4F7"/>
            <w:tcMar>
              <w:top w:w="100" w:type="dxa"/>
              <w:bottom w:w="100" w:type="dxa"/>
              <w:left w:w="140" w:type="dxa"/>
              <w:right w:w="140" w:type="dxa"/>
            </w:tcMar>
          </w:tcPr>
          <w:p>
            <w:pPr>
              <w:spacing w:before="0" w:after="0" w:line="264" w:lineRule="auto"/>
            </w:pPr>
            <w:r>
              <w:rPr>
                <w:rFonts w:ascii="Calibri" w:hAnsi="Calibri"/>
                <w:color w:val="262626"/>
                <w:sz w:val="18"/>
              </w:rPr>
              <w:t>In-process analytical OLAP SQL engine delivering ultra-fast, zero-copy analytical queries and feature aggregation directly over partitioned Parquet files.</w:t>
            </w:r>
          </w:p>
        </w:tc>
      </w:tr>
      <w:tr>
        <w:tc>
          <w:tcPr>
            <w:tcW w:type="dxa" w:w="3168"/>
            <w:shd w:fill="FFFFFF"/>
            <w:tcMar>
              <w:top w:w="100" w:type="dxa"/>
              <w:bottom w:w="100" w:type="dxa"/>
              <w:left w:w="140" w:type="dxa"/>
              <w:right w:w="140" w:type="dxa"/>
            </w:tcMar>
          </w:tcPr>
          <w:p>
            <w:pPr>
              <w:spacing w:before="0" w:after="0"/>
            </w:pPr>
            <w:r>
              <w:rPr>
                <w:rFonts w:ascii="Calibri" w:hAnsi="Calibri"/>
                <w:b/>
                <w:color w:val="1F4E79"/>
                <w:sz w:val="19"/>
              </w:rPr>
              <w:t>Streamlit</w:t>
            </w:r>
          </w:p>
        </w:tc>
        <w:tc>
          <w:tcPr>
            <w:tcW w:type="dxa" w:w="6192"/>
            <w:shd w:fill="FFFFFF"/>
            <w:tcMar>
              <w:top w:w="100" w:type="dxa"/>
              <w:bottom w:w="100" w:type="dxa"/>
              <w:left w:w="140" w:type="dxa"/>
              <w:right w:w="140" w:type="dxa"/>
            </w:tcMar>
          </w:tcPr>
          <w:p>
            <w:pPr>
              <w:spacing w:before="0" w:after="0" w:line="264" w:lineRule="auto"/>
            </w:pPr>
            <w:r>
              <w:rPr>
                <w:rFonts w:ascii="Calibri" w:hAnsi="Calibri"/>
                <w:color w:val="262626"/>
                <w:sz w:val="18"/>
              </w:rPr>
              <w:t>Python-based web framework providing an interactive, real-time mission control operations dashboard for QoE monitoring, incident triage, and predictive churn analytics.</w:t>
            </w:r>
          </w:p>
        </w:tc>
      </w:tr>
      <w:tr>
        <w:tc>
          <w:tcPr>
            <w:tcW w:type="dxa" w:w="3168"/>
            <w:shd w:fill="F2F4F7"/>
            <w:tcMar>
              <w:top w:w="100" w:type="dxa"/>
              <w:bottom w:w="100" w:type="dxa"/>
              <w:left w:w="140" w:type="dxa"/>
              <w:right w:w="140" w:type="dxa"/>
            </w:tcMar>
          </w:tcPr>
          <w:p>
            <w:pPr>
              <w:spacing w:before="0" w:after="0"/>
            </w:pPr>
            <w:r>
              <w:rPr>
                <w:rFonts w:ascii="Calibri" w:hAnsi="Calibri"/>
                <w:b/>
                <w:color w:val="1F4E79"/>
                <w:sz w:val="19"/>
              </w:rPr>
              <w:t>Docker &amp; Docker Compose</w:t>
            </w:r>
          </w:p>
        </w:tc>
        <w:tc>
          <w:tcPr>
            <w:tcW w:type="dxa" w:w="6192"/>
            <w:shd w:fill="F2F4F7"/>
            <w:tcMar>
              <w:top w:w="100" w:type="dxa"/>
              <w:bottom w:w="100" w:type="dxa"/>
              <w:left w:w="140" w:type="dxa"/>
              <w:right w:w="140" w:type="dxa"/>
            </w:tcMar>
          </w:tcPr>
          <w:p>
            <w:pPr>
              <w:spacing w:before="0" w:after="0" w:line="264" w:lineRule="auto"/>
            </w:pPr>
            <w:r>
              <w:rPr>
                <w:rFonts w:ascii="Calibri" w:hAnsi="Calibri"/>
                <w:color w:val="262626"/>
                <w:sz w:val="18"/>
              </w:rPr>
              <w:t>Container orchestration system enabling isolated, reproducible, and reliable deployment of distributed Kafka, Zookeeper, HBase, and application microservices.</w:t>
            </w:r>
          </w:p>
        </w:tc>
      </w:tr>
      <w:tr>
        <w:tc>
          <w:tcPr>
            <w:tcW w:type="dxa" w:w="3168"/>
            <w:shd w:fill="FFFFFF"/>
            <w:tcMar>
              <w:top w:w="100" w:type="dxa"/>
              <w:bottom w:w="100" w:type="dxa"/>
              <w:left w:w="140" w:type="dxa"/>
              <w:right w:w="140" w:type="dxa"/>
            </w:tcMar>
          </w:tcPr>
          <w:p>
            <w:pPr>
              <w:spacing w:before="0" w:after="0"/>
            </w:pPr>
            <w:r>
              <w:rPr>
                <w:rFonts w:ascii="Calibri" w:hAnsi="Calibri"/>
                <w:b/>
                <w:color w:val="1F4E79"/>
                <w:sz w:val="19"/>
              </w:rPr>
              <w:t>Python</w:t>
            </w:r>
          </w:p>
        </w:tc>
        <w:tc>
          <w:tcPr>
            <w:tcW w:type="dxa" w:w="6192"/>
            <w:shd w:fill="FFFFFF"/>
            <w:tcMar>
              <w:top w:w="100" w:type="dxa"/>
              <w:bottom w:w="100" w:type="dxa"/>
              <w:left w:w="140" w:type="dxa"/>
              <w:right w:w="140" w:type="dxa"/>
            </w:tcMar>
          </w:tcPr>
          <w:p>
            <w:pPr>
              <w:spacing w:before="0" w:after="0" w:line="264" w:lineRule="auto"/>
            </w:pPr>
            <w:r>
              <w:rPr>
                <w:rFonts w:ascii="Calibri" w:hAnsi="Calibri"/>
                <w:color w:val="262626"/>
                <w:sz w:val="18"/>
              </w:rPr>
              <w:t>Primary programming language orchestrating distributed streaming pipelines, batch ETL workflows, composite ITU-T QoE scoring algorithms, and system integrations.</w:t>
            </w:r>
          </w:p>
        </w:tc>
      </w:tr>
    </w:tbl>
    <w:p>
      <w:r>
        <w:br w:type="page"/>
      </w:r>
    </w:p>
    <w:p>
      <w:pPr>
        <w:spacing w:before="0" w:after="160"/>
      </w:pPr>
      <w:r>
        <w:rPr>
          <w:rFonts w:ascii="Calibri" w:hAnsi="Calibri"/>
          <w:b/>
          <w:color w:val="1F4E79"/>
          <w:sz w:val="26"/>
        </w:rPr>
        <w:t>System Architecture &amp; Data Flow</w:t>
      </w:r>
    </w:p>
    <w:p>
      <w:pPr>
        <w:spacing w:before="0" w:after="0"/>
        <w:jc w:val="center"/>
      </w:pPr>
      <w:r>
        <w:drawing>
          <wp:inline xmlns:a="http://schemas.openxmlformats.org/drawingml/2006/main" xmlns:pic="http://schemas.openxmlformats.org/drawingml/2006/picture">
            <wp:extent cx="5669280" cy="7387244"/>
            <wp:docPr id="1" name="Picture 1"/>
            <wp:cNvGraphicFramePr>
              <a:graphicFrameLocks noChangeAspect="1"/>
            </wp:cNvGraphicFramePr>
            <a:graphic>
              <a:graphicData uri="http://schemas.openxmlformats.org/drawingml/2006/picture">
                <pic:pic>
                  <pic:nvPicPr>
                    <pic:cNvPr id="0" name="VortexStream_Architecture_Flow.png"/>
                    <pic:cNvPicPr/>
                  </pic:nvPicPr>
                  <pic:blipFill>
                    <a:blip r:embed="rId9"/>
                    <a:stretch>
                      <a:fillRect/>
                    </a:stretch>
                  </pic:blipFill>
                  <pic:spPr>
                    <a:xfrm>
                      <a:off x="0" y="0"/>
                      <a:ext cx="5669280" cy="7387244"/>
                    </a:xfrm>
                    <a:prstGeom prst="rect"/>
                  </pic:spPr>
                </pic:pic>
              </a:graphicData>
            </a:graphic>
          </wp:inline>
        </w:drawing>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