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 / Roadmap</w:t>
      </w:r>
    </w:p>
    <w:p>
      <w:pPr>
        <w:pStyle w:val="Heading1"/>
      </w:pPr>
      <w:r>
        <w:t>Summary</w:t>
      </w:r>
    </w:p>
    <w:p>
      <w:r>
        <w:t xml:space="preserve">Document for: </w:t>
      </w:r>
    </w:p>
    <w:p>
      <w:pPr>
        <w:pStyle w:val="Heading1"/>
      </w:pPr>
      <w:r>
        <w:t>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</w:tr>
      <w:tr>
        <w:tc>
          <w:tcPr>
            <w:tcW w:type="dxa" w:w="2880"/>
          </w:tcPr>
          <w:p>
            <w:r>
              <w:t>Research</w:t>
            </w:r>
          </w:p>
        </w:tc>
        <w:tc>
          <w:tcPr>
            <w:tcW w:type="dxa" w:w="2880"/>
          </w:tcPr>
          <w:p>
            <w:r>
              <w:t>Explore options for masters in cybersecurity or research</w:t>
            </w:r>
          </w:p>
        </w:tc>
        <w:tc>
          <w:tcPr>
            <w:tcW w:type="dxa" w:w="2880"/>
          </w:tcPr>
          <w:p>
            <w:r>
              <w:t>Already considered all options</w:t>
            </w:r>
          </w:p>
        </w:tc>
      </w:tr>
      <w:tr>
        <w:tc>
          <w:tcPr>
            <w:tcW w:type="dxa" w:w="2880"/>
          </w:tcPr>
          <w:p>
            <w:r>
              <w:t>Application Strategy</w:t>
            </w:r>
          </w:p>
        </w:tc>
        <w:tc>
          <w:tcPr>
            <w:tcW w:type="dxa" w:w="2880"/>
          </w:tcPr>
          <w:p>
            <w:r>
              <w:t>Apply strategically to universities like ETH Zurich, TUM, and others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</w:tr>
      <w:tr>
        <w:tc>
          <w:tcPr>
            <w:tcW w:type="dxa" w:w="2880"/>
          </w:tcPr>
          <w:p>
            <w:r>
              <w:t>Country Selection</w:t>
            </w:r>
          </w:p>
        </w:tc>
        <w:tc>
          <w:tcPr>
            <w:tcW w:type="dxa" w:w="2880"/>
          </w:tcPr>
          <w:p>
            <w:r>
              <w:t>Choose countries with good job opportunities and scholarships (e.g., Finland, Ireland, Denmark, Netherlands, Switzerland, Germany)</w:t>
            </w:r>
          </w:p>
        </w:tc>
        <w:tc>
          <w:tcPr>
            <w:tcW w:type="dxa" w:w="2880"/>
          </w:tcPr>
          <w:p>
            <w:r>
              <w:t>Not specified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