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4A6E" w14:textId="3DB7E697" w:rsidR="00375F84" w:rsidRDefault="00375F84" w:rsidP="00D916EC"/>
    <w:p w14:paraId="195824C2" w14:textId="77777777" w:rsidR="00375F84" w:rsidRDefault="00375F84" w:rsidP="00EA5E61"/>
    <w:p w14:paraId="05386B37" w14:textId="77777777" w:rsidR="00375F84" w:rsidRDefault="00375F84" w:rsidP="00EA5E61"/>
    <w:p w14:paraId="24D8F283" w14:textId="77777777" w:rsidR="00375F84" w:rsidRDefault="00375F84" w:rsidP="00EA5E61"/>
    <w:p w14:paraId="6E666FF0" w14:textId="77777777" w:rsidR="00375F84" w:rsidRDefault="00375F84" w:rsidP="00EA5E61"/>
    <w:p w14:paraId="686CE382" w14:textId="77777777" w:rsidR="008872ED" w:rsidRDefault="008872ED" w:rsidP="00EA5E61"/>
    <w:p w14:paraId="036FB819" w14:textId="77777777" w:rsidR="008872ED" w:rsidRDefault="008872ED" w:rsidP="00EA5E61"/>
    <w:p w14:paraId="564F44DA" w14:textId="77777777" w:rsidR="008872ED" w:rsidRDefault="008872ED" w:rsidP="00EA5E61"/>
    <w:p w14:paraId="45A87332" w14:textId="77777777" w:rsidR="008872ED" w:rsidRDefault="008872ED" w:rsidP="00EA5E61"/>
    <w:p w14:paraId="50A1C6EF" w14:textId="77777777" w:rsidR="008872ED" w:rsidRDefault="008872ED" w:rsidP="00EA5E61"/>
    <w:p w14:paraId="749FA24D" w14:textId="15FE51EB" w:rsidR="008872ED" w:rsidRDefault="00736CC5" w:rsidP="00EA5E61">
      <w:r w:rsidRPr="00736CC5">
        <w:rPr>
          <w:sz w:val="40"/>
          <w:szCs w:val="40"/>
        </w:rPr>
        <w:t>Bright Utility Company ARS-CIP Cybersecurity Policy</w:t>
      </w:r>
    </w:p>
    <w:p w14:paraId="5FF434E8" w14:textId="77777777" w:rsidR="008872ED" w:rsidRDefault="008872ED" w:rsidP="00EA5E61"/>
    <w:p w14:paraId="7AB90802" w14:textId="77777777" w:rsidR="008872ED" w:rsidRDefault="008872ED" w:rsidP="00EA5E61"/>
    <w:p w14:paraId="540C9C58" w14:textId="77777777" w:rsidR="008872ED" w:rsidRDefault="008872ED" w:rsidP="00EA5E61"/>
    <w:p w14:paraId="05D80C09" w14:textId="77777777" w:rsidR="008872ED" w:rsidRDefault="008872ED" w:rsidP="00EA5E61"/>
    <w:p w14:paraId="0E13CC61" w14:textId="77777777" w:rsidR="008872ED" w:rsidRDefault="008872ED" w:rsidP="00EA5E61"/>
    <w:p w14:paraId="5D69FE2B" w14:textId="77777777" w:rsidR="008872ED" w:rsidRDefault="008872ED" w:rsidP="00EA5E61"/>
    <w:p w14:paraId="6CBB829A" w14:textId="77777777" w:rsidR="008872ED" w:rsidRDefault="008872ED" w:rsidP="00EA5E61"/>
    <w:p w14:paraId="1A76464D" w14:textId="77777777" w:rsidR="008872ED" w:rsidRDefault="008872ED" w:rsidP="00EA5E61"/>
    <w:p w14:paraId="607955F2" w14:textId="77777777" w:rsidR="008872ED" w:rsidRDefault="008872ED" w:rsidP="00EA5E61"/>
    <w:p w14:paraId="7C7D4388" w14:textId="77777777" w:rsidR="008872ED" w:rsidRDefault="008872ED" w:rsidP="00EA5E61"/>
    <w:p w14:paraId="1F1E00DB" w14:textId="77777777" w:rsidR="00232319" w:rsidRDefault="00232319" w:rsidP="00EA5E61"/>
    <w:p w14:paraId="43FD470D" w14:textId="6745D159" w:rsidR="00375F84" w:rsidRDefault="00375F84" w:rsidP="00232319">
      <w:pPr>
        <w:spacing w:after="0"/>
      </w:pPr>
      <w:r>
        <w:t>Version: 1.0</w:t>
      </w:r>
    </w:p>
    <w:p w14:paraId="669B9769" w14:textId="0C78C0C5" w:rsidR="00375F84" w:rsidRDefault="00375F84" w:rsidP="00232319">
      <w:pPr>
        <w:spacing w:after="0"/>
      </w:pPr>
      <w:r>
        <w:t>Effective Date: 0</w:t>
      </w:r>
      <w:r w:rsidR="00736CC5">
        <w:t>2</w:t>
      </w:r>
      <w:r>
        <w:t>/02/2025</w:t>
      </w:r>
    </w:p>
    <w:p w14:paraId="7A0C813D" w14:textId="45103586" w:rsidR="00375F84" w:rsidRDefault="00375F84" w:rsidP="00232319">
      <w:pPr>
        <w:spacing w:after="0"/>
      </w:pPr>
      <w:r>
        <w:t>Owner: C</w:t>
      </w:r>
      <w:r w:rsidR="00AB3442">
        <w:t>IO</w:t>
      </w:r>
      <w:r>
        <w:t xml:space="preserve"> </w:t>
      </w:r>
    </w:p>
    <w:p w14:paraId="2B63582D" w14:textId="126B47AC" w:rsidR="00760849" w:rsidRDefault="00375F84" w:rsidP="00232319">
      <w:pPr>
        <w:spacing w:after="0"/>
      </w:pPr>
      <w:r>
        <w:t>Last Reviewed: 31/12/2024</w:t>
      </w:r>
    </w:p>
    <w:p w14:paraId="50124B30" w14:textId="77777777" w:rsidR="00232319" w:rsidRDefault="00232319" w:rsidP="00232319">
      <w:pPr>
        <w:spacing w:after="0"/>
      </w:pPr>
    </w:p>
    <w:p w14:paraId="2C172C65" w14:textId="02A5BD7F" w:rsidR="00375F84" w:rsidRPr="0095438F" w:rsidRDefault="00375F84" w:rsidP="00760849">
      <w:pPr>
        <w:pStyle w:val="Heading1"/>
        <w:spacing w:before="0"/>
      </w:pPr>
      <w:r w:rsidRPr="0095438F">
        <w:t>1. Purpose</w:t>
      </w:r>
    </w:p>
    <w:p w14:paraId="271CA534" w14:textId="2E489A43" w:rsidR="00375F84" w:rsidRPr="00EA5E61" w:rsidRDefault="009D067A" w:rsidP="00EA5E61">
      <w:r w:rsidRPr="009D067A">
        <w:t xml:space="preserve">The purpose of this policy is to establish </w:t>
      </w:r>
      <w:r>
        <w:t xml:space="preserve">Bright Utility </w:t>
      </w:r>
      <w:r w:rsidR="004E35EA">
        <w:t>Company’s (BUC)</w:t>
      </w:r>
      <w:r w:rsidRPr="009D067A">
        <w:t xml:space="preserve"> Asset &amp; Risk Security – Critical Infrastructure Protection (ARS CIP) compliance framework. This policy ensures that </w:t>
      </w:r>
      <w:r w:rsidR="004E35EA">
        <w:t>BU</w:t>
      </w:r>
      <w:r w:rsidRPr="009D067A">
        <w:t>C complies with regulatory requirements, including NERC CIP standards, to protect critical infrastructure and maintain operational resilience.</w:t>
      </w:r>
    </w:p>
    <w:p w14:paraId="76830D4B" w14:textId="77777777" w:rsidR="00375F84" w:rsidRDefault="00375F84" w:rsidP="00EA5E61">
      <w:pPr>
        <w:pStyle w:val="Heading1"/>
      </w:pPr>
      <w:r>
        <w:t>2. Scope</w:t>
      </w:r>
    </w:p>
    <w:p w14:paraId="30D61022" w14:textId="375CE65C" w:rsidR="00E368B6" w:rsidRPr="00E368B6" w:rsidRDefault="00E368B6" w:rsidP="00E368B6">
      <w:pPr>
        <w:rPr>
          <w:color w:val="000000" w:themeColor="text1"/>
        </w:rPr>
      </w:pPr>
      <w:r w:rsidRPr="00E368B6">
        <w:rPr>
          <w:color w:val="000000" w:themeColor="text1"/>
        </w:rPr>
        <w:t xml:space="preserve">This policy applies to all </w:t>
      </w:r>
      <w:r>
        <w:rPr>
          <w:color w:val="000000" w:themeColor="text1"/>
        </w:rPr>
        <w:t>BU</w:t>
      </w:r>
      <w:r w:rsidRPr="00E368B6">
        <w:rPr>
          <w:color w:val="000000" w:themeColor="text1"/>
        </w:rPr>
        <w:t>C employees, contractors, and third-party vendors who interact with:</w:t>
      </w:r>
    </w:p>
    <w:p w14:paraId="6B1D1258" w14:textId="3D12EACE" w:rsidR="00E368B6" w:rsidRPr="00E368B6" w:rsidRDefault="00E368B6" w:rsidP="00E368B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368B6">
        <w:rPr>
          <w:color w:val="000000" w:themeColor="text1"/>
        </w:rPr>
        <w:t xml:space="preserve">Critical infrastructure assets within </w:t>
      </w:r>
      <w:r w:rsidR="00411A3A">
        <w:rPr>
          <w:color w:val="000000" w:themeColor="text1"/>
        </w:rPr>
        <w:t>BUC</w:t>
      </w:r>
      <w:r w:rsidRPr="00E368B6">
        <w:rPr>
          <w:color w:val="000000" w:themeColor="text1"/>
        </w:rPr>
        <w:t>’s environment</w:t>
      </w:r>
      <w:r w:rsidR="00034069">
        <w:rPr>
          <w:color w:val="000000" w:themeColor="text1"/>
        </w:rPr>
        <w:t>.</w:t>
      </w:r>
    </w:p>
    <w:p w14:paraId="5555A0EB" w14:textId="19C6C77E" w:rsidR="00E368B6" w:rsidRPr="00E368B6" w:rsidRDefault="00E368B6" w:rsidP="00E368B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368B6">
        <w:rPr>
          <w:color w:val="000000" w:themeColor="text1"/>
        </w:rPr>
        <w:t>Information security systems supporting ARS CIP compliance</w:t>
      </w:r>
      <w:r w:rsidR="00034069">
        <w:rPr>
          <w:color w:val="000000" w:themeColor="text1"/>
        </w:rPr>
        <w:t>.</w:t>
      </w:r>
    </w:p>
    <w:p w14:paraId="510B4763" w14:textId="77777777" w:rsidR="00E368B6" w:rsidRPr="00E368B6" w:rsidRDefault="00E368B6" w:rsidP="00E368B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368B6">
        <w:rPr>
          <w:color w:val="000000" w:themeColor="text1"/>
        </w:rPr>
        <w:t>Cloud and on-premises environments used for CIP operations</w:t>
      </w:r>
    </w:p>
    <w:p w14:paraId="0D7B1FE3" w14:textId="38BE9002" w:rsidR="00375F84" w:rsidRPr="00E368B6" w:rsidRDefault="00E368B6" w:rsidP="00E368B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368B6">
        <w:rPr>
          <w:color w:val="000000" w:themeColor="text1"/>
        </w:rPr>
        <w:t>Audit and compliance processes related to regulatory obligations</w:t>
      </w:r>
      <w:r w:rsidR="00375F84" w:rsidRPr="00E368B6">
        <w:rPr>
          <w:color w:val="000000" w:themeColor="text1"/>
        </w:rPr>
        <w:t>.</w:t>
      </w:r>
    </w:p>
    <w:p w14:paraId="2DF873FF" w14:textId="77777777" w:rsidR="00CC7F3D" w:rsidRDefault="00375F84" w:rsidP="00583E7C">
      <w:pPr>
        <w:pStyle w:val="Heading1"/>
        <w:tabs>
          <w:tab w:val="center" w:pos="4680"/>
        </w:tabs>
      </w:pPr>
      <w:r>
        <w:t>3. Policy Statements</w:t>
      </w:r>
    </w:p>
    <w:p w14:paraId="09C47FFD" w14:textId="2BABCF7A" w:rsidR="00375F84" w:rsidRDefault="0041619A" w:rsidP="0041619A">
      <w:r>
        <w:t xml:space="preserve">BUC </w:t>
      </w:r>
      <w:r w:rsidRPr="0041619A">
        <w:t>follows a structured compliance framework that includes:</w:t>
      </w:r>
      <w:r w:rsidR="00583E7C">
        <w:tab/>
      </w:r>
    </w:p>
    <w:p w14:paraId="0007EE6C" w14:textId="4D14E03B" w:rsidR="00375F84" w:rsidRPr="00B8006B" w:rsidRDefault="00375F84" w:rsidP="00EA5E61">
      <w:pPr>
        <w:pStyle w:val="Heading2"/>
      </w:pPr>
      <w:r>
        <w:t>3.</w:t>
      </w:r>
      <w:r w:rsidRPr="00B8006B">
        <w:t xml:space="preserve">1 </w:t>
      </w:r>
      <w:r w:rsidR="00657753" w:rsidRPr="00657753">
        <w:t>NERC CIP Compliance</w:t>
      </w:r>
    </w:p>
    <w:p w14:paraId="576C008D" w14:textId="77777777" w:rsidR="00ED268A" w:rsidRPr="00ED268A" w:rsidRDefault="00ED268A" w:rsidP="00ED268A">
      <w:pPr>
        <w:pStyle w:val="ListParagraph"/>
        <w:numPr>
          <w:ilvl w:val="0"/>
          <w:numId w:val="7"/>
        </w:numPr>
        <w:rPr>
          <w:vanish/>
        </w:rPr>
      </w:pPr>
    </w:p>
    <w:p w14:paraId="624FDCA7" w14:textId="77777777" w:rsidR="00ED268A" w:rsidRPr="00ED268A" w:rsidRDefault="00ED268A" w:rsidP="00ED268A">
      <w:pPr>
        <w:pStyle w:val="ListParagraph"/>
        <w:numPr>
          <w:ilvl w:val="0"/>
          <w:numId w:val="7"/>
        </w:numPr>
        <w:rPr>
          <w:vanish/>
        </w:rPr>
      </w:pPr>
    </w:p>
    <w:p w14:paraId="65FF7252" w14:textId="77777777" w:rsidR="00ED268A" w:rsidRPr="00ED268A" w:rsidRDefault="00ED268A" w:rsidP="00ED268A">
      <w:pPr>
        <w:pStyle w:val="ListParagraph"/>
        <w:numPr>
          <w:ilvl w:val="0"/>
          <w:numId w:val="7"/>
        </w:numPr>
        <w:rPr>
          <w:vanish/>
        </w:rPr>
      </w:pPr>
    </w:p>
    <w:p w14:paraId="6CF8FFB4" w14:textId="77777777" w:rsidR="00ED268A" w:rsidRPr="00ED268A" w:rsidRDefault="00ED268A" w:rsidP="00ED268A">
      <w:pPr>
        <w:pStyle w:val="ListParagraph"/>
        <w:numPr>
          <w:ilvl w:val="1"/>
          <w:numId w:val="7"/>
        </w:numPr>
        <w:rPr>
          <w:vanish/>
        </w:rPr>
      </w:pPr>
    </w:p>
    <w:p w14:paraId="2A498563" w14:textId="2EC5FC41" w:rsidR="00704E7F" w:rsidRDefault="00704E7F" w:rsidP="00704E7F">
      <w:pPr>
        <w:pStyle w:val="LV2NumberedList"/>
      </w:pPr>
      <w:r>
        <w:t>Adhering to CIP-002 to CIP-013 for infrastructure protection</w:t>
      </w:r>
      <w:r w:rsidR="00570BFC">
        <w:t>.</w:t>
      </w:r>
    </w:p>
    <w:p w14:paraId="618EFF27" w14:textId="7C6B0554" w:rsidR="00704E7F" w:rsidRDefault="00704E7F" w:rsidP="00704E7F">
      <w:pPr>
        <w:pStyle w:val="LV2NumberedList"/>
      </w:pPr>
      <w:r>
        <w:t>Implementing strict access controls and authentication policies</w:t>
      </w:r>
      <w:r w:rsidR="00570BFC">
        <w:t>.</w:t>
      </w:r>
    </w:p>
    <w:p w14:paraId="6F507A89" w14:textId="45DF735A" w:rsidR="006E1AFD" w:rsidRDefault="00704E7F" w:rsidP="00704E7F">
      <w:pPr>
        <w:pStyle w:val="LV2NumberedList"/>
      </w:pPr>
      <w:r>
        <w:t>Ensuring incident response and reporting mechanisms</w:t>
      </w:r>
      <w:r w:rsidR="00375F84">
        <w:t>.</w:t>
      </w:r>
    </w:p>
    <w:p w14:paraId="6FC3ED07" w14:textId="77777777" w:rsidR="006E1AFD" w:rsidRDefault="006E1AFD" w:rsidP="006E1AFD">
      <w:pPr>
        <w:pStyle w:val="LV2NumberedList"/>
        <w:numPr>
          <w:ilvl w:val="0"/>
          <w:numId w:val="0"/>
        </w:numPr>
        <w:ind w:left="990" w:hanging="630"/>
      </w:pPr>
    </w:p>
    <w:p w14:paraId="130E5EB2" w14:textId="060F2DB2" w:rsidR="00375F84" w:rsidRDefault="00375F84" w:rsidP="00EA5E61">
      <w:pPr>
        <w:pStyle w:val="Heading2"/>
      </w:pPr>
      <w:r>
        <w:t>3.2 Risk Management</w:t>
      </w:r>
      <w:r w:rsidR="00C958A0">
        <w:t xml:space="preserve"> </w:t>
      </w:r>
      <w:r w:rsidR="00EC4304">
        <w:t>&amp;</w:t>
      </w:r>
      <w:r w:rsidR="00C958A0">
        <w:t xml:space="preserve"> Governance</w:t>
      </w:r>
    </w:p>
    <w:p w14:paraId="0A8EFC8E" w14:textId="77777777" w:rsidR="00ED268A" w:rsidRPr="00ED268A" w:rsidRDefault="00ED268A" w:rsidP="00ED268A">
      <w:pPr>
        <w:pStyle w:val="ListParagraph"/>
        <w:numPr>
          <w:ilvl w:val="1"/>
          <w:numId w:val="8"/>
        </w:numPr>
        <w:rPr>
          <w:vanish/>
        </w:rPr>
      </w:pPr>
    </w:p>
    <w:p w14:paraId="5E6F7433" w14:textId="77777777" w:rsidR="00ED268A" w:rsidRPr="00ED268A" w:rsidRDefault="00ED268A" w:rsidP="00ED268A">
      <w:pPr>
        <w:pStyle w:val="ListParagraph"/>
        <w:numPr>
          <w:ilvl w:val="1"/>
          <w:numId w:val="8"/>
        </w:numPr>
        <w:rPr>
          <w:vanish/>
        </w:rPr>
      </w:pPr>
    </w:p>
    <w:p w14:paraId="25F46C25" w14:textId="110CAFEE" w:rsidR="00C958A0" w:rsidRDefault="00C958A0" w:rsidP="00C958A0">
      <w:pPr>
        <w:pStyle w:val="LV2NumberedList"/>
      </w:pPr>
      <w:r>
        <w:t>Conducting periodic risk assessments for CIP-related assets</w:t>
      </w:r>
      <w:r w:rsidR="00570BFC">
        <w:t>.</w:t>
      </w:r>
    </w:p>
    <w:p w14:paraId="2CE595E5" w14:textId="4B9793C4" w:rsidR="00C958A0" w:rsidRDefault="00C958A0" w:rsidP="00C958A0">
      <w:pPr>
        <w:pStyle w:val="LV2NumberedList"/>
      </w:pPr>
      <w:r>
        <w:t>Defining a risk treatment strategy for identified vulnerabilities</w:t>
      </w:r>
      <w:r w:rsidR="00570BFC">
        <w:t>.</w:t>
      </w:r>
    </w:p>
    <w:p w14:paraId="0EAC2CBA" w14:textId="6BFFB38A" w:rsidR="00C958A0" w:rsidRDefault="00C958A0" w:rsidP="00C958A0">
      <w:pPr>
        <w:pStyle w:val="LV2NumberedList"/>
      </w:pPr>
      <w:r>
        <w:t>Integrating Three Lines of Defense (3LoD) risk governance</w:t>
      </w:r>
      <w:r w:rsidR="00570BFC">
        <w:t>.</w:t>
      </w:r>
    </w:p>
    <w:p w14:paraId="286811D8" w14:textId="363E794B" w:rsidR="00375F84" w:rsidRDefault="00375F84" w:rsidP="00AC2063">
      <w:pPr>
        <w:pStyle w:val="LV2NumberedList"/>
        <w:tabs>
          <w:tab w:val="left" w:pos="1260"/>
        </w:tabs>
        <w:ind w:left="1440" w:hanging="720"/>
      </w:pPr>
      <w:r>
        <w:t xml:space="preserve">Risk assessments will be conducted </w:t>
      </w:r>
      <w:r w:rsidR="00EC4304">
        <w:t>periodically</w:t>
      </w:r>
      <w:r>
        <w:t xml:space="preserve"> whenever significant </w:t>
      </w:r>
      <w:r w:rsidR="00AC2063">
        <w:t xml:space="preserve">        </w:t>
      </w:r>
      <w:r>
        <w:t xml:space="preserve">changes to the </w:t>
      </w:r>
      <w:r w:rsidR="008831BC">
        <w:t xml:space="preserve">operational technology </w:t>
      </w:r>
      <w:r>
        <w:t>systems or business processes occur</w:t>
      </w:r>
      <w:r w:rsidR="00570BFC">
        <w:t>.</w:t>
      </w:r>
    </w:p>
    <w:p w14:paraId="0720025E" w14:textId="211BB151" w:rsidR="00375F84" w:rsidRDefault="00375F84" w:rsidP="00EA5E61">
      <w:pPr>
        <w:pStyle w:val="Heading2"/>
      </w:pPr>
      <w:r>
        <w:t>3.3 A</w:t>
      </w:r>
      <w:r w:rsidR="00654F65">
        <w:t>udit</w:t>
      </w:r>
      <w:r w:rsidR="00EC4304">
        <w:t xml:space="preserve"> &amp;</w:t>
      </w:r>
      <w:r w:rsidR="00654F65">
        <w:t xml:space="preserve"> Evidence Management </w:t>
      </w:r>
    </w:p>
    <w:p w14:paraId="302EA38B" w14:textId="77777777" w:rsidR="00D60D33" w:rsidRPr="00D60D33" w:rsidRDefault="00D60D33" w:rsidP="00D60D33">
      <w:pPr>
        <w:pStyle w:val="ListParagraph"/>
        <w:numPr>
          <w:ilvl w:val="1"/>
          <w:numId w:val="7"/>
        </w:numPr>
        <w:rPr>
          <w:vanish/>
        </w:rPr>
      </w:pPr>
    </w:p>
    <w:p w14:paraId="60D40965" w14:textId="32780280" w:rsidR="00570BFC" w:rsidRDefault="00570BFC" w:rsidP="00570BFC">
      <w:pPr>
        <w:pStyle w:val="LV2NumberedList"/>
      </w:pPr>
      <w:r>
        <w:t>Maintaining audit logs for compliance verification</w:t>
      </w:r>
      <w:r>
        <w:t>.</w:t>
      </w:r>
    </w:p>
    <w:p w14:paraId="417963EC" w14:textId="47B62A0D" w:rsidR="00570BFC" w:rsidRDefault="00570BFC" w:rsidP="00570BFC">
      <w:pPr>
        <w:pStyle w:val="LV2NumberedList"/>
      </w:pPr>
      <w:r>
        <w:t>Ensuring documentation meets internal and regulatory audit standards</w:t>
      </w:r>
      <w:r>
        <w:t>.</w:t>
      </w:r>
    </w:p>
    <w:p w14:paraId="50842717" w14:textId="014582B7" w:rsidR="00570BFC" w:rsidRDefault="00570BFC" w:rsidP="00EA5E61">
      <w:pPr>
        <w:pStyle w:val="LV2NumberedList"/>
      </w:pPr>
      <w:r>
        <w:t>Conducting annual self-certifications and audits</w:t>
      </w:r>
      <w:r w:rsidR="00375F84">
        <w:t>.</w:t>
      </w:r>
    </w:p>
    <w:p w14:paraId="39A457EE" w14:textId="77777777" w:rsidR="00570BFC" w:rsidRDefault="00570BFC" w:rsidP="00570BFC">
      <w:pPr>
        <w:pStyle w:val="LV2NumberedList"/>
        <w:numPr>
          <w:ilvl w:val="0"/>
          <w:numId w:val="0"/>
        </w:numPr>
        <w:ind w:left="990" w:hanging="630"/>
      </w:pPr>
    </w:p>
    <w:p w14:paraId="2F1D9870" w14:textId="77777777" w:rsidR="00570BFC" w:rsidRDefault="00570BFC" w:rsidP="00570BFC">
      <w:pPr>
        <w:pStyle w:val="LV2NumberedList"/>
        <w:numPr>
          <w:ilvl w:val="0"/>
          <w:numId w:val="0"/>
        </w:numPr>
        <w:ind w:left="990" w:hanging="630"/>
      </w:pPr>
    </w:p>
    <w:p w14:paraId="67360567" w14:textId="77777777" w:rsidR="00666A37" w:rsidRDefault="00666A37" w:rsidP="00666A37">
      <w:pPr>
        <w:pStyle w:val="LV2NumberedList"/>
        <w:numPr>
          <w:ilvl w:val="0"/>
          <w:numId w:val="0"/>
        </w:numPr>
        <w:spacing w:after="0"/>
        <w:ind w:left="990" w:hanging="630"/>
      </w:pPr>
    </w:p>
    <w:p w14:paraId="1E1FE336" w14:textId="373D94D9" w:rsidR="00375F84" w:rsidRDefault="00375F84" w:rsidP="00EA5E61">
      <w:pPr>
        <w:pStyle w:val="Heading2"/>
      </w:pPr>
      <w:r>
        <w:t>3.4 Data Protection</w:t>
      </w:r>
    </w:p>
    <w:p w14:paraId="69283D58" w14:textId="77777777" w:rsidR="00D60D33" w:rsidRPr="00D60D33" w:rsidRDefault="00D60D33" w:rsidP="00D60D33">
      <w:pPr>
        <w:pStyle w:val="ListParagraph"/>
        <w:numPr>
          <w:ilvl w:val="1"/>
          <w:numId w:val="7"/>
        </w:numPr>
        <w:rPr>
          <w:vanish/>
        </w:rPr>
      </w:pPr>
    </w:p>
    <w:p w14:paraId="19BEBD98" w14:textId="78261CB5" w:rsidR="00375F84" w:rsidRDefault="00375F84" w:rsidP="00D60D33">
      <w:pPr>
        <w:pStyle w:val="LV2NumberedList"/>
      </w:pPr>
      <w:r>
        <w:t>Sensitive and confidential data will be protected through encryption, both in transit and at rest.</w:t>
      </w:r>
    </w:p>
    <w:p w14:paraId="4AD342E6" w14:textId="77777777" w:rsidR="00375F84" w:rsidRDefault="00375F84" w:rsidP="00D60D33">
      <w:pPr>
        <w:pStyle w:val="LV2NumberedList"/>
      </w:pPr>
      <w:r>
        <w:t>Data classification and handling procedures will be established to ensure proper protection based on data sensitivity.</w:t>
      </w:r>
    </w:p>
    <w:p w14:paraId="77752D27" w14:textId="77777777" w:rsidR="00375F84" w:rsidRDefault="00375F84" w:rsidP="00D60D33">
      <w:pPr>
        <w:pStyle w:val="LV2NumberedList"/>
      </w:pPr>
      <w:r>
        <w:t>Backup and recovery procedures will be implemented to ensure data availability in the event of a security incident or system failure.</w:t>
      </w:r>
    </w:p>
    <w:p w14:paraId="1C45A662" w14:textId="77777777" w:rsidR="00375F84" w:rsidRDefault="00375F84" w:rsidP="00EA5E61">
      <w:pPr>
        <w:pStyle w:val="Heading2"/>
      </w:pPr>
      <w:r>
        <w:t>3.5 Incident Response</w:t>
      </w:r>
    </w:p>
    <w:p w14:paraId="152DBD52" w14:textId="074EEE27" w:rsidR="00E20781" w:rsidRPr="00E20781" w:rsidRDefault="00E20781" w:rsidP="00E20781">
      <w:r w:rsidRPr="00E20781">
        <w:t>In the event of a security incident affecting critical infrastructure:</w:t>
      </w:r>
    </w:p>
    <w:p w14:paraId="390E5E4A" w14:textId="77777777" w:rsidR="00D60D33" w:rsidRPr="00D60D33" w:rsidRDefault="00D60D33" w:rsidP="00D60D33">
      <w:pPr>
        <w:pStyle w:val="ListParagraph"/>
        <w:numPr>
          <w:ilvl w:val="1"/>
          <w:numId w:val="7"/>
        </w:numPr>
        <w:rPr>
          <w:vanish/>
        </w:rPr>
      </w:pPr>
    </w:p>
    <w:p w14:paraId="6183B319" w14:textId="6E77BA79" w:rsidR="00880F41" w:rsidRDefault="0063008E" w:rsidP="00880F41">
      <w:pPr>
        <w:pStyle w:val="LV2NumberedList"/>
      </w:pPr>
      <w:r>
        <w:t xml:space="preserve">Report </w:t>
      </w:r>
      <w:r w:rsidR="00880F41">
        <w:t>the incident immediately to the Compliance &amp; IT Security Team</w:t>
      </w:r>
      <w:r w:rsidR="00880F41">
        <w:t>.</w:t>
      </w:r>
    </w:p>
    <w:p w14:paraId="147A9EA6" w14:textId="7B0FE7B7" w:rsidR="00880F41" w:rsidRDefault="00880F41" w:rsidP="00880F41">
      <w:pPr>
        <w:pStyle w:val="LV2NumberedList"/>
      </w:pPr>
      <w:r>
        <w:t>Activate the incident response plan as per CIP-008</w:t>
      </w:r>
      <w:r w:rsidR="005344A7">
        <w:t>-AB</w:t>
      </w:r>
      <w:r>
        <w:t xml:space="preserve"> guidelines</w:t>
      </w:r>
      <w:r>
        <w:t>.</w:t>
      </w:r>
    </w:p>
    <w:p w14:paraId="3F25149B" w14:textId="2DA6B8D3" w:rsidR="00880F41" w:rsidRDefault="00880F41" w:rsidP="00880F41">
      <w:pPr>
        <w:pStyle w:val="LV2NumberedList"/>
      </w:pPr>
      <w:r>
        <w:t xml:space="preserve">Investigate and document the incident following </w:t>
      </w:r>
      <w:r>
        <w:t>BU</w:t>
      </w:r>
      <w:r>
        <w:t>C’s Root Cause Analysis (RCA) process</w:t>
      </w:r>
      <w:r w:rsidR="0063008E">
        <w:t>.</w:t>
      </w:r>
    </w:p>
    <w:p w14:paraId="7F4AE2E8" w14:textId="0C945108" w:rsidR="00375F84" w:rsidRDefault="00880F41" w:rsidP="00880F41">
      <w:pPr>
        <w:pStyle w:val="LV2NumberedList"/>
      </w:pPr>
      <w:r>
        <w:t>Remediate vulnerabilities and update compliance records accordingly</w:t>
      </w:r>
      <w:r w:rsidR="00375F84">
        <w:t>.</w:t>
      </w:r>
    </w:p>
    <w:p w14:paraId="688DCB84" w14:textId="632629D4" w:rsidR="00375F84" w:rsidRDefault="00375F84" w:rsidP="00D60D33">
      <w:pPr>
        <w:pStyle w:val="LV2NumberedList"/>
      </w:pPr>
      <w:r>
        <w:t xml:space="preserve">All employees and stakeholders will be trained </w:t>
      </w:r>
      <w:r w:rsidR="0063008E">
        <w:t>on</w:t>
      </w:r>
      <w:r>
        <w:t xml:space="preserve"> their roles and responsibilities in the event of a security incident.</w:t>
      </w:r>
    </w:p>
    <w:p w14:paraId="0DCAE79F" w14:textId="77777777" w:rsidR="00375F84" w:rsidRDefault="00375F84" w:rsidP="00D60D33">
      <w:pPr>
        <w:pStyle w:val="LV2NumberedList"/>
      </w:pPr>
      <w:r>
        <w:t>Security incidents will be logged, investigated, and reported to the appropriate authorities as required.</w:t>
      </w:r>
    </w:p>
    <w:p w14:paraId="5EFA0BEA" w14:textId="77777777" w:rsidR="00375F84" w:rsidRDefault="00375F84" w:rsidP="00EA5E61">
      <w:pPr>
        <w:pStyle w:val="Heading2"/>
      </w:pPr>
      <w:r>
        <w:t>3.6 Training and Awareness</w:t>
      </w:r>
    </w:p>
    <w:p w14:paraId="1E48C89F" w14:textId="77777777" w:rsidR="00D60D33" w:rsidRPr="00D60D33" w:rsidRDefault="00D60D33" w:rsidP="00D60D33">
      <w:pPr>
        <w:pStyle w:val="ListParagraph"/>
        <w:numPr>
          <w:ilvl w:val="1"/>
          <w:numId w:val="7"/>
        </w:numPr>
        <w:rPr>
          <w:vanish/>
        </w:rPr>
      </w:pPr>
    </w:p>
    <w:p w14:paraId="72AC1A3B" w14:textId="77777777" w:rsidR="00A93171" w:rsidRDefault="00A93171" w:rsidP="00A93171">
      <w:pPr>
        <w:pStyle w:val="LV2NumberedList"/>
      </w:pPr>
      <w:r>
        <w:t>Annual ARS CIP training for all personnel handling CIP assets</w:t>
      </w:r>
    </w:p>
    <w:p w14:paraId="4F773687" w14:textId="77777777" w:rsidR="00A93171" w:rsidRDefault="00A93171" w:rsidP="00A93171">
      <w:pPr>
        <w:pStyle w:val="LV2NumberedList"/>
      </w:pPr>
      <w:r>
        <w:t>Quarterly awareness campaigns on compliance risks and best practices</w:t>
      </w:r>
    </w:p>
    <w:p w14:paraId="7C525E04" w14:textId="2B73C4DE" w:rsidR="00375F84" w:rsidRDefault="00A93171" w:rsidP="00A93171">
      <w:pPr>
        <w:pStyle w:val="LV2NumberedList"/>
      </w:pPr>
      <w:r>
        <w:t>Tabletop exercises and simulations for incident response preparedness</w:t>
      </w:r>
      <w:r w:rsidR="00375F84">
        <w:t>.</w:t>
      </w:r>
    </w:p>
    <w:p w14:paraId="238EB764" w14:textId="2E24429F" w:rsidR="000F38D7" w:rsidRDefault="00375F84" w:rsidP="000F38D7">
      <w:pPr>
        <w:pStyle w:val="LV2NumberedList"/>
      </w:pPr>
      <w:r>
        <w:t>Phishing simulations and other awareness activities will be carried out to reinforce security awareness.</w:t>
      </w:r>
    </w:p>
    <w:p w14:paraId="3506EB9E" w14:textId="0BDC755A" w:rsidR="00375F84" w:rsidRDefault="00375F84" w:rsidP="000F38D7">
      <w:pPr>
        <w:pStyle w:val="Heading1"/>
        <w:spacing w:after="0"/>
      </w:pPr>
      <w:r>
        <w:t>4. Compliance and Enforcement</w:t>
      </w:r>
    </w:p>
    <w:p w14:paraId="63FBE6C1" w14:textId="77777777" w:rsidR="006912AA" w:rsidRDefault="004E6277" w:rsidP="006912AA">
      <w:r>
        <w:t>F</w:t>
      </w:r>
      <w:r>
        <w:t>ailure to comply with this policy may result in:</w:t>
      </w:r>
    </w:p>
    <w:p w14:paraId="56FE4CCC" w14:textId="77777777" w:rsidR="006912AA" w:rsidRPr="006912AA" w:rsidRDefault="006912AA" w:rsidP="006912AA">
      <w:pPr>
        <w:pStyle w:val="ListParagraph"/>
        <w:numPr>
          <w:ilvl w:val="0"/>
          <w:numId w:val="7"/>
        </w:numPr>
        <w:rPr>
          <w:vanish/>
        </w:rPr>
      </w:pPr>
    </w:p>
    <w:p w14:paraId="2D3134D8" w14:textId="77777777" w:rsidR="006912AA" w:rsidRPr="006912AA" w:rsidRDefault="006912AA" w:rsidP="006912AA">
      <w:pPr>
        <w:pStyle w:val="ListParagraph"/>
        <w:numPr>
          <w:ilvl w:val="1"/>
          <w:numId w:val="7"/>
        </w:numPr>
        <w:rPr>
          <w:vanish/>
        </w:rPr>
      </w:pPr>
    </w:p>
    <w:p w14:paraId="3A3C4B21" w14:textId="74D5126F" w:rsidR="006912AA" w:rsidRDefault="006912AA" w:rsidP="006912AA">
      <w:pPr>
        <w:pStyle w:val="LV2NumberedList"/>
      </w:pPr>
      <w:r>
        <w:t>Corrective actions, including mandatory retraining</w:t>
      </w:r>
    </w:p>
    <w:p w14:paraId="361B04AF" w14:textId="64C858E7" w:rsidR="006912AA" w:rsidRDefault="006912AA" w:rsidP="006912AA">
      <w:pPr>
        <w:pStyle w:val="LV2NumberedList"/>
      </w:pPr>
      <w:r>
        <w:t>Internal disciplinary actions, depending on the severity of non-</w:t>
      </w:r>
      <w:r>
        <w:t>compliance</w:t>
      </w:r>
    </w:p>
    <w:p w14:paraId="1CF2B168" w14:textId="458F834B" w:rsidR="004E6277" w:rsidRDefault="006912AA" w:rsidP="006912AA">
      <w:pPr>
        <w:pStyle w:val="LV2NumberedList"/>
      </w:pPr>
      <w:r>
        <w:t>Regulatory fines or penalties, if violations lead to external compliance breaches</w:t>
      </w:r>
    </w:p>
    <w:p w14:paraId="74D03381" w14:textId="78382E50" w:rsidR="00375F84" w:rsidRDefault="00375F84" w:rsidP="00D60D33">
      <w:r>
        <w:t xml:space="preserve">The CIO will ensure that this policy is reviewed and updated regularly to reflect changes in the </w:t>
      </w:r>
      <w:r w:rsidR="003533D4">
        <w:t xml:space="preserve">CIP </w:t>
      </w:r>
      <w:r>
        <w:t>cybersecurity landscape and business requirements.</w:t>
      </w:r>
    </w:p>
    <w:p w14:paraId="5A2C999E" w14:textId="77777777" w:rsidR="003533D4" w:rsidRDefault="003533D4" w:rsidP="00D60D33"/>
    <w:p w14:paraId="5947C409" w14:textId="77777777" w:rsidR="003533D4" w:rsidRDefault="003533D4" w:rsidP="00EA5E61">
      <w:pPr>
        <w:pStyle w:val="Heading1"/>
      </w:pPr>
    </w:p>
    <w:p w14:paraId="3A27058B" w14:textId="38380C97" w:rsidR="00375F84" w:rsidRDefault="00375F84" w:rsidP="003533D4">
      <w:pPr>
        <w:pStyle w:val="Heading1"/>
        <w:spacing w:before="0"/>
      </w:pPr>
      <w:r>
        <w:t>5. Policy Review</w:t>
      </w:r>
    </w:p>
    <w:p w14:paraId="6B4D3666" w14:textId="30DF4935" w:rsidR="007A631A" w:rsidRDefault="00356F45" w:rsidP="007A631A">
      <w:r w:rsidRPr="00356F45">
        <w:t xml:space="preserve">This policy is subject to review annually or in response to significant regulatory changes. The Compliance Team is responsible for ensuring the policy remains aligned with NERC CIP and </w:t>
      </w:r>
      <w:r w:rsidR="00411A3A">
        <w:t>BUC</w:t>
      </w:r>
      <w:r w:rsidRPr="00356F45">
        <w:t>’s risk management strategy</w:t>
      </w:r>
      <w:r>
        <w:t>.</w:t>
      </w:r>
    </w:p>
    <w:p w14:paraId="13DBA349" w14:textId="315504A2" w:rsidR="006A7437" w:rsidRDefault="007A631A" w:rsidP="00C733AE">
      <w:pPr>
        <w:pStyle w:val="Heading1"/>
        <w:numPr>
          <w:ilvl w:val="0"/>
          <w:numId w:val="11"/>
        </w:numPr>
      </w:pPr>
      <w: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475"/>
      </w:tblGrid>
      <w:tr w:rsidR="002C2C56" w14:paraId="319267E2" w14:textId="77777777" w:rsidTr="00F34AD6">
        <w:tc>
          <w:tcPr>
            <w:tcW w:w="2695" w:type="dxa"/>
          </w:tcPr>
          <w:p w14:paraId="1C56707A" w14:textId="38DF4687" w:rsidR="002C2C56" w:rsidRPr="002C2C56" w:rsidRDefault="002C2C56" w:rsidP="00C733AE">
            <w:pPr>
              <w:rPr>
                <w:b/>
                <w:bCs/>
              </w:rPr>
            </w:pPr>
            <w:r w:rsidRPr="002C2C56">
              <w:rPr>
                <w:b/>
                <w:bCs/>
              </w:rPr>
              <w:t xml:space="preserve">Role </w:t>
            </w:r>
          </w:p>
        </w:tc>
        <w:tc>
          <w:tcPr>
            <w:tcW w:w="6475" w:type="dxa"/>
          </w:tcPr>
          <w:p w14:paraId="3B25BB62" w14:textId="57985B6F" w:rsidR="002C2C56" w:rsidRPr="002C2C56" w:rsidRDefault="002C2C56" w:rsidP="00C733AE">
            <w:pPr>
              <w:rPr>
                <w:b/>
                <w:bCs/>
              </w:rPr>
            </w:pPr>
            <w:r w:rsidRPr="002C2C56">
              <w:rPr>
                <w:b/>
                <w:bCs/>
              </w:rPr>
              <w:t>Responsibility</w:t>
            </w:r>
          </w:p>
        </w:tc>
      </w:tr>
      <w:tr w:rsidR="002C2C56" w14:paraId="7463A0FE" w14:textId="77777777" w:rsidTr="00F34AD6">
        <w:tc>
          <w:tcPr>
            <w:tcW w:w="2695" w:type="dxa"/>
          </w:tcPr>
          <w:p w14:paraId="58A8154D" w14:textId="4605903D" w:rsidR="002C2C56" w:rsidRDefault="00795D79" w:rsidP="00C733AE">
            <w:r>
              <w:t>C</w:t>
            </w:r>
            <w:r w:rsidRPr="00795D79">
              <w:t>ompliance Team</w:t>
            </w:r>
            <w:r w:rsidRPr="00795D79">
              <w:tab/>
            </w:r>
          </w:p>
        </w:tc>
        <w:tc>
          <w:tcPr>
            <w:tcW w:w="6475" w:type="dxa"/>
          </w:tcPr>
          <w:p w14:paraId="434620C3" w14:textId="613F1B84" w:rsidR="002C2C56" w:rsidRDefault="00795D79" w:rsidP="00F34AD6">
            <w:pPr>
              <w:jc w:val="both"/>
            </w:pPr>
            <w:r w:rsidRPr="00795D79">
              <w:t>Maintain policies, conduct risk assessments, and manage audits</w:t>
            </w:r>
          </w:p>
        </w:tc>
      </w:tr>
      <w:tr w:rsidR="002C2C56" w14:paraId="62CD78E3" w14:textId="77777777" w:rsidTr="00F34AD6">
        <w:tc>
          <w:tcPr>
            <w:tcW w:w="2695" w:type="dxa"/>
          </w:tcPr>
          <w:p w14:paraId="2D242D68" w14:textId="2F444EAC" w:rsidR="002C2C56" w:rsidRDefault="00F34AD6" w:rsidP="00C733AE">
            <w:r w:rsidRPr="00F34AD6">
              <w:t>IT Security</w:t>
            </w:r>
            <w:r w:rsidRPr="00F34AD6">
              <w:tab/>
            </w:r>
          </w:p>
        </w:tc>
        <w:tc>
          <w:tcPr>
            <w:tcW w:w="6475" w:type="dxa"/>
          </w:tcPr>
          <w:p w14:paraId="5FEEAF71" w14:textId="04811666" w:rsidR="002C2C56" w:rsidRDefault="00F34AD6" w:rsidP="00F34AD6">
            <w:pPr>
              <w:jc w:val="both"/>
            </w:pPr>
            <w:r w:rsidRPr="00F34AD6">
              <w:t>Implement security controls for infrastructure protection.</w:t>
            </w:r>
          </w:p>
        </w:tc>
      </w:tr>
      <w:tr w:rsidR="002C2C56" w14:paraId="1D436587" w14:textId="77777777" w:rsidTr="00F34AD6">
        <w:tc>
          <w:tcPr>
            <w:tcW w:w="2695" w:type="dxa"/>
          </w:tcPr>
          <w:p w14:paraId="7FA37973" w14:textId="23AC8398" w:rsidR="002C2C56" w:rsidRDefault="00C4745B" w:rsidP="00C733AE">
            <w:r w:rsidRPr="00C4745B">
              <w:t>Risk Management</w:t>
            </w:r>
            <w:r w:rsidRPr="00C4745B">
              <w:tab/>
            </w:r>
          </w:p>
        </w:tc>
        <w:tc>
          <w:tcPr>
            <w:tcW w:w="6475" w:type="dxa"/>
          </w:tcPr>
          <w:p w14:paraId="3D771A94" w14:textId="56B4B300" w:rsidR="002C2C56" w:rsidRDefault="00C4745B" w:rsidP="00C733AE">
            <w:r w:rsidRPr="00C4745B">
              <w:t>Identify, assess, and mitigate compliance risks.</w:t>
            </w:r>
          </w:p>
        </w:tc>
      </w:tr>
      <w:tr w:rsidR="002C2C56" w14:paraId="2A5CBD4A" w14:textId="77777777" w:rsidTr="00F34AD6">
        <w:tc>
          <w:tcPr>
            <w:tcW w:w="2695" w:type="dxa"/>
          </w:tcPr>
          <w:p w14:paraId="3D9AA3A4" w14:textId="03E7CA0E" w:rsidR="002C2C56" w:rsidRDefault="00411A3A" w:rsidP="00C733AE">
            <w:r w:rsidRPr="00411A3A">
              <w:t>Audit Team</w:t>
            </w:r>
            <w:r w:rsidRPr="00411A3A">
              <w:tab/>
            </w:r>
          </w:p>
        </w:tc>
        <w:tc>
          <w:tcPr>
            <w:tcW w:w="6475" w:type="dxa"/>
          </w:tcPr>
          <w:p w14:paraId="70849BDF" w14:textId="0CA6967A" w:rsidR="002C2C56" w:rsidRDefault="00411A3A" w:rsidP="00C733AE">
            <w:r w:rsidRPr="00411A3A">
              <w:t xml:space="preserve">Ensure adherence to </w:t>
            </w:r>
            <w:r>
              <w:t>ARS</w:t>
            </w:r>
            <w:r w:rsidRPr="00411A3A">
              <w:t xml:space="preserve"> CIP and other regulatory requirements.</w:t>
            </w:r>
          </w:p>
        </w:tc>
      </w:tr>
      <w:tr w:rsidR="002C2C56" w14:paraId="3205AEFD" w14:textId="77777777" w:rsidTr="00F34AD6">
        <w:tc>
          <w:tcPr>
            <w:tcW w:w="2695" w:type="dxa"/>
          </w:tcPr>
          <w:p w14:paraId="42D67C5A" w14:textId="1F5A686F" w:rsidR="002C2C56" w:rsidRDefault="00411A3A" w:rsidP="00C733AE">
            <w:r w:rsidRPr="00411A3A">
              <w:t>Business Units</w:t>
            </w:r>
            <w:r w:rsidRPr="00411A3A">
              <w:tab/>
            </w:r>
          </w:p>
        </w:tc>
        <w:tc>
          <w:tcPr>
            <w:tcW w:w="6475" w:type="dxa"/>
          </w:tcPr>
          <w:p w14:paraId="396D5293" w14:textId="1EDC4646" w:rsidR="002C2C56" w:rsidRDefault="00411A3A" w:rsidP="00C733AE">
            <w:r w:rsidRPr="00411A3A">
              <w:t>Follow compliance policies and report security concerns.</w:t>
            </w:r>
          </w:p>
        </w:tc>
      </w:tr>
    </w:tbl>
    <w:p w14:paraId="495E6E58" w14:textId="77777777" w:rsidR="00C733AE" w:rsidRDefault="00C733AE" w:rsidP="00C733AE"/>
    <w:p w14:paraId="78FDF4B5" w14:textId="77777777" w:rsidR="00411A3A" w:rsidRDefault="00411A3A" w:rsidP="00C733AE"/>
    <w:p w14:paraId="75BF218F" w14:textId="77777777" w:rsidR="00411A3A" w:rsidRDefault="00411A3A" w:rsidP="00C733AE"/>
    <w:p w14:paraId="0D8BC08A" w14:textId="77777777" w:rsidR="00221ED3" w:rsidRDefault="00221ED3" w:rsidP="00221ED3">
      <w:pPr>
        <w:spacing w:after="0"/>
        <w:rPr>
          <w:sz w:val="20"/>
          <w:szCs w:val="20"/>
        </w:rPr>
      </w:pPr>
    </w:p>
    <w:p w14:paraId="78A5E08A" w14:textId="77777777" w:rsidR="00221ED3" w:rsidRDefault="00221ED3" w:rsidP="00221ED3">
      <w:pPr>
        <w:spacing w:after="0"/>
        <w:rPr>
          <w:sz w:val="20"/>
          <w:szCs w:val="20"/>
        </w:rPr>
      </w:pPr>
    </w:p>
    <w:p w14:paraId="485C18AE" w14:textId="77777777" w:rsidR="00221ED3" w:rsidRDefault="00221ED3" w:rsidP="00221ED3">
      <w:pPr>
        <w:spacing w:after="0"/>
        <w:rPr>
          <w:sz w:val="20"/>
          <w:szCs w:val="20"/>
        </w:rPr>
      </w:pPr>
    </w:p>
    <w:p w14:paraId="747EDFDE" w14:textId="77777777" w:rsidR="00221ED3" w:rsidRDefault="00221ED3" w:rsidP="00221ED3">
      <w:pPr>
        <w:spacing w:after="0"/>
        <w:rPr>
          <w:sz w:val="20"/>
          <w:szCs w:val="20"/>
        </w:rPr>
      </w:pPr>
    </w:p>
    <w:p w14:paraId="5A8B3C6E" w14:textId="77777777" w:rsidR="00221ED3" w:rsidRDefault="00221ED3" w:rsidP="00221ED3">
      <w:pPr>
        <w:spacing w:after="0"/>
        <w:rPr>
          <w:sz w:val="20"/>
          <w:szCs w:val="20"/>
        </w:rPr>
      </w:pPr>
    </w:p>
    <w:p w14:paraId="7674229D" w14:textId="77777777" w:rsidR="00221ED3" w:rsidRDefault="00221ED3" w:rsidP="00221ED3">
      <w:pPr>
        <w:spacing w:after="0"/>
        <w:rPr>
          <w:sz w:val="20"/>
          <w:szCs w:val="20"/>
        </w:rPr>
      </w:pPr>
    </w:p>
    <w:p w14:paraId="00FE03B4" w14:textId="77777777" w:rsidR="00221ED3" w:rsidRDefault="00221ED3" w:rsidP="00221ED3">
      <w:pPr>
        <w:spacing w:after="0"/>
        <w:rPr>
          <w:sz w:val="20"/>
          <w:szCs w:val="20"/>
        </w:rPr>
      </w:pPr>
    </w:p>
    <w:p w14:paraId="6B30F184" w14:textId="77777777" w:rsidR="00221ED3" w:rsidRDefault="00221ED3" w:rsidP="00221ED3">
      <w:pPr>
        <w:spacing w:after="0"/>
        <w:rPr>
          <w:sz w:val="20"/>
          <w:szCs w:val="20"/>
        </w:rPr>
      </w:pPr>
    </w:p>
    <w:p w14:paraId="696116B7" w14:textId="77777777" w:rsidR="00221ED3" w:rsidRDefault="00221ED3" w:rsidP="00221ED3">
      <w:pPr>
        <w:spacing w:after="0"/>
        <w:rPr>
          <w:sz w:val="20"/>
          <w:szCs w:val="20"/>
        </w:rPr>
      </w:pPr>
    </w:p>
    <w:p w14:paraId="4A73CE7C" w14:textId="77777777" w:rsidR="00221ED3" w:rsidRDefault="00221ED3" w:rsidP="00221ED3">
      <w:pPr>
        <w:spacing w:after="0"/>
        <w:rPr>
          <w:sz w:val="20"/>
          <w:szCs w:val="20"/>
        </w:rPr>
      </w:pPr>
    </w:p>
    <w:p w14:paraId="439D84E8" w14:textId="77777777" w:rsidR="00221ED3" w:rsidRDefault="00221ED3" w:rsidP="00221ED3">
      <w:pPr>
        <w:spacing w:after="0"/>
        <w:rPr>
          <w:sz w:val="20"/>
          <w:szCs w:val="20"/>
        </w:rPr>
      </w:pPr>
    </w:p>
    <w:p w14:paraId="6B3D120F" w14:textId="77777777" w:rsidR="00221ED3" w:rsidRDefault="00221ED3" w:rsidP="00221ED3">
      <w:pPr>
        <w:spacing w:after="0"/>
        <w:rPr>
          <w:sz w:val="20"/>
          <w:szCs w:val="20"/>
        </w:rPr>
      </w:pPr>
    </w:p>
    <w:p w14:paraId="682D5586" w14:textId="77777777" w:rsidR="00221ED3" w:rsidRDefault="00221ED3" w:rsidP="00221ED3">
      <w:pPr>
        <w:spacing w:after="0"/>
        <w:rPr>
          <w:sz w:val="20"/>
          <w:szCs w:val="20"/>
        </w:rPr>
      </w:pPr>
    </w:p>
    <w:p w14:paraId="08340DF3" w14:textId="77777777" w:rsidR="00221ED3" w:rsidRDefault="00221ED3" w:rsidP="00221ED3">
      <w:pPr>
        <w:spacing w:after="0"/>
        <w:rPr>
          <w:sz w:val="20"/>
          <w:szCs w:val="20"/>
        </w:rPr>
      </w:pPr>
    </w:p>
    <w:p w14:paraId="569E691B" w14:textId="77777777" w:rsidR="00221ED3" w:rsidRDefault="00221ED3" w:rsidP="00221ED3">
      <w:pPr>
        <w:spacing w:after="0"/>
        <w:rPr>
          <w:sz w:val="20"/>
          <w:szCs w:val="20"/>
        </w:rPr>
      </w:pPr>
    </w:p>
    <w:p w14:paraId="3F79F07C" w14:textId="77777777" w:rsidR="00221ED3" w:rsidRDefault="00221ED3" w:rsidP="00221ED3">
      <w:pPr>
        <w:spacing w:after="0"/>
        <w:rPr>
          <w:sz w:val="20"/>
          <w:szCs w:val="20"/>
        </w:rPr>
      </w:pPr>
    </w:p>
    <w:p w14:paraId="0D5C9652" w14:textId="77777777" w:rsidR="00221ED3" w:rsidRDefault="00221ED3" w:rsidP="00221ED3">
      <w:pPr>
        <w:spacing w:after="0"/>
        <w:rPr>
          <w:sz w:val="20"/>
          <w:szCs w:val="20"/>
        </w:rPr>
      </w:pPr>
    </w:p>
    <w:p w14:paraId="6C0BC728" w14:textId="77777777" w:rsidR="00221ED3" w:rsidRDefault="00221ED3" w:rsidP="00221ED3">
      <w:pPr>
        <w:spacing w:after="0"/>
        <w:rPr>
          <w:sz w:val="20"/>
          <w:szCs w:val="20"/>
        </w:rPr>
      </w:pPr>
    </w:p>
    <w:p w14:paraId="3E767E70" w14:textId="483B2FD0" w:rsidR="00411A3A" w:rsidRPr="00D13169" w:rsidRDefault="00FA227C" w:rsidP="00221ED3">
      <w:pPr>
        <w:spacing w:after="0"/>
        <w:rPr>
          <w:sz w:val="20"/>
          <w:szCs w:val="20"/>
        </w:rPr>
      </w:pPr>
      <w:r w:rsidRPr="00D13169">
        <w:rPr>
          <w:sz w:val="20"/>
          <w:szCs w:val="20"/>
        </w:rPr>
        <w:t xml:space="preserve">Next Review Date: </w:t>
      </w:r>
      <w:r w:rsidRPr="00D13169">
        <w:rPr>
          <w:sz w:val="20"/>
          <w:szCs w:val="20"/>
        </w:rPr>
        <w:t>31</w:t>
      </w:r>
      <w:r w:rsidR="00A501BB" w:rsidRPr="00D13169">
        <w:rPr>
          <w:sz w:val="20"/>
          <w:szCs w:val="20"/>
        </w:rPr>
        <w:t>/12/2025</w:t>
      </w:r>
    </w:p>
    <w:p w14:paraId="2F419172" w14:textId="5A036C1D" w:rsidR="00A501BB" w:rsidRPr="00D13169" w:rsidRDefault="00A501BB" w:rsidP="00221ED3">
      <w:pPr>
        <w:spacing w:after="0"/>
        <w:rPr>
          <w:sz w:val="20"/>
          <w:szCs w:val="20"/>
        </w:rPr>
      </w:pPr>
      <w:r w:rsidRPr="00D13169">
        <w:rPr>
          <w:sz w:val="20"/>
          <w:szCs w:val="20"/>
        </w:rPr>
        <w:t xml:space="preserve">Approved by: </w:t>
      </w:r>
    </w:p>
    <w:p w14:paraId="1EC08219" w14:textId="7F1F80A6" w:rsidR="008E2C29" w:rsidRPr="00D13169" w:rsidRDefault="008E2C29" w:rsidP="00221ED3">
      <w:pPr>
        <w:spacing w:after="0"/>
        <w:rPr>
          <w:sz w:val="20"/>
          <w:szCs w:val="20"/>
        </w:rPr>
      </w:pPr>
      <w:r w:rsidRPr="00D13169">
        <w:rPr>
          <w:sz w:val="20"/>
          <w:szCs w:val="20"/>
        </w:rPr>
        <w:t>Chief Information Officer (CIO)</w:t>
      </w:r>
    </w:p>
    <w:p w14:paraId="26A660D6" w14:textId="5456A338" w:rsidR="008E2C29" w:rsidRPr="00D13169" w:rsidRDefault="008E2C29" w:rsidP="00221ED3">
      <w:pPr>
        <w:spacing w:after="0"/>
        <w:rPr>
          <w:sz w:val="20"/>
          <w:szCs w:val="20"/>
        </w:rPr>
      </w:pPr>
      <w:r w:rsidRPr="00D13169">
        <w:rPr>
          <w:sz w:val="20"/>
          <w:szCs w:val="20"/>
        </w:rPr>
        <w:t xml:space="preserve">Date: </w:t>
      </w:r>
      <w:r w:rsidR="00D13169" w:rsidRPr="00D13169">
        <w:rPr>
          <w:sz w:val="20"/>
          <w:szCs w:val="20"/>
        </w:rPr>
        <w:t>31/01/2025</w:t>
      </w:r>
    </w:p>
    <w:sectPr w:rsidR="008E2C29" w:rsidRPr="00D13169" w:rsidSect="00D45C18">
      <w:headerReference w:type="default" r:id="rId8"/>
      <w:footerReference w:type="default" r:id="rId9"/>
      <w:pgSz w:w="12240" w:h="15840"/>
      <w:pgMar w:top="1440" w:right="1440" w:bottom="1440" w:left="1440" w:header="115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6EF29" w14:textId="77777777" w:rsidR="00534122" w:rsidRDefault="00534122" w:rsidP="00AA33BE">
      <w:pPr>
        <w:spacing w:after="0" w:line="240" w:lineRule="auto"/>
      </w:pPr>
      <w:r>
        <w:separator/>
      </w:r>
    </w:p>
  </w:endnote>
  <w:endnote w:type="continuationSeparator" w:id="0">
    <w:p w14:paraId="306639C5" w14:textId="77777777" w:rsidR="00534122" w:rsidRDefault="00534122" w:rsidP="00AA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8EF90" w14:textId="53E7FB10" w:rsidR="008872ED" w:rsidRPr="00232319" w:rsidRDefault="004A6B73" w:rsidP="00232319">
    <w:pPr>
      <w:pStyle w:val="Footer"/>
      <w:pBdr>
        <w:top w:val="single" w:sz="4" w:space="8" w:color="auto"/>
      </w:pBdr>
      <w:rPr>
        <w:sz w:val="18"/>
        <w:szCs w:val="18"/>
      </w:rPr>
    </w:pPr>
    <w:r>
      <w:rPr>
        <w:sz w:val="18"/>
        <w:szCs w:val="18"/>
      </w:rPr>
      <w:t xml:space="preserve">ARS CIP </w:t>
    </w:r>
    <w:r w:rsidR="00232319" w:rsidRPr="00232319">
      <w:rPr>
        <w:sz w:val="18"/>
        <w:szCs w:val="18"/>
      </w:rPr>
      <w:t>Cybersecurity-001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F2B14" w14:textId="77777777" w:rsidR="00534122" w:rsidRDefault="00534122" w:rsidP="00AA33BE">
      <w:pPr>
        <w:spacing w:after="0" w:line="240" w:lineRule="auto"/>
      </w:pPr>
      <w:r>
        <w:separator/>
      </w:r>
    </w:p>
  </w:footnote>
  <w:footnote w:type="continuationSeparator" w:id="0">
    <w:p w14:paraId="2214E585" w14:textId="77777777" w:rsidR="00534122" w:rsidRDefault="00534122" w:rsidP="00AA3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B2903" w14:textId="5C607054" w:rsidR="00944C25" w:rsidRPr="00D916EC" w:rsidRDefault="00944C25" w:rsidP="006D6EC1">
    <w:pPr>
      <w:pStyle w:val="Header"/>
      <w:pBdr>
        <w:bottom w:val="single" w:sz="4" w:space="0" w:color="auto"/>
      </w:pBdr>
      <w:ind w:left="-450" w:firstLine="2610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AE2CF44" wp14:editId="2937C7C7">
          <wp:simplePos x="0" y="0"/>
          <wp:positionH relativeFrom="column">
            <wp:posOffset>-253365</wp:posOffset>
          </wp:positionH>
          <wp:positionV relativeFrom="paragraph">
            <wp:posOffset>-398780</wp:posOffset>
          </wp:positionV>
          <wp:extent cx="448310" cy="448310"/>
          <wp:effectExtent l="0" t="0" r="8890" b="8890"/>
          <wp:wrapTopAndBottom/>
          <wp:docPr id="7249820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498202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10" cy="448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</w:t>
    </w:r>
    <w:r w:rsidR="007761F0">
      <w:t xml:space="preserve"> </w:t>
    </w:r>
    <w:r w:rsidR="00652F7A">
      <w:t xml:space="preserve">                         </w:t>
    </w:r>
    <w:r w:rsidR="00C465BF">
      <w:t>Bright</w:t>
    </w:r>
    <w:r w:rsidR="000B37AB">
      <w:t xml:space="preserve"> Utility Company</w:t>
    </w:r>
    <w:r w:rsidR="00C465BF">
      <w:t xml:space="preserve"> ARS-</w:t>
    </w:r>
    <w:r w:rsidR="000B37AB">
      <w:rPr>
        <w:sz w:val="20"/>
        <w:szCs w:val="20"/>
      </w:rPr>
      <w:t>CIP</w:t>
    </w:r>
    <w:r w:rsidR="005C4481" w:rsidRPr="00D916EC">
      <w:rPr>
        <w:sz w:val="20"/>
        <w:szCs w:val="20"/>
      </w:rPr>
      <w:t xml:space="preserve"> </w:t>
    </w:r>
    <w:r w:rsidRPr="00D916EC">
      <w:rPr>
        <w:sz w:val="20"/>
        <w:szCs w:val="20"/>
      </w:rPr>
      <w:t>Cybersecurity Po</w:t>
    </w:r>
    <w:r w:rsidR="005C4481" w:rsidRPr="00D916EC">
      <w:rPr>
        <w:sz w:val="20"/>
        <w:szCs w:val="20"/>
      </w:rPr>
      <w:t>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800FA"/>
    <w:multiLevelType w:val="multilevel"/>
    <w:tmpl w:val="3B580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V2NumberedList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3B154D6"/>
    <w:multiLevelType w:val="hybridMultilevel"/>
    <w:tmpl w:val="924CDC40"/>
    <w:lvl w:ilvl="0" w:tplc="0409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381D5C68"/>
    <w:multiLevelType w:val="hybridMultilevel"/>
    <w:tmpl w:val="2BB0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D07CE"/>
    <w:multiLevelType w:val="multilevel"/>
    <w:tmpl w:val="1D84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E2D64"/>
    <w:multiLevelType w:val="hybridMultilevel"/>
    <w:tmpl w:val="0454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6084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62FD5756"/>
    <w:multiLevelType w:val="hybridMultilevel"/>
    <w:tmpl w:val="A352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C45B1"/>
    <w:multiLevelType w:val="hybridMultilevel"/>
    <w:tmpl w:val="2936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33556">
    <w:abstractNumId w:val="4"/>
  </w:num>
  <w:num w:numId="2" w16cid:durableId="842403309">
    <w:abstractNumId w:val="3"/>
  </w:num>
  <w:num w:numId="3" w16cid:durableId="1721400245">
    <w:abstractNumId w:val="1"/>
  </w:num>
  <w:num w:numId="4" w16cid:durableId="86460094">
    <w:abstractNumId w:val="2"/>
  </w:num>
  <w:num w:numId="5" w16cid:durableId="508177305">
    <w:abstractNumId w:val="5"/>
  </w:num>
  <w:num w:numId="6" w16cid:durableId="1773864775">
    <w:abstractNumId w:val="6"/>
  </w:num>
  <w:num w:numId="7" w16cid:durableId="1642299117">
    <w:abstractNumId w:val="0"/>
  </w:num>
  <w:num w:numId="8" w16cid:durableId="3077572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1115417">
    <w:abstractNumId w:val="7"/>
  </w:num>
  <w:num w:numId="10" w16cid:durableId="1304846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965057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52"/>
    <w:rsid w:val="00004EF8"/>
    <w:rsid w:val="00034069"/>
    <w:rsid w:val="00036812"/>
    <w:rsid w:val="00086468"/>
    <w:rsid w:val="000A4D13"/>
    <w:rsid w:val="000B37AB"/>
    <w:rsid w:val="000E00DD"/>
    <w:rsid w:val="000F38D7"/>
    <w:rsid w:val="001338EA"/>
    <w:rsid w:val="001E2184"/>
    <w:rsid w:val="001E2EF3"/>
    <w:rsid w:val="00202198"/>
    <w:rsid w:val="00221ED3"/>
    <w:rsid w:val="00232319"/>
    <w:rsid w:val="00275CD7"/>
    <w:rsid w:val="00281CCA"/>
    <w:rsid w:val="00296751"/>
    <w:rsid w:val="002B273D"/>
    <w:rsid w:val="002B769B"/>
    <w:rsid w:val="002C2C56"/>
    <w:rsid w:val="002E3B88"/>
    <w:rsid w:val="002F308A"/>
    <w:rsid w:val="003533D4"/>
    <w:rsid w:val="00356F45"/>
    <w:rsid w:val="003647B0"/>
    <w:rsid w:val="00375F84"/>
    <w:rsid w:val="00411A3A"/>
    <w:rsid w:val="0041619A"/>
    <w:rsid w:val="004268A4"/>
    <w:rsid w:val="00483166"/>
    <w:rsid w:val="004A6B73"/>
    <w:rsid w:val="004C7758"/>
    <w:rsid w:val="004E35EA"/>
    <w:rsid w:val="004E6277"/>
    <w:rsid w:val="004F5360"/>
    <w:rsid w:val="00534122"/>
    <w:rsid w:val="005344A7"/>
    <w:rsid w:val="00570BFC"/>
    <w:rsid w:val="00583E7C"/>
    <w:rsid w:val="00595B40"/>
    <w:rsid w:val="005C4481"/>
    <w:rsid w:val="005D478E"/>
    <w:rsid w:val="00601493"/>
    <w:rsid w:val="00607CF1"/>
    <w:rsid w:val="0063008E"/>
    <w:rsid w:val="00644AE7"/>
    <w:rsid w:val="00652F7A"/>
    <w:rsid w:val="00654F65"/>
    <w:rsid w:val="00657753"/>
    <w:rsid w:val="00662DAF"/>
    <w:rsid w:val="00666A37"/>
    <w:rsid w:val="006912AA"/>
    <w:rsid w:val="006A7437"/>
    <w:rsid w:val="006B4160"/>
    <w:rsid w:val="006D6EC1"/>
    <w:rsid w:val="006E1AFD"/>
    <w:rsid w:val="00704E7F"/>
    <w:rsid w:val="007126CB"/>
    <w:rsid w:val="00736CC5"/>
    <w:rsid w:val="007466E9"/>
    <w:rsid w:val="00750952"/>
    <w:rsid w:val="00760849"/>
    <w:rsid w:val="007761F0"/>
    <w:rsid w:val="00781CEB"/>
    <w:rsid w:val="00795D79"/>
    <w:rsid w:val="007A631A"/>
    <w:rsid w:val="007C665A"/>
    <w:rsid w:val="007E54B2"/>
    <w:rsid w:val="007E6942"/>
    <w:rsid w:val="00820E9F"/>
    <w:rsid w:val="00852E4A"/>
    <w:rsid w:val="0085433D"/>
    <w:rsid w:val="00880F41"/>
    <w:rsid w:val="008831BC"/>
    <w:rsid w:val="008872ED"/>
    <w:rsid w:val="00893CA1"/>
    <w:rsid w:val="008C0A01"/>
    <w:rsid w:val="008E2C29"/>
    <w:rsid w:val="008E7953"/>
    <w:rsid w:val="00944C25"/>
    <w:rsid w:val="0095438F"/>
    <w:rsid w:val="009C4690"/>
    <w:rsid w:val="009D067A"/>
    <w:rsid w:val="009D0E59"/>
    <w:rsid w:val="009E1D1F"/>
    <w:rsid w:val="009E7D3B"/>
    <w:rsid w:val="00A326C1"/>
    <w:rsid w:val="00A501BB"/>
    <w:rsid w:val="00A540B5"/>
    <w:rsid w:val="00A93171"/>
    <w:rsid w:val="00AA33BE"/>
    <w:rsid w:val="00AB3442"/>
    <w:rsid w:val="00AC2063"/>
    <w:rsid w:val="00AC51C2"/>
    <w:rsid w:val="00AD23C4"/>
    <w:rsid w:val="00AD307A"/>
    <w:rsid w:val="00AE495D"/>
    <w:rsid w:val="00B2333C"/>
    <w:rsid w:val="00B310FB"/>
    <w:rsid w:val="00B6745D"/>
    <w:rsid w:val="00B72A10"/>
    <w:rsid w:val="00B8006B"/>
    <w:rsid w:val="00B84186"/>
    <w:rsid w:val="00B966A8"/>
    <w:rsid w:val="00C465BF"/>
    <w:rsid w:val="00C4745B"/>
    <w:rsid w:val="00C733AE"/>
    <w:rsid w:val="00C958A0"/>
    <w:rsid w:val="00CC299E"/>
    <w:rsid w:val="00CC7F3D"/>
    <w:rsid w:val="00D13169"/>
    <w:rsid w:val="00D336B9"/>
    <w:rsid w:val="00D45C18"/>
    <w:rsid w:val="00D579E7"/>
    <w:rsid w:val="00D6058B"/>
    <w:rsid w:val="00D60D33"/>
    <w:rsid w:val="00D916EC"/>
    <w:rsid w:val="00E15BB2"/>
    <w:rsid w:val="00E20781"/>
    <w:rsid w:val="00E24718"/>
    <w:rsid w:val="00E34B40"/>
    <w:rsid w:val="00E35D9F"/>
    <w:rsid w:val="00E368B6"/>
    <w:rsid w:val="00E86FCB"/>
    <w:rsid w:val="00EA5E61"/>
    <w:rsid w:val="00EB6EFE"/>
    <w:rsid w:val="00EC4304"/>
    <w:rsid w:val="00ED268A"/>
    <w:rsid w:val="00EE5756"/>
    <w:rsid w:val="00EE6A94"/>
    <w:rsid w:val="00F34AD6"/>
    <w:rsid w:val="00F62D64"/>
    <w:rsid w:val="00F7463F"/>
    <w:rsid w:val="00FA227C"/>
    <w:rsid w:val="00FA537D"/>
    <w:rsid w:val="00FD0BFD"/>
    <w:rsid w:val="00FF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625EA"/>
  <w15:chartTrackingRefBased/>
  <w15:docId w15:val="{E9C7E596-801C-4A5F-BFBE-96EB6781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61"/>
    <w:rPr>
      <w:rFonts w:ascii="Century Gothic" w:hAnsi="Century Gothic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38F"/>
    <w:pPr>
      <w:keepNext/>
      <w:keepLines/>
      <w:spacing w:before="360" w:after="8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6B"/>
    <w:pPr>
      <w:keepNext/>
      <w:keepLines/>
      <w:spacing w:before="160" w:after="80"/>
      <w:outlineLvl w:val="1"/>
    </w:pPr>
    <w:rPr>
      <w:rFonts w:eastAsiaTheme="majorEastAsia" w:cstheme="majorBidi"/>
      <w:b/>
      <w:bCs/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8F"/>
    <w:rPr>
      <w:rFonts w:ascii="Century Gothic" w:eastAsiaTheme="majorEastAsia" w:hAnsi="Century Gothic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006B"/>
    <w:rPr>
      <w:rFonts w:ascii="Century Gothic" w:eastAsiaTheme="majorEastAsia" w:hAnsi="Century Gothic" w:cstheme="majorBidi"/>
      <w:b/>
      <w:b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750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952"/>
    <w:rPr>
      <w:b/>
      <w:bCs/>
      <w:smallCaps/>
      <w:color w:val="0F4761" w:themeColor="accent1" w:themeShade="BF"/>
      <w:spacing w:val="5"/>
    </w:rPr>
  </w:style>
  <w:style w:type="paragraph" w:customStyle="1" w:styleId="LV2NumberedList">
    <w:name w:val="LV2_Numbered List"/>
    <w:basedOn w:val="ListParagraph"/>
    <w:qFormat/>
    <w:rsid w:val="00ED268A"/>
    <w:pPr>
      <w:numPr>
        <w:ilvl w:val="2"/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AA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BE"/>
    <w:rPr>
      <w:rFonts w:ascii="Century Gothic" w:hAnsi="Century Gothic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A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BE"/>
    <w:rPr>
      <w:rFonts w:ascii="Century Gothic" w:hAnsi="Century Gothic"/>
      <w:sz w:val="22"/>
      <w:szCs w:val="22"/>
    </w:rPr>
  </w:style>
  <w:style w:type="table" w:styleId="TableGrid">
    <w:name w:val="Table Grid"/>
    <w:basedOn w:val="TableNormal"/>
    <w:uiPriority w:val="39"/>
    <w:rsid w:val="002C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AD978-735E-4A33-B868-02001889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Bimpe Adeniji</dc:creator>
  <cp:keywords/>
  <dc:description/>
  <cp:lastModifiedBy>Bimpe Adeniji</cp:lastModifiedBy>
  <cp:revision>121</cp:revision>
  <dcterms:created xsi:type="dcterms:W3CDTF">2025-02-13T03:30:00Z</dcterms:created>
  <dcterms:modified xsi:type="dcterms:W3CDTF">2025-02-24T04:54:00Z</dcterms:modified>
</cp:coreProperties>
</file>