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p>
    <w:p w:rsidR="00000000" w:rsidDel="00000000" w:rsidP="00000000" w:rsidRDefault="00000000" w:rsidRPr="00000000" w14:paraId="00000077">
      <w:pPr>
        <w:spacing w:after="200" w:line="360" w:lineRule="auto"/>
        <w:rPr>
          <w:rFonts w:ascii="Google Sans" w:cs="Google Sans" w:eastAsia="Google Sans" w:hAnsi="Google Sans"/>
          <w:color w:val="ff0000"/>
        </w:rPr>
      </w:pPr>
      <w:r w:rsidDel="00000000" w:rsidR="00000000" w:rsidRPr="00000000">
        <w:rPr>
          <w:rFonts w:ascii="Google Sans" w:cs="Google Sans" w:eastAsia="Google Sans" w:hAnsi="Google Sans"/>
          <w:color w:val="ff0000"/>
          <w:rtl w:val="0"/>
        </w:rPr>
        <w:t xml:space="preserve">HIGH PRIORITY</w:t>
      </w:r>
    </w:p>
    <w:p w:rsidR="00000000" w:rsidDel="00000000" w:rsidP="00000000" w:rsidRDefault="00000000" w:rsidRPr="00000000" w14:paraId="00000078">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 least privilege and separation of duties (Administrative / Preventative) — all employees currently have unrestricted access to internal data including cardholder data and PII/SPII. Restricting access by role directly reduces the risk of insider threats and compromised accounts, and is required by PCI DSS and SOC.</w:t>
      </w:r>
    </w:p>
    <w:p w:rsidR="00000000" w:rsidDel="00000000" w:rsidP="00000000" w:rsidRDefault="00000000" w:rsidRPr="00000000" w14:paraId="00000079">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Deploy encryption (Technical / Deterrent) for all credit card data at rest and in transit. The absence of encryption is a direct PCI DSS violation and exposes Botium Toys to significant regulatory fines and reputational damage.</w:t>
      </w:r>
    </w:p>
    <w:p w:rsidR="00000000" w:rsidDel="00000000" w:rsidP="00000000" w:rsidRDefault="00000000" w:rsidRPr="00000000" w14:paraId="0000007A">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 disaster recovery plans and data backups (Administrative / Corrective + Technical / Corrective) — there are currently no backups of critical data. Any disruptive incident would result in permanent data loss and extended downtime, threatening business continuity.</w:t>
      </w:r>
    </w:p>
    <w:p w:rsidR="00000000" w:rsidDel="00000000" w:rsidP="00000000" w:rsidRDefault="00000000" w:rsidRPr="00000000" w14:paraId="0000007B">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Install an intrusion detection system (IDS) (Technical / Detective) — without one, the network has no mechanism to detect anomalous or malicious traffic that bypasses the existing firewall.</w:t>
      </w:r>
    </w:p>
    <w:p w:rsidR="00000000" w:rsidDel="00000000" w:rsidP="00000000" w:rsidRDefault="00000000" w:rsidRPr="00000000" w14:paraId="0000007C">
      <w:pPr>
        <w:spacing w:after="200" w:line="360" w:lineRule="auto"/>
        <w:rPr>
          <w:rFonts w:ascii="Google Sans" w:cs="Google Sans" w:eastAsia="Google Sans" w:hAnsi="Google Sans"/>
          <w:color w:val="ff9900"/>
        </w:rPr>
      </w:pPr>
      <w:r w:rsidDel="00000000" w:rsidR="00000000" w:rsidRPr="00000000">
        <w:rPr>
          <w:rFonts w:ascii="Google Sans" w:cs="Google Sans" w:eastAsia="Google Sans" w:hAnsi="Google Sans"/>
          <w:color w:val="ff9900"/>
          <w:rtl w:val="0"/>
        </w:rPr>
        <w:t xml:space="preserve">MEDIUM PRIORITY</w:t>
      </w:r>
    </w:p>
    <w:p w:rsidR="00000000" w:rsidDel="00000000" w:rsidP="00000000" w:rsidRDefault="00000000" w:rsidRPr="00000000" w14:paraId="0000007D">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Deploy a centralized password management system (Technical / Preventative) and update the existing password policy (Administrative / Preventative) to enforce current complexity requirements. This addresses both PCI DSS compliance and current productivity loss from manual password resets.</w:t>
      </w:r>
    </w:p>
    <w:p w:rsidR="00000000" w:rsidDel="00000000" w:rsidP="00000000" w:rsidRDefault="00000000" w:rsidRPr="00000000" w14:paraId="0000007E">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Classify and inventory all assets (Administrative) to satisfy the NIST CSF Identify function and GDPR data classification requirements. Without this, the organization cannot accurately assess which assets are at risk or apply appropriate controls.</w:t>
      </w:r>
    </w:p>
    <w:p w:rsidR="00000000" w:rsidDel="00000000" w:rsidP="00000000" w:rsidRDefault="00000000" w:rsidRPr="00000000" w14:paraId="0000007F">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Formalize a legacy system monitoring schedule (Technical / Preventative) with documented intervention procedures. The current approach is ad hoc and introduces undefined risk from unpatched or end-of-life systems.</w:t>
      </w:r>
    </w:p>
    <w:p w:rsidR="00000000" w:rsidDel="00000000" w:rsidP="00000000" w:rsidRDefault="00000000" w:rsidRPr="00000000" w14:paraId="00000080">
      <w:pPr>
        <w:spacing w:after="200" w:line="360" w:lineRule="auto"/>
        <w:rPr>
          <w:rFonts w:ascii="Google Sans" w:cs="Google Sans" w:eastAsia="Google Sans" w:hAnsi="Google Sans"/>
          <w:color w:val="00ff00"/>
        </w:rPr>
      </w:pPr>
      <w:r w:rsidDel="00000000" w:rsidR="00000000" w:rsidRPr="00000000">
        <w:rPr>
          <w:rFonts w:ascii="Google Sans" w:cs="Google Sans" w:eastAsia="Google Sans" w:hAnsi="Google Sans"/>
          <w:color w:val="00ff00"/>
          <w:rtl w:val="0"/>
        </w:rPr>
        <w:t xml:space="preserve">MAINTAIN — CONTROLS ALREADY IN PLACE</w:t>
      </w:r>
    </w:p>
    <w:p w:rsidR="00000000" w:rsidDel="00000000" w:rsidP="00000000" w:rsidRDefault="00000000" w:rsidRPr="00000000" w14:paraId="00000081">
      <w:pPr>
        <w:spacing w:after="200"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Continue regular monitoring of the firewall, antivirus software, physical locks, CCTV, and fire detection systems. The EU 72-hour breach notification plan and privacy policy enforcement are functioning and should be reviewed periodically to ensure continued compliance with GDPR.</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