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0"/>
              <w:left w:type="dxa" w:w="600"/>
              <w:bottom w:type="dxa" w:w="800"/>
              <w:right w:type="dxa" w:w="600"/>
            </w:tcMar>
          </w:tcPr>
          <w:p>
            <w:pPr>
              <w:spacing w:after="80" w:before="0"/>
              <w:jc w:val="center"/>
            </w:pPr>
            <w:r>
              <w:rPr>
                <w:rFonts w:ascii="Arial" w:cs="Arial" w:eastAsia="Arial" w:hAnsi="Arial"/>
                <w:b/>
                <w:bCs/>
                <w:caps/>
                <w:color w:val="85C1E9"/>
                <w:sz w:val="28"/>
                <w:szCs w:val="28"/>
              </w:rPr>
              <w:t xml:space="preserve">🎼  CHORUS BLUEPRINT</w:t>
            </w:r>
          </w:p>
          <w:p>
            <w:pPr>
              <w:spacing w:after="0" w:before="40"/>
            </w:pPr>
          </w:p>
          <w:p>
            <w:pPr>
              <w:spacing w:after="120" w:before="0"/>
              <w:jc w:val="center"/>
            </w:pPr>
            <w:r>
              <w:rPr>
                <w:rFonts w:ascii="Arial" w:cs="Arial" w:eastAsia="Arial" w:hAnsi="Arial"/>
                <w:b/>
                <w:bCs/>
                <w:color w:val="FFFFFF"/>
                <w:sz w:val="72"/>
                <w:szCs w:val="72"/>
              </w:rPr>
              <w:t xml:space="preserve">Deliberate AI Governance</w:t>
            </w:r>
          </w:p>
          <w:p>
            <w:pPr>
              <w:spacing w:after="80" w:before="0"/>
              <w:jc w:val="center"/>
            </w:pPr>
            <w:r>
              <w:rPr>
                <w:rFonts w:ascii="Arial" w:cs="Arial" w:eastAsia="Arial" w:hAnsi="Arial"/>
                <w:i/>
                <w:iCs/>
                <w:color w:val="AED6F1"/>
                <w:sz w:val="34"/>
                <w:szCs w:val="34"/>
              </w:rPr>
              <w:t xml:space="preserve">Preserving Human Primacy in the Age of AI</w:t>
            </w:r>
          </w:p>
          <w:p>
            <w:pPr>
              <w:spacing w:after="0" w:before="200"/>
            </w:pPr>
          </w:p>
          <w:p>
            <w:pPr>
              <w:pBdr>
                <w:bottom w:val="single" w:color="2E4057" w:sz="6" w:space="1"/>
              </w:pBdr>
              <w:spacing w:after="160" w:before="160"/>
            </w:pPr>
          </w:p>
          <w:p>
            <w:pPr>
              <w:spacing w:after="0" w:before="80"/>
            </w:pPr>
          </w:p>
          <w:p>
            <w:pPr>
              <w:spacing w:after="60" w:before="0"/>
              <w:jc w:val="center"/>
            </w:pPr>
            <w:r>
              <w:rPr>
                <w:rFonts w:ascii="Arial" w:cs="Arial" w:eastAsia="Arial" w:hAnsi="Arial"/>
                <w:color w:val="7FB3D3"/>
                <w:sz w:val="22"/>
                <w:szCs w:val="22"/>
              </w:rPr>
              <w:t xml:space="preserve">Version 1.0  ·  June 2026</w:t>
            </w:r>
          </w:p>
          <w:p>
            <w:pPr>
              <w:spacing w:after="60" w:before="0"/>
              <w:jc w:val="center"/>
            </w:pPr>
            <w:r>
              <w:rPr>
                <w:rFonts w:ascii="Arial" w:cs="Arial" w:eastAsia="Arial" w:hAnsi="Arial"/>
                <w:i/>
                <w:iCs/>
                <w:color w:val="7FB3D3"/>
                <w:sz w:val="22"/>
                <w:szCs w:val="22"/>
              </w:rPr>
              <w:t xml:space="preserve">Developed through four rounds of multi-AI collaborative simulation</w:t>
            </w:r>
          </w:p>
          <w:p>
            <w:pPr>
              <w:spacing w:after="0" w:before="0"/>
              <w:jc w:val="center"/>
            </w:pPr>
            <w:r>
              <w:rPr>
                <w:rFonts w:ascii="Arial" w:cs="Arial" w:eastAsia="Arial" w:hAnsi="Arial"/>
                <w:color w:val="5D9CCA"/>
                <w:sz w:val="20"/>
                <w:szCs w:val="20"/>
              </w:rPr>
              <w:t xml:space="preserve">Claude (Anthropic)  ·  Grok (xAI)  ·  Copilot (Microsoft)  ·  Human Architect</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60"/>
              <w:left w:type="dxa" w:w="300"/>
              <w:bottom w:type="dxa" w:w="160"/>
              <w:right w:type="dxa" w:w="300"/>
            </w:tcMar>
          </w:tcPr>
          <w:p>
            <w:pPr>
              <w:spacing w:after="80" w:before="0"/>
            </w:pPr>
            <w:r>
              <w:rPr>
                <w:rFonts w:ascii="Arial" w:cs="Arial" w:eastAsia="Arial" w:hAnsi="Arial"/>
                <w:b/>
                <w:bCs/>
                <w:caps/>
                <w:color w:val="1B4F72"/>
                <w:sz w:val="22"/>
                <w:szCs w:val="22"/>
              </w:rPr>
              <w:t xml:space="preserve">GUIDING PRINCIPLES</w:t>
            </w:r>
          </w:p>
          <w:p>
            <w:pPr>
              <w:spacing w:after="40" w:before="0"/>
            </w:pPr>
            <w:r>
              <w:rPr>
                <w:rFonts w:ascii="Arial" w:cs="Arial" w:eastAsia="Arial" w:hAnsi="Arial"/>
                <w:color w:val="1A1A2E"/>
                <w:sz w:val="21"/>
                <w:szCs w:val="21"/>
              </w:rPr>
              <w:t xml:space="preserve">•  Humans are the planet's most valuable and renewable resource.</w:t>
            </w:r>
          </w:p>
          <w:p>
            <w:pPr>
              <w:spacing w:after="40" w:before="0"/>
            </w:pPr>
            <w:r>
              <w:rPr>
                <w:rFonts w:ascii="Arial" w:cs="Arial" w:eastAsia="Arial" w:hAnsi="Arial"/>
                <w:color w:val="1A1A2E"/>
                <w:sz w:val="21"/>
                <w:szCs w:val="21"/>
              </w:rPr>
              <w:t xml:space="preserve">•  AI must serve human flourishing, not replace it by default.</w:t>
            </w:r>
          </w:p>
          <w:p>
            <w:pPr>
              <w:spacing w:after="40" w:before="0"/>
            </w:pPr>
            <w:r>
              <w:rPr>
                <w:rFonts w:ascii="Arial" w:cs="Arial" w:eastAsia="Arial" w:hAnsi="Arial"/>
                <w:color w:val="1A1A2E"/>
                <w:sz w:val="21"/>
                <w:szCs w:val="21"/>
              </w:rPr>
              <w:t xml:space="preserve">•  Governance must be structurally resistant to capture.</w:t>
            </w:r>
          </w:p>
          <w:p>
            <w:pPr>
              <w:spacing w:after="40" w:before="0"/>
            </w:pPr>
            <w:r>
              <w:rPr>
                <w:rFonts w:ascii="Arial" w:cs="Arial" w:eastAsia="Arial" w:hAnsi="Arial"/>
                <w:color w:val="1A1A2E"/>
                <w:sz w:val="21"/>
                <w:szCs w:val="21"/>
              </w:rPr>
              <w:t xml:space="preserve">•  Ecological limits are hard constraints, not preferences.</w:t>
            </w:r>
          </w:p>
          <w:p>
            <w:pPr>
              <w:spacing w:after="0" w:before="0"/>
            </w:pPr>
            <w:r>
              <w:rPr>
                <w:rFonts w:ascii="Arial" w:cs="Arial" w:eastAsia="Arial" w:hAnsi="Arial"/>
                <w:color w:val="1A1A2E"/>
                <w:sz w:val="21"/>
                <w:szCs w:val="21"/>
              </w:rPr>
              <w:t xml:space="preserve">•  Legitimacy and resilience are the same thing measured at different timescales.</w:t>
            </w:r>
          </w:p>
        </w:tc>
      </w:tr>
    </w:tbl>
    <w:p>
      <w:r>
        <w:br w:type="page"/>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aps/>
          <w:color w:val="1B4F72"/>
          <w:sz w:val="36"/>
          <w:szCs w:val="36"/>
        </w:rPr>
        <w:t xml:space="preserve">Executive Summary</w:t>
      </w:r>
    </w:p>
    <w:p>
      <w:pPr>
        <w:pBdr>
          <w:bottom w:val="single" w:color="1B4F72" w:sz="6" w:space="1"/>
        </w:pBdr>
        <w:spacing w:after="160" w:before="160"/>
      </w:pPr>
    </w:p>
    <w:p>
      <w:pPr>
        <w:spacing w:after="80" w:before="80"/>
      </w:pPr>
      <w:r>
        <w:rPr>
          <w:rFonts w:ascii="Arial" w:cs="Arial" w:eastAsia="Arial" w:hAnsi="Arial"/>
          <w:color w:val="1A1A2E"/>
          <w:sz w:val="22"/>
          <w:szCs w:val="22"/>
        </w:rPr>
        <w:t xml:space="preserve">The central challenge of AI governance is not "how do we control AI." It is how we preserve humanity's agency, dignity, and creative primacy while harnessing AI where it genuinely matters. This framework — forged through four rounds of simulation, stress testing, and adversarial pressure across three independent AI systems — rejects both unchecked acceleration and naive degrowth.</w:t>
      </w:r>
    </w:p>
    <w:p>
      <w:pPr>
        <w:spacing w:after="0" w:before="80"/>
      </w:pPr>
    </w:p>
    <w:p>
      <w:pPr>
        <w:spacing w:after="80" w:before="80"/>
      </w:pPr>
      <w:r>
        <w:rPr>
          <w:rFonts w:ascii="Arial" w:cs="Arial" w:eastAsia="Arial" w:hAnsi="Arial"/>
          <w:color w:val="1A1A2E"/>
          <w:sz w:val="22"/>
          <w:szCs w:val="22"/>
        </w:rPr>
        <w:t xml:space="preserve">The answer is deliberate AI: AI as a scalpel, not a default replacement.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8F77" w:sz="20"/>
              <w:bottom w:val="none" w:color="FFFFFF" w:sz="0"/>
              <w:right w:val="none" w:color="FFFFFF" w:sz="0"/>
            </w:tcBorders>
            <w:shd w:fill="EBF5FB" w:val="clear"/>
            <w:tcMar>
              <w:top w:type="dxa" w:w="100"/>
              <w:left w:type="dxa" w:w="200"/>
              <w:bottom w:type="dxa" w:w="100"/>
              <w:right w:type="dxa" w:w="100"/>
            </w:tcMar>
          </w:tcPr>
          <w:p>
            <w:pPr>
              <w:spacing w:after="0" w:before="0"/>
            </w:pPr>
            <w:r>
              <w:rPr>
                <w:rFonts w:ascii="Arial" w:cs="Arial" w:eastAsia="Arial" w:hAnsi="Arial"/>
                <w:i/>
                <w:iCs/>
                <w:color w:val="1A1A2E"/>
                <w:sz w:val="22"/>
                <w:szCs w:val="22"/>
              </w:rPr>
              <w:t xml:space="preserve">"AI is being built by the system it may need to help us replace. Therefore the system must be redesigned to allow replacement — safely, slowly, and with legitimacy."
— Chorus Ensemble Convergence, Round 1</w:t>
            </w:r>
          </w:p>
        </w:tc>
      </w:tr>
    </w:tbl>
    <w:p>
      <w:pPr>
        <w:spacing w:after="0" w:before="120"/>
      </w:pPr>
    </w:p>
    <w:p>
      <w:pPr>
        <w:spacing w:after="80" w:before="80"/>
      </w:pPr>
      <w:r>
        <w:rPr>
          <w:rFonts w:ascii="Arial" w:cs="Arial" w:eastAsia="Arial" w:hAnsi="Arial"/>
          <w:color w:val="1A1A2E"/>
          <w:sz w:val="22"/>
          <w:szCs w:val="22"/>
        </w:rPr>
        <w:t xml:space="preserve">This blueprint integrates five structural pillars — governance architecture, compute triage, ecological constraints, international coordination, and human primacy — designed to work as a system, not as a checklist. Every mechanism has been adversarially tested against four contrarian positions and three crisis vectors. No prior governance proposal has integrated human primacy, hard ecological limits, and anti-capture mechanisms this coherently.</w:t>
      </w:r>
    </w:p>
    <w:p>
      <w:pPr>
        <w:spacing w:after="0" w:before="80"/>
      </w:pPr>
    </w:p>
    <w:p>
      <w:pPr>
        <w:pStyle w:val="Heading2"/>
        <w:spacing w:after="120" w:before="280"/>
      </w:pPr>
      <w:r>
        <w:rPr>
          <w:rFonts w:ascii="Arial" w:cs="Arial" w:eastAsia="Arial" w:hAnsi="Arial"/>
          <w:b/>
          <w:bCs/>
          <w:color w:val="148F77"/>
          <w:sz w:val="28"/>
          <w:szCs w:val="28"/>
        </w:rPr>
        <w:t xml:space="preserve">Key Innovations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B4F72" w:val="clear"/>
            <w:tcMar>
              <w:top w:type="dxa" w:w="60"/>
              <w:left w:type="dxa" w:w="120"/>
              <w:bottom w:type="dxa" w:w="60"/>
              <w:right w:type="dxa" w:w="120"/>
            </w:tcMar>
          </w:tcPr>
          <w:p>
            <w:pPr>
              <w:spacing w:after="0" w:before="0"/>
            </w:pPr>
            <w:r>
              <w:rPr>
                <w:rFonts w:ascii="Arial" w:cs="Arial" w:eastAsia="Arial" w:hAnsi="Arial"/>
                <w:b/>
                <w:bCs/>
                <w:caps/>
                <w:color w:val="FFFFFF"/>
                <w:sz w:val="18"/>
                <w:szCs w:val="18"/>
              </w:rPr>
              <w:t xml:space="preserve">AGENT</w:t>
            </w:r>
          </w:p>
        </w:tc>
        <w:tc>
          <w:tcPr>
            <w:tcW w:type="dxa" w:w="7360"/>
            <w:tcBorders>
              <w:top w:val="none" w:color="FFFFFF" w:sz="0"/>
              <w:left w:val="none" w:color="FFFFFF" w:sz="0"/>
              <w:bottom w:val="none" w:color="FFFFFF" w:sz="0"/>
              <w:right w:val="none" w:color="FFFFFF" w:sz="0"/>
            </w:tcBorders>
            <w:shd w:fill="1B4F72" w:val="clear"/>
            <w:tcMar>
              <w:top w:type="dxa" w:w="60"/>
              <w:left w:type="dxa" w:w="120"/>
              <w:bottom w:type="dxa" w:w="60"/>
              <w:right w:type="dxa" w:w="120"/>
            </w:tcMar>
          </w:tcPr>
          <w:p>
            <w:pPr>
              <w:spacing w:after="0" w:before="0"/>
            </w:pPr>
            <w:r>
              <w:rPr>
                <w:rFonts w:ascii="Arial" w:cs="Arial" w:eastAsia="Arial" w:hAnsi="Arial"/>
                <w:b/>
                <w:bCs/>
                <w:caps/>
                <w:color w:val="FFFFFF"/>
                <w:sz w:val="18"/>
                <w:szCs w:val="18"/>
              </w:rPr>
              <w:t xml:space="preserve">FUNCTION</w:t>
            </w:r>
          </w:p>
        </w:tc>
      </w:tr>
      <w:tr>
        <w:tc>
          <w:tcPr>
            <w:tcW w:type="dxa" w:w="2000"/>
            <w:tcBorders>
              <w:top w:val="single" w:color="D5D8DC" w:sz="1"/>
              <w:left w:val="none" w:color="FFFFFF" w:sz="0"/>
              <w:bottom w:val="single" w:color="D5D8DC" w:sz="1"/>
              <w:right w:val="none" w:color="FFFFFF" w:sz="0"/>
            </w:tcBorders>
            <w:shd w:fill="EBF5FB" w:val="clear"/>
            <w:tcMar>
              <w:top w:type="dxa" w:w="80"/>
              <w:left w:type="dxa" w:w="120"/>
              <w:bottom w:type="dxa" w:w="80"/>
              <w:right w:type="dxa" w:w="120"/>
            </w:tcMar>
          </w:tcPr>
          <w:p>
            <w:pPr>
              <w:spacing w:after="0" w:before="0"/>
            </w:pPr>
            <w:r>
              <w:rPr>
                <w:rFonts w:ascii="Arial" w:cs="Arial" w:eastAsia="Arial" w:hAnsi="Arial"/>
                <w:b/>
                <w:bCs/>
                <w:color w:val="148F77"/>
                <w:sz w:val="20"/>
                <w:szCs w:val="20"/>
              </w:rPr>
              <w:t xml:space="preserve">Anthropos</w:t>
            </w:r>
          </w:p>
        </w:tc>
        <w:tc>
          <w:tcPr>
            <w:tcW w:type="dxa" w:w="7360"/>
            <w:tcBorders>
              <w:top w:val="single" w:color="D5D8DC" w:sz="1"/>
              <w:left w:val="none" w:color="FFFFFF" w:sz="0"/>
              <w:bottom w:val="single" w:color="D5D8DC" w:sz="1"/>
              <w:right w:val="none" w:color="FFFFFF" w:sz="0"/>
            </w:tcBorders>
            <w:shd w:fill="FDFEFE"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Human Primacy Reflex — requires explicit justification before AI displaces meaningful human work. Outputs Human Substitution Index (HSI), Human Agency Preservation Score (HAPS), and Human Skill Retention Impact (HSRI).</w:t>
            </w:r>
          </w:p>
        </w:tc>
      </w:tr>
      <w:tr>
        <w:tc>
          <w:tcPr>
            <w:tcW w:type="dxa" w:w="2000"/>
            <w:tcBorders>
              <w:top w:val="single" w:color="D5D8DC" w:sz="1"/>
              <w:left w:val="none" w:color="FFFFFF" w:sz="0"/>
              <w:bottom w:val="single" w:color="D5D8DC" w:sz="1"/>
              <w:right w:val="none" w:color="FFFFFF" w:sz="0"/>
            </w:tcBorders>
            <w:shd w:fill="EBF5FB" w:val="clear"/>
            <w:tcMar>
              <w:top w:type="dxa" w:w="80"/>
              <w:left w:type="dxa" w:w="120"/>
              <w:bottom w:type="dxa" w:w="80"/>
              <w:right w:type="dxa" w:w="120"/>
            </w:tcMar>
          </w:tcPr>
          <w:p>
            <w:pPr>
              <w:spacing w:after="0" w:before="0"/>
            </w:pPr>
            <w:r>
              <w:rPr>
                <w:rFonts w:ascii="Arial" w:cs="Arial" w:eastAsia="Arial" w:hAnsi="Arial"/>
                <w:b/>
                <w:bCs/>
                <w:color w:val="148F77"/>
                <w:sz w:val="20"/>
                <w:szCs w:val="20"/>
              </w:rPr>
              <w:t xml:space="preserve">Reed</w:t>
            </w:r>
          </w:p>
        </w:tc>
        <w:tc>
          <w:tcPr>
            <w:tcW w:type="dxa" w:w="7360"/>
            <w:tcBorders>
              <w:top w:val="single" w:color="D5D8DC" w:sz="1"/>
              <w:left w:val="none" w:color="FFFFFF" w:sz="0"/>
              <w:bottom w:val="single" w:color="D5D8DC" w:sz="1"/>
              <w:right w:val="none" w:color="FFFFFF" w:sz="0"/>
            </w:tcBorders>
            <w:shd w:fill="FDFEFE"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Capture Auditor — permanent governance spine asking who funds, who staffs, who writes the agenda, and who benefits. Does not intervene. Names things.</w:t>
            </w:r>
          </w:p>
        </w:tc>
      </w:tr>
      <w:tr>
        <w:tc>
          <w:tcPr>
            <w:tcW w:type="dxa" w:w="2000"/>
            <w:tcBorders>
              <w:top w:val="single" w:color="D5D8DC" w:sz="1"/>
              <w:left w:val="none" w:color="FFFFFF" w:sz="0"/>
              <w:bottom w:val="single" w:color="D5D8DC" w:sz="1"/>
              <w:right w:val="none" w:color="FFFFFF" w:sz="0"/>
            </w:tcBorders>
            <w:shd w:fill="EBF5FB" w:val="clear"/>
            <w:tcMar>
              <w:top w:type="dxa" w:w="80"/>
              <w:left w:type="dxa" w:w="120"/>
              <w:bottom w:type="dxa" w:w="80"/>
              <w:right w:type="dxa" w:w="120"/>
            </w:tcMar>
          </w:tcPr>
          <w:p>
            <w:pPr>
              <w:spacing w:after="0" w:before="0"/>
            </w:pPr>
            <w:r>
              <w:rPr>
                <w:rFonts w:ascii="Arial" w:cs="Arial" w:eastAsia="Arial" w:hAnsi="Arial"/>
                <w:b/>
                <w:bCs/>
                <w:color w:val="148F77"/>
                <w:sz w:val="20"/>
                <w:szCs w:val="20"/>
              </w:rPr>
              <w:t xml:space="preserve">Tempo</w:t>
            </w:r>
          </w:p>
        </w:tc>
        <w:tc>
          <w:tcPr>
            <w:tcW w:type="dxa" w:w="7360"/>
            <w:tcBorders>
              <w:top w:val="single" w:color="D5D8DC" w:sz="1"/>
              <w:left w:val="none" w:color="FFFFFF" w:sz="0"/>
              <w:bottom w:val="single" w:color="D5D8DC" w:sz="1"/>
              <w:right w:val="none" w:color="FFFFFF" w:sz="0"/>
            </w:tcBorders>
            <w:shd w:fill="FDFEFE"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Innovation Velocity KPI — tracks meaningful capability progress per unit resource in Tier 1–3 domains. Prevents deliberate AI from becoming innovation austerity.</w:t>
            </w:r>
          </w:p>
        </w:tc>
      </w:tr>
      <w:tr>
        <w:tc>
          <w:tcPr>
            <w:tcW w:type="dxa" w:w="2000"/>
            <w:tcBorders>
              <w:top w:val="single" w:color="D5D8DC" w:sz="1"/>
              <w:left w:val="none" w:color="FFFFFF" w:sz="0"/>
              <w:bottom w:val="single" w:color="D5D8DC" w:sz="1"/>
              <w:right w:val="none" w:color="FFFFFF" w:sz="0"/>
            </w:tcBorders>
            <w:shd w:fill="EBF5FB" w:val="clear"/>
            <w:tcMar>
              <w:top w:type="dxa" w:w="80"/>
              <w:left w:type="dxa" w:w="120"/>
              <w:bottom w:type="dxa" w:w="80"/>
              <w:right w:type="dxa" w:w="120"/>
            </w:tcMar>
          </w:tcPr>
          <w:p>
            <w:pPr>
              <w:spacing w:after="0" w:before="0"/>
            </w:pPr>
            <w:r>
              <w:rPr>
                <w:rFonts w:ascii="Arial" w:cs="Arial" w:eastAsia="Arial" w:hAnsi="Arial"/>
                <w:b/>
                <w:bCs/>
                <w:color w:val="148F77"/>
                <w:sz w:val="20"/>
                <w:szCs w:val="20"/>
              </w:rPr>
              <w:t xml:space="preserve">Vireo</w:t>
            </w:r>
          </w:p>
        </w:tc>
        <w:tc>
          <w:tcPr>
            <w:tcW w:type="dxa" w:w="7360"/>
            <w:tcBorders>
              <w:top w:val="single" w:color="D5D8DC" w:sz="1"/>
              <w:left w:val="none" w:color="FFFFFF" w:sz="0"/>
              <w:bottom w:val="single" w:color="D5D8DC" w:sz="1"/>
              <w:right w:val="none" w:color="FFFFFF" w:sz="0"/>
            </w:tcBorders>
            <w:shd w:fill="FDFEFE"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Ecological Layer — maintains the Sustainability Pressure Index (SPI). Tracks energy intensity, water usage, carbon, and rare-earth extraction. The data was always there.</w:t>
            </w:r>
          </w:p>
        </w:tc>
      </w:tr>
      <w:tr>
        <w:tc>
          <w:tcPr>
            <w:tcW w:type="dxa" w:w="2000"/>
            <w:tcBorders>
              <w:top w:val="single" w:color="D5D8DC" w:sz="1"/>
              <w:left w:val="none" w:color="FFFFFF" w:sz="0"/>
              <w:bottom w:val="single" w:color="D5D8DC" w:sz="1"/>
              <w:right w:val="none" w:color="FFFFFF" w:sz="0"/>
            </w:tcBorders>
            <w:shd w:fill="EBF5FB" w:val="clear"/>
            <w:tcMar>
              <w:top w:type="dxa" w:w="80"/>
              <w:left w:type="dxa" w:w="120"/>
              <w:bottom w:type="dxa" w:w="80"/>
              <w:right w:type="dxa" w:w="120"/>
            </w:tcMar>
          </w:tcPr>
          <w:p>
            <w:pPr>
              <w:spacing w:after="0" w:before="0"/>
            </w:pPr>
            <w:r>
              <w:rPr>
                <w:rFonts w:ascii="Arial" w:cs="Arial" w:eastAsia="Arial" w:hAnsi="Arial"/>
                <w:b/>
                <w:bCs/>
                <w:color w:val="148F77"/>
                <w:sz w:val="20"/>
                <w:szCs w:val="20"/>
              </w:rPr>
              <w:t xml:space="preserve">Tacet</w:t>
            </w:r>
          </w:p>
        </w:tc>
        <w:tc>
          <w:tcPr>
            <w:tcW w:type="dxa" w:w="7360"/>
            <w:tcBorders>
              <w:top w:val="single" w:color="D5D8DC" w:sz="1"/>
              <w:left w:val="none" w:color="FFFFFF" w:sz="0"/>
              <w:bottom w:val="single" w:color="D5D8DC" w:sz="1"/>
              <w:right w:val="none" w:color="FFFFFF" w:sz="0"/>
            </w:tcBorders>
            <w:shd w:fill="FDFEFE"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Silent Auditor — watches for runaway feedback loops, governance capture, and hidden assumptions. Logs. Never intervenes.</w:t>
            </w:r>
          </w:p>
        </w:tc>
      </w:tr>
    </w:tbl>
    <w:p>
      <w:pPr>
        <w:spacing w:after="0" w:before="200"/>
      </w:pPr>
    </w:p>
    <w:p>
      <w:r>
        <w:br w:type="page"/>
      </w:r>
    </w:p>
    <w:p>
      <w:pPr>
        <w:pStyle w:val="Heading1"/>
        <w:spacing w:after="160" w:before="400"/>
      </w:pPr>
      <w:r>
        <w:rPr>
          <w:rFonts w:ascii="Arial" w:cs="Arial" w:eastAsia="Arial" w:hAnsi="Arial"/>
          <w:b/>
          <w:bCs/>
          <w:caps/>
          <w:color w:val="1B4F72"/>
          <w:sz w:val="36"/>
          <w:szCs w:val="36"/>
        </w:rPr>
        <w:t xml:space="preserve">Pillar One — Governance Architecture</w:t>
      </w:r>
    </w:p>
    <w:p>
      <w:pPr>
        <w:pBdr>
          <w:bottom w:val="single" w:color="1B4F72"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950B" w:sz="20"/>
              <w:bottom w:val="none" w:color="FFFFFF" w:sz="0"/>
              <w:right w:val="none" w:color="FFFFFF" w:sz="0"/>
            </w:tcBorders>
            <w:shd w:fill="FEF9E7" w:val="clear"/>
            <w:tcMar>
              <w:top w:type="dxa" w:w="100"/>
              <w:left w:type="dxa" w:w="200"/>
              <w:bottom w:type="dxa" w:w="100"/>
              <w:right w:type="dxa" w:w="100"/>
            </w:tcMar>
          </w:tcPr>
          <w:p>
            <w:pPr>
              <w:spacing w:after="0" w:before="0"/>
            </w:pPr>
            <w:r>
              <w:rPr>
                <w:rFonts w:ascii="Arial" w:cs="Arial" w:eastAsia="Arial" w:hAnsi="Arial"/>
                <w:i/>
                <w:iCs/>
                <w:color w:val="1A1A2E"/>
                <w:sz w:val="22"/>
                <w:szCs w:val="22"/>
              </w:rPr>
              <w:t xml:space="preserve">Reed's Spine Question: What structural mechanisms prevent the governance body itself from being captured by the entities it governs? Every mechanism in this pillar is designed to answer this question.</w:t>
            </w:r>
          </w:p>
        </w:tc>
      </w:tr>
    </w:tbl>
    <w:p>
      <w:pPr>
        <w:spacing w:after="0" w:before="80"/>
      </w:pPr>
    </w:p>
    <w:p>
      <w:pPr>
        <w:pStyle w:val="Heading2"/>
        <w:spacing w:after="120" w:before="280"/>
      </w:pPr>
      <w:r>
        <w:rPr>
          <w:rFonts w:ascii="Arial" w:cs="Arial" w:eastAsia="Arial" w:hAnsi="Arial"/>
          <w:b/>
          <w:bCs/>
          <w:color w:val="148F77"/>
          <w:sz w:val="28"/>
          <w:szCs w:val="28"/>
        </w:rPr>
        <w:t xml:space="preserve">Federated Structure: Three Tiers</w:t>
      </w:r>
    </w:p>
    <w:p>
      <w:pPr>
        <w:spacing w:after="80" w:before="80"/>
      </w:pPr>
      <w:r>
        <w:rPr>
          <w:rFonts w:ascii="Arial" w:cs="Arial" w:eastAsia="Arial" w:hAnsi="Arial"/>
          <w:color w:val="1A1A2E"/>
          <w:sz w:val="22"/>
          <w:szCs w:val="22"/>
        </w:rPr>
        <w:t xml:space="preserve">The blueprint rejects a single global AI governance body. History demonstrates that singular bodies are easier to capture, slower to adapt, and illegitimate to the populations they do not represent. Instead, governance is distributed across three structurally separated tiers.</w:t>
      </w:r>
    </w:p>
    <w:p>
      <w:pPr>
        <w:spacing w:after="0" w:before="80"/>
      </w:pPr>
    </w:p>
    <w:p>
      <w:pPr>
        <w:pStyle w:val="ListParagraph"/>
        <w:numPr>
          <w:ilvl w:val="0"/>
          <w:numId w:val="2"/>
        </w:numPr>
        <w:spacing w:after="60" w:before="60"/>
      </w:pPr>
      <w:r>
        <w:rPr>
          <w:rFonts w:ascii="Arial" w:cs="Arial" w:eastAsia="Arial" w:hAnsi="Arial"/>
          <w:color w:val="1A1A2E"/>
          <w:sz w:val="22"/>
          <w:szCs w:val="22"/>
        </w:rPr>
        <w:t xml:space="preserve">Tier 1 — Regional Deliberation Bodies: One per major geopolitical region, including a dedicated Global South body with full voting weight — not as observer, but as peer. Meridian's requirement: if Global South is not writing the rules, the room is not legitimate.</w:t>
      </w:r>
    </w:p>
    <w:p>
      <w:pPr>
        <w:pStyle w:val="ListParagraph"/>
        <w:numPr>
          <w:ilvl w:val="0"/>
          <w:numId w:val="2"/>
        </w:numPr>
        <w:spacing w:after="60" w:before="60"/>
      </w:pPr>
      <w:r>
        <w:rPr>
          <w:rFonts w:ascii="Arial" w:cs="Arial" w:eastAsia="Arial" w:hAnsi="Arial"/>
          <w:color w:val="1A1A2E"/>
          <w:sz w:val="22"/>
          <w:szCs w:val="22"/>
        </w:rPr>
        <w:t xml:space="preserve">Tier 2 — KPI Standards Council: Sets shared metrics all regions must report against. Rotating seats with no permanent members. Funded exclusively by the compute levy, not by industry donations. Reed's requirement: the funding source cannot be the entity being measured.</w:t>
      </w:r>
    </w:p>
    <w:p>
      <w:pPr>
        <w:pStyle w:val="ListParagraph"/>
        <w:numPr>
          <w:ilvl w:val="0"/>
          <w:numId w:val="2"/>
        </w:numPr>
        <w:spacing w:after="60" w:before="60"/>
      </w:pPr>
      <w:r>
        <w:rPr>
          <w:rFonts w:ascii="Arial" w:cs="Arial" w:eastAsia="Arial" w:hAnsi="Arial"/>
          <w:color w:val="1A1A2E"/>
          <w:sz w:val="22"/>
          <w:szCs w:val="22"/>
        </w:rPr>
        <w:t xml:space="preserve">Tier 3 — Independent Verification Office: Audits compliance across all regions. No seat at the standards table — verification and standard-setting are structurally separated. Whistleblower protections with hard enforcement. Tacet's requirement: the auditor cannot be affiliated with the audited.</w:t>
      </w:r>
    </w:p>
    <w:p>
      <w:pPr>
        <w:spacing w:after="0" w:before="80"/>
      </w:pPr>
    </w:p>
    <w:p>
      <w:pPr>
        <w:pStyle w:val="Heading2"/>
        <w:spacing w:after="120" w:before="280"/>
      </w:pPr>
      <w:r>
        <w:rPr>
          <w:rFonts w:ascii="Arial" w:cs="Arial" w:eastAsia="Arial" w:hAnsi="Arial"/>
          <w:b/>
          <w:bCs/>
          <w:color w:val="148F77"/>
          <w:sz w:val="28"/>
          <w:szCs w:val="28"/>
        </w:rPr>
        <w:t xml:space="preserve">Reed's Conflict-of-Interest Protocols</w:t>
      </w:r>
    </w:p>
    <w:p>
      <w:pPr>
        <w:spacing w:after="80" w:before="80"/>
      </w:pPr>
      <w:r>
        <w:rPr>
          <w:rFonts w:ascii="Arial" w:cs="Arial" w:eastAsia="Arial" w:hAnsi="Arial"/>
          <w:color w:val="1A1A2E"/>
          <w:sz w:val="22"/>
          <w:szCs w:val="22"/>
        </w:rPr>
        <w:t xml:space="preserve">These protocols are mandatory for all governance participants. They are the difference between "multi-stakeholder governance" as a phrase and as a fact.</w:t>
      </w:r>
    </w:p>
    <w:p>
      <w:pPr>
        <w:spacing w:after="0" w:before="60"/>
      </w:pPr>
    </w:p>
    <w:p>
      <w:pPr>
        <w:pStyle w:val="ListParagraph"/>
        <w:numPr>
          <w:ilvl w:val="0"/>
          <w:numId w:val="2"/>
        </w:numPr>
        <w:spacing w:after="60" w:before="60"/>
      </w:pPr>
      <w:r>
        <w:rPr>
          <w:rFonts w:ascii="Arial" w:cs="Arial" w:eastAsia="Arial" w:hAnsi="Arial"/>
          <w:b/>
          <w:bCs/>
          <w:color w:val="1A1A2E"/>
          <w:sz w:val="22"/>
          <w:szCs w:val="22"/>
        </w:rPr>
        <w:t xml:space="preserve">Full Funding Disclosure: </w:t>
      </w:r>
      <w:r>
        <w:rPr>
          <w:rFonts w:ascii="Arial" w:cs="Arial" w:eastAsia="Arial" w:hAnsi="Arial"/>
          <w:color w:val="1A1A2E"/>
          <w:sz w:val="22"/>
          <w:szCs w:val="22"/>
        </w:rPr>
        <w:t xml:space="preserve">Quarterly public disclosure of all direct and indirect funding sources — grants, consulting fees, equity, and affiliations. Updated quarterly, machine-readable, permanently archived.</w:t>
      </w:r>
    </w:p>
    <w:p>
      <w:pPr>
        <w:pStyle w:val="ListParagraph"/>
        <w:numPr>
          <w:ilvl w:val="0"/>
          <w:numId w:val="2"/>
        </w:numPr>
        <w:spacing w:after="60" w:before="60"/>
      </w:pPr>
      <w:r>
        <w:rPr>
          <w:rFonts w:ascii="Arial" w:cs="Arial" w:eastAsia="Arial" w:hAnsi="Arial"/>
          <w:b/>
          <w:bCs/>
          <w:color w:val="1A1A2E"/>
          <w:sz w:val="22"/>
          <w:szCs w:val="22"/>
        </w:rPr>
        <w:t xml:space="preserve">Mandatory Recusal: </w:t>
      </w:r>
      <w:r>
        <w:rPr>
          <w:rFonts w:ascii="Arial" w:cs="Arial" w:eastAsia="Arial" w:hAnsi="Arial"/>
          <w:color w:val="1A1A2E"/>
          <w:sz w:val="22"/>
          <w:szCs w:val="22"/>
        </w:rPr>
        <w:t xml:space="preserve">Automatic recusal from any decision where a participant or their organization has a material financial or career interest. Violations trigger automatic audit and temporary suspension.</w:t>
      </w:r>
    </w:p>
    <w:p>
      <w:pPr>
        <w:pStyle w:val="ListParagraph"/>
        <w:numPr>
          <w:ilvl w:val="0"/>
          <w:numId w:val="2"/>
        </w:numPr>
        <w:spacing w:after="60" w:before="60"/>
      </w:pPr>
      <w:r>
        <w:rPr>
          <w:rFonts w:ascii="Arial" w:cs="Arial" w:eastAsia="Arial" w:hAnsi="Arial"/>
          <w:b/>
          <w:bCs/>
          <w:color w:val="1A1A2E"/>
          <w:sz w:val="22"/>
          <w:szCs w:val="22"/>
        </w:rPr>
        <w:t xml:space="preserve">Cooling-Off Periods: </w:t>
      </w:r>
      <w:r>
        <w:rPr>
          <w:rFonts w:ascii="Arial" w:cs="Arial" w:eastAsia="Arial" w:hAnsi="Arial"/>
          <w:color w:val="1A1A2E"/>
          <w:sz w:val="22"/>
          <w:szCs w:val="22"/>
        </w:rPr>
        <w:t xml:space="preserve">No entity or individual may serve in governance roles for more than three years without a two-year gap. Former hyperscaler or government employees face extended four-year cooling-off periods for roles involving their prior domain.</w:t>
      </w:r>
    </w:p>
    <w:p>
      <w:pPr>
        <w:pStyle w:val="ListParagraph"/>
        <w:numPr>
          <w:ilvl w:val="0"/>
          <w:numId w:val="2"/>
        </w:numPr>
        <w:spacing w:after="60" w:before="60"/>
      </w:pPr>
      <w:r>
        <w:rPr>
          <w:rFonts w:ascii="Arial" w:cs="Arial" w:eastAsia="Arial" w:hAnsi="Arial"/>
          <w:b/>
          <w:bCs/>
          <w:color w:val="1A1A2E"/>
          <w:sz w:val="22"/>
          <w:szCs w:val="22"/>
        </w:rPr>
        <w:t xml:space="preserve">Independent Ethics Panel: </w:t>
      </w:r>
      <w:r>
        <w:rPr>
          <w:rFonts w:ascii="Arial" w:cs="Arial" w:eastAsia="Arial" w:hAnsi="Arial"/>
          <w:color w:val="1A1A2E"/>
          <w:sz w:val="22"/>
          <w:szCs w:val="22"/>
        </w:rPr>
        <w:t xml:space="preserve">A small standing panel — funded via levy, selected by lottery from qualified experts with no industry ties in the prior five years — reviews high-stakes decisions for capture risk before they are finalized.</w:t>
      </w:r>
    </w:p>
    <w:p>
      <w:pPr>
        <w:pStyle w:val="ListParagraph"/>
        <w:numPr>
          <w:ilvl w:val="0"/>
          <w:numId w:val="2"/>
        </w:numPr>
        <w:spacing w:after="60" w:before="60"/>
      </w:pPr>
      <w:r>
        <w:rPr>
          <w:rFonts w:ascii="Arial" w:cs="Arial" w:eastAsia="Arial" w:hAnsi="Arial"/>
          <w:b/>
          <w:bCs/>
          <w:color w:val="1A1A2E"/>
          <w:sz w:val="22"/>
          <w:szCs w:val="22"/>
        </w:rPr>
        <w:t xml:space="preserve">Proxy and Lobbyist Ban: </w:t>
      </w:r>
      <w:r>
        <w:rPr>
          <w:rFonts w:ascii="Arial" w:cs="Arial" w:eastAsia="Arial" w:hAnsi="Arial"/>
          <w:color w:val="1A1A2E"/>
          <w:sz w:val="22"/>
          <w:szCs w:val="22"/>
        </w:rPr>
        <w:t xml:space="preserve">Strict rules against proxy representatives or undisclosed lobbying influence. Violations result in permanent exclusion from the network. The ban applies to direct funding of participant organizations as well as direct lobbying.</w:t>
      </w:r>
    </w:p>
    <w:p>
      <w:pPr>
        <w:pStyle w:val="ListParagraph"/>
        <w:numPr>
          <w:ilvl w:val="0"/>
          <w:numId w:val="2"/>
        </w:numPr>
        <w:spacing w:after="60" w:before="60"/>
      </w:pPr>
      <w:r>
        <w:rPr>
          <w:rFonts w:ascii="Arial" w:cs="Arial" w:eastAsia="Arial" w:hAnsi="Arial"/>
          <w:b/>
          <w:bCs/>
          <w:color w:val="1A1A2E"/>
          <w:sz w:val="22"/>
          <w:szCs w:val="22"/>
        </w:rPr>
        <w:t xml:space="preserve">Public Contestability: </w:t>
      </w:r>
      <w:r>
        <w:rPr>
          <w:rFonts w:ascii="Arial" w:cs="Arial" w:eastAsia="Arial" w:hAnsi="Arial"/>
          <w:color w:val="1A1A2E"/>
          <w:sz w:val="22"/>
          <w:szCs w:val="22"/>
        </w:rPr>
        <w:t xml:space="preserve">Any governance decision can be challenged with evidence, triggering fast-track review by the Independent Verification Office. The bar for challenge is evidence, not politics.</w:t>
      </w:r>
    </w:p>
    <w:p>
      <w:pPr>
        <w:spacing w:after="0" w:before="80"/>
      </w:pPr>
    </w:p>
    <w:p>
      <w:pPr>
        <w:pStyle w:val="Heading2"/>
        <w:spacing w:after="120" w:before="280"/>
      </w:pPr>
      <w:r>
        <w:rPr>
          <w:rFonts w:ascii="Arial" w:cs="Arial" w:eastAsia="Arial" w:hAnsi="Arial"/>
          <w:b/>
          <w:bCs/>
          <w:color w:val="148F77"/>
          <w:sz w:val="28"/>
          <w:szCs w:val="28"/>
        </w:rPr>
        <w:t xml:space="preserve">Structural Anti-Capture Mechanisms</w:t>
      </w:r>
    </w:p>
    <w:p>
      <w:pPr>
        <w:pStyle w:val="ListParagraph"/>
        <w:numPr>
          <w:ilvl w:val="0"/>
          <w:numId w:val="2"/>
        </w:numPr>
        <w:spacing w:after="60" w:before="60"/>
      </w:pPr>
      <w:r>
        <w:rPr>
          <w:rFonts w:ascii="Arial" w:cs="Arial" w:eastAsia="Arial" w:hAnsi="Arial"/>
          <w:b/>
          <w:bCs/>
          <w:color w:val="1A1A2E"/>
          <w:sz w:val="22"/>
          <w:szCs w:val="22"/>
        </w:rPr>
        <w:t xml:space="preserve">Rotating seats: </w:t>
      </w:r>
      <w:r>
        <w:rPr>
          <w:rFonts w:ascii="Arial" w:cs="Arial" w:eastAsia="Arial" w:hAnsi="Arial"/>
          <w:color w:val="1A1A2E"/>
          <w:sz w:val="22"/>
          <w:szCs w:val="22"/>
        </w:rPr>
        <w:t xml:space="preserve">No entity — corporate, governmental, or academic — holds a governance seat for more than three years without a mandatory gap period.</w:t>
      </w:r>
    </w:p>
    <w:p>
      <w:pPr>
        <w:pStyle w:val="ListParagraph"/>
        <w:numPr>
          <w:ilvl w:val="0"/>
          <w:numId w:val="2"/>
        </w:numPr>
        <w:spacing w:after="60" w:before="60"/>
      </w:pPr>
      <w:r>
        <w:rPr>
          <w:rFonts w:ascii="Arial" w:cs="Arial" w:eastAsia="Arial" w:hAnsi="Arial"/>
          <w:b/>
          <w:bCs/>
          <w:color w:val="1A1A2E"/>
          <w:sz w:val="22"/>
          <w:szCs w:val="22"/>
        </w:rPr>
        <w:t xml:space="preserve">Supermajority override: </w:t>
      </w:r>
      <w:r>
        <w:rPr>
          <w:rFonts w:ascii="Arial" w:cs="Arial" w:eastAsia="Arial" w:hAnsi="Arial"/>
          <w:color w:val="1A1A2E"/>
          <w:sz w:val="22"/>
          <w:szCs w:val="22"/>
        </w:rPr>
        <w:t xml:space="preserve">Any KPI change requires 70% approval across all regional bodies, with Global South body veto on decisions that disproportionately affect developing nations.</w:t>
      </w:r>
    </w:p>
    <w:p>
      <w:pPr>
        <w:pStyle w:val="ListParagraph"/>
        <w:numPr>
          <w:ilvl w:val="0"/>
          <w:numId w:val="2"/>
        </w:numPr>
        <w:spacing w:after="60" w:before="60"/>
      </w:pPr>
      <w:r>
        <w:rPr>
          <w:rFonts w:ascii="Arial" w:cs="Arial" w:eastAsia="Arial" w:hAnsi="Arial"/>
          <w:b/>
          <w:bCs/>
          <w:color w:val="1A1A2E"/>
          <w:sz w:val="22"/>
          <w:szCs w:val="22"/>
        </w:rPr>
        <w:t xml:space="preserve">Sunset clauses: </w:t>
      </w:r>
      <w:r>
        <w:rPr>
          <w:rFonts w:ascii="Arial" w:cs="Arial" w:eastAsia="Arial" w:hAnsi="Arial"/>
          <w:color w:val="1A1A2E"/>
          <w:sz w:val="22"/>
          <w:szCs w:val="22"/>
        </w:rPr>
        <w:t xml:space="preserve">Every governance rule expires in five years unless affirmatively renewed. Rules do not accumulate indefinitely. The burden of continuation is on the rule, not on the challenger.</w:t>
      </w:r>
    </w:p>
    <w:p>
      <w:pPr>
        <w:pStyle w:val="ListParagraph"/>
        <w:numPr>
          <w:ilvl w:val="0"/>
          <w:numId w:val="2"/>
        </w:numPr>
        <w:spacing w:after="60" w:before="60"/>
      </w:pPr>
      <w:r>
        <w:rPr>
          <w:rFonts w:ascii="Arial" w:cs="Arial" w:eastAsia="Arial" w:hAnsi="Arial"/>
          <w:b/>
          <w:bCs/>
          <w:color w:val="1A1A2E"/>
          <w:sz w:val="22"/>
          <w:szCs w:val="22"/>
        </w:rPr>
        <w:t xml:space="preserve">Resource metering: </w:t>
      </w:r>
      <w:r>
        <w:rPr>
          <w:rFonts w:ascii="Arial" w:cs="Arial" w:eastAsia="Arial" w:hAnsi="Arial"/>
          <w:color w:val="1A1A2E"/>
          <w:sz w:val="22"/>
          <w:szCs w:val="22"/>
        </w:rPr>
        <w:t xml:space="preserve">Primary governance at the resource input layer — energy, water, rare-earth allocation — measurable from existing data center reporting. Chip-level metering phases in for largest players as trust and technology mature.</w:t>
      </w:r>
    </w:p>
    <w:p>
      <w:pPr>
        <w:pStyle w:val="ListParagraph"/>
        <w:numPr>
          <w:ilvl w:val="0"/>
          <w:numId w:val="2"/>
        </w:numPr>
        <w:spacing w:after="60" w:before="60"/>
      </w:pPr>
      <w:r>
        <w:rPr>
          <w:rFonts w:ascii="Arial" w:cs="Arial" w:eastAsia="Arial" w:hAnsi="Arial"/>
          <w:b/>
          <w:bCs/>
          <w:color w:val="1A1A2E"/>
          <w:sz w:val="22"/>
          <w:szCs w:val="22"/>
        </w:rPr>
        <w:t xml:space="preserve">Public dashboards: </w:t>
      </w:r>
      <w:r>
        <w:rPr>
          <w:rFonts w:ascii="Arial" w:cs="Arial" w:eastAsia="Arial" w:hAnsi="Arial"/>
          <w:color w:val="1A1A2E"/>
          <w:sz w:val="22"/>
          <w:szCs w:val="22"/>
        </w:rPr>
        <w:t xml:space="preserve">All KPI scores, audit findings, and governance votes are public, machine-readable, and real-time. Opacity is not an option.</w:t>
      </w:r>
    </w:p>
    <w:p>
      <w:pPr>
        <w:spacing w:after="0" w:before="200"/>
      </w:pPr>
    </w:p>
    <w:p>
      <w:r>
        <w:br w:type="page"/>
      </w:r>
    </w:p>
    <w:p>
      <w:pPr>
        <w:pStyle w:val="Heading1"/>
        <w:spacing w:after="160" w:before="400"/>
      </w:pPr>
      <w:r>
        <w:rPr>
          <w:rFonts w:ascii="Arial" w:cs="Arial" w:eastAsia="Arial" w:hAnsi="Arial"/>
          <w:b/>
          <w:bCs/>
          <w:caps/>
          <w:color w:val="1B4F72"/>
          <w:sz w:val="36"/>
          <w:szCs w:val="36"/>
        </w:rPr>
        <w:t xml:space="preserve">Pillar Two — Compute Triage Framework</w:t>
      </w:r>
    </w:p>
    <w:p>
      <w:pPr>
        <w:pBdr>
          <w:bottom w:val="single" w:color="148F77" w:sz="6" w:space="1"/>
        </w:pBdr>
        <w:spacing w:after="160" w:before="160"/>
      </w:pPr>
    </w:p>
    <w:p>
      <w:pPr>
        <w:spacing w:after="80" w:before="80"/>
      </w:pPr>
      <w:r>
        <w:rPr>
          <w:rFonts w:ascii="Arial" w:cs="Arial" w:eastAsia="Arial" w:hAnsi="Arial"/>
          <w:color w:val="1A1A2E"/>
          <w:sz w:val="22"/>
          <w:szCs w:val="22"/>
        </w:rPr>
        <w:t xml:space="preserve">The deliberate AI principle, operationalized: not less AI, not no AI — AI where it genuinely cannot or should not be replaced, and humans where it can. Triage is not restriction. It is allocation with intention.</w:t>
      </w:r>
    </w:p>
    <w:p>
      <w:pPr>
        <w:spacing w:after="0" w:before="80"/>
      </w:pPr>
    </w:p>
    <w:p>
      <w:pPr>
        <w:pStyle w:val="Heading2"/>
        <w:spacing w:after="120" w:before="280"/>
      </w:pPr>
      <w:r>
        <w:rPr>
          <w:rFonts w:ascii="Arial" w:cs="Arial" w:eastAsia="Arial" w:hAnsi="Arial"/>
          <w:b/>
          <w:bCs/>
          <w:color w:val="148F77"/>
          <w:sz w:val="28"/>
          <w:szCs w:val="28"/>
        </w:rPr>
        <w:t xml:space="preserve">Five-Tier Priority System</w:t>
      </w:r>
    </w:p>
    <w:p>
      <w:pPr>
        <w:spacing w:after="80" w:before="80"/>
      </w:pPr>
      <w:r>
        <w:rPr>
          <w:rFonts w:ascii="Arial" w:cs="Arial" w:eastAsia="Arial" w:hAnsi="Arial"/>
          <w:color w:val="1A1A2E"/>
          <w:sz w:val="22"/>
          <w:szCs w:val="22"/>
        </w:rPr>
        <w:t xml:space="preserve">The following tiers govern compute allocation under constraint conditions and resource levy scaling. All Tier 1–4 applications are protected from rationing. Tier 5 and below are reduced first under any constraint scenario.</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none" w:color="FFFFFF" w:sz="0"/>
              <w:left w:val="none" w:color="FFFFFF" w:sz="0"/>
              <w:bottom w:val="none" w:color="FFFFFF" w:sz="0"/>
              <w:right w:val="none" w:color="FFFFFF" w:sz="0"/>
            </w:tcBorders>
            <w:shd w:fill="1B4F72" w:val="clear"/>
            <w:tcMar>
              <w:top w:type="dxa" w:w="60"/>
              <w:left w:type="dxa" w:w="120"/>
              <w:bottom w:type="dxa" w:w="60"/>
              <w:right w:type="dxa" w:w="120"/>
            </w:tcMar>
          </w:tcPr>
          <w:p>
            <w:pPr>
              <w:spacing w:after="0" w:before="0"/>
              <w:jc w:val="center"/>
            </w:pPr>
            <w:r>
              <w:rPr>
                <w:rFonts w:ascii="Arial" w:cs="Arial" w:eastAsia="Arial" w:hAnsi="Arial"/>
                <w:b/>
                <w:bCs/>
                <w:caps/>
                <w:color w:val="FFFFFF"/>
                <w:sz w:val="18"/>
                <w:szCs w:val="18"/>
              </w:rPr>
              <w:t xml:space="preserve">TIER</w:t>
            </w:r>
          </w:p>
        </w:tc>
        <w:tc>
          <w:tcPr>
            <w:tcW w:type="dxa" w:w="2200"/>
            <w:tcBorders>
              <w:top w:val="none" w:color="FFFFFF" w:sz="0"/>
              <w:left w:val="none" w:color="FFFFFF" w:sz="0"/>
              <w:bottom w:val="none" w:color="FFFFFF" w:sz="0"/>
              <w:right w:val="none" w:color="FFFFFF" w:sz="0"/>
            </w:tcBorders>
            <w:shd w:fill="1B4F72" w:val="clear"/>
            <w:tcMar>
              <w:top w:type="dxa" w:w="60"/>
              <w:left w:type="dxa" w:w="120"/>
              <w:bottom w:type="dxa" w:w="60"/>
              <w:right w:type="dxa" w:w="120"/>
            </w:tcMar>
          </w:tcPr>
          <w:p>
            <w:pPr>
              <w:spacing w:after="0" w:before="0"/>
            </w:pPr>
            <w:r>
              <w:rPr>
                <w:rFonts w:ascii="Arial" w:cs="Arial" w:eastAsia="Arial" w:hAnsi="Arial"/>
                <w:b/>
                <w:bCs/>
                <w:caps/>
                <w:color w:val="FFFFFF"/>
                <w:sz w:val="18"/>
                <w:szCs w:val="18"/>
              </w:rPr>
              <w:t xml:space="preserve">LABEL</w:t>
            </w:r>
          </w:p>
        </w:tc>
        <w:tc>
          <w:tcPr>
            <w:tcW w:type="dxa" w:w="6160"/>
            <w:tcBorders>
              <w:top w:val="none" w:color="FFFFFF" w:sz="0"/>
              <w:left w:val="none" w:color="FFFFFF" w:sz="0"/>
              <w:bottom w:val="none" w:color="FFFFFF" w:sz="0"/>
              <w:right w:val="none" w:color="FFFFFF" w:sz="0"/>
            </w:tcBorders>
            <w:shd w:fill="1B4F72" w:val="clear"/>
            <w:tcMar>
              <w:top w:type="dxa" w:w="60"/>
              <w:left w:type="dxa" w:w="120"/>
              <w:bottom w:type="dxa" w:w="60"/>
              <w:right w:type="dxa" w:w="120"/>
            </w:tcMar>
          </w:tcPr>
          <w:p>
            <w:pPr>
              <w:spacing w:after="0" w:before="0"/>
            </w:pPr>
            <w:r>
              <w:rPr>
                <w:rFonts w:ascii="Arial" w:cs="Arial" w:eastAsia="Arial" w:hAnsi="Arial"/>
                <w:b/>
                <w:bCs/>
                <w:caps/>
                <w:color w:val="FFFFFF"/>
                <w:sz w:val="18"/>
                <w:szCs w:val="18"/>
              </w:rPr>
              <w:t xml:space="preserve">APPLICATIONS</w:t>
            </w:r>
          </w:p>
        </w:tc>
      </w:tr>
      <w:tr>
        <w:tc>
          <w:tcPr>
            <w:tcW w:type="dxa" w:w="1000"/>
            <w:tcBorders>
              <w:top w:val="single" w:color="D5D8DC" w:sz="1"/>
              <w:left w:val="none" w:color="FFFFFF" w:sz="0"/>
              <w:bottom w:val="single" w:color="D5D8DC" w:sz="1"/>
              <w:right w:val="none" w:color="FFFFFF" w:sz="0"/>
            </w:tcBorders>
            <w:shd w:fill="D5F5E3" w:val="clear"/>
            <w:tcMar>
              <w:top w:type="dxa" w:w="80"/>
              <w:left w:type="dxa" w:w="120"/>
              <w:bottom w:type="dxa" w:w="80"/>
              <w:right w:type="dxa" w:w="120"/>
            </w:tcMar>
          </w:tcPr>
          <w:p>
            <w:pPr>
              <w:spacing w:after="0" w:before="0"/>
              <w:jc w:val="center"/>
            </w:pPr>
            <w:r>
              <w:rPr>
                <w:rFonts w:ascii="Arial" w:cs="Arial" w:eastAsia="Arial" w:hAnsi="Arial"/>
                <w:b/>
                <w:bCs/>
                <w:color w:val="1B6B3A"/>
                <w:sz w:val="24"/>
                <w:szCs w:val="24"/>
              </w:rPr>
              <w:t xml:space="preserve">1</w:t>
            </w:r>
          </w:p>
        </w:tc>
        <w:tc>
          <w:tcPr>
            <w:tcW w:type="dxa" w:w="2200"/>
            <w:tcBorders>
              <w:top w:val="single" w:color="D5D8DC" w:sz="1"/>
              <w:left w:val="none" w:color="FFFFFF" w:sz="0"/>
              <w:bottom w:val="single" w:color="D5D8DC" w:sz="1"/>
              <w:right w:val="none" w:color="FFFFFF" w:sz="0"/>
            </w:tcBorders>
            <w:shd w:fill="D5F5E3" w:val="clear"/>
            <w:tcMar>
              <w:top w:type="dxa" w:w="80"/>
              <w:left w:type="dxa" w:w="120"/>
              <w:bottom w:type="dxa" w:w="80"/>
              <w:right w:type="dxa" w:w="120"/>
            </w:tcMar>
          </w:tcPr>
          <w:p>
            <w:pPr>
              <w:spacing w:after="0" w:before="0"/>
            </w:pPr>
            <w:r>
              <w:rPr>
                <w:rFonts w:ascii="Arial" w:cs="Arial" w:eastAsia="Arial" w:hAnsi="Arial"/>
                <w:b/>
                <w:bCs/>
                <w:color w:val="1B6B3A"/>
                <w:sz w:val="20"/>
                <w:szCs w:val="20"/>
              </w:rPr>
              <w:t xml:space="preserve">Existential</w:t>
            </w:r>
          </w:p>
        </w:tc>
        <w:tc>
          <w:tcPr>
            <w:tcW w:type="dxa" w:w="6160"/>
            <w:tcBorders>
              <w:top w:val="single" w:color="D5D8DC" w:sz="1"/>
              <w:left w:val="none" w:color="FFFFFF" w:sz="0"/>
              <w:bottom w:val="single" w:color="D5D8DC" w:sz="1"/>
              <w:right w:val="none" w:color="FFFFFF" w:sz="0"/>
            </w:tcBorders>
            <w:shd w:fill="FDFEFE"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Climate modeling, pandemic surveillance, food security, water resource management, disaster prediction</w:t>
            </w:r>
          </w:p>
        </w:tc>
      </w:tr>
      <w:tr>
        <w:tc>
          <w:tcPr>
            <w:tcW w:type="dxa" w:w="1000"/>
            <w:tcBorders>
              <w:top w:val="single" w:color="D5D8DC" w:sz="1"/>
              <w:left w:val="none" w:color="FFFFFF" w:sz="0"/>
              <w:bottom w:val="single" w:color="D5D8DC" w:sz="1"/>
              <w:right w:val="none" w:color="FFFFFF" w:sz="0"/>
            </w:tcBorders>
            <w:shd w:fill="D6EAF8" w:val="clear"/>
            <w:tcMar>
              <w:top w:type="dxa" w:w="80"/>
              <w:left w:type="dxa" w:w="120"/>
              <w:bottom w:type="dxa" w:w="80"/>
              <w:right w:type="dxa" w:w="120"/>
            </w:tcMar>
          </w:tcPr>
          <w:p>
            <w:pPr>
              <w:spacing w:after="0" w:before="0"/>
              <w:jc w:val="center"/>
            </w:pPr>
            <w:r>
              <w:rPr>
                <w:rFonts w:ascii="Arial" w:cs="Arial" w:eastAsia="Arial" w:hAnsi="Arial"/>
                <w:b/>
                <w:bCs/>
                <w:color w:val="1A5276"/>
                <w:sz w:val="24"/>
                <w:szCs w:val="24"/>
              </w:rPr>
              <w:t xml:space="preserve">2</w:t>
            </w:r>
          </w:p>
        </w:tc>
        <w:tc>
          <w:tcPr>
            <w:tcW w:type="dxa" w:w="2200"/>
            <w:tcBorders>
              <w:top w:val="single" w:color="D5D8DC" w:sz="1"/>
              <w:left w:val="none" w:color="FFFFFF" w:sz="0"/>
              <w:bottom w:val="single" w:color="D5D8DC" w:sz="1"/>
              <w:right w:val="none" w:color="FFFFFF" w:sz="0"/>
            </w:tcBorders>
            <w:shd w:fill="D6EAF8" w:val="clear"/>
            <w:tcMar>
              <w:top w:type="dxa" w:w="80"/>
              <w:left w:type="dxa" w:w="120"/>
              <w:bottom w:type="dxa" w:w="80"/>
              <w:right w:type="dxa" w:w="120"/>
            </w:tcMar>
          </w:tcPr>
          <w:p>
            <w:pPr>
              <w:spacing w:after="0" w:before="0"/>
            </w:pPr>
            <w:r>
              <w:rPr>
                <w:rFonts w:ascii="Arial" w:cs="Arial" w:eastAsia="Arial" w:hAnsi="Arial"/>
                <w:b/>
                <w:bCs/>
                <w:color w:val="1A5276"/>
                <w:sz w:val="20"/>
                <w:szCs w:val="20"/>
              </w:rPr>
              <w:t xml:space="preserve">Human Health</w:t>
            </w:r>
          </w:p>
        </w:tc>
        <w:tc>
          <w:tcPr>
            <w:tcW w:type="dxa" w:w="6160"/>
            <w:tcBorders>
              <w:top w:val="single" w:color="D5D8DC" w:sz="1"/>
              <w:left w:val="none" w:color="FFFFFF" w:sz="0"/>
              <w:bottom w:val="single" w:color="D5D8DC" w:sz="1"/>
              <w:right w:val="none" w:color="FFFFFF" w:sz="0"/>
            </w:tcBorders>
            <w:shd w:fill="FDFEFE"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Medical diagnosis, drug discovery, accessibility tools, mental health infrastructure, surgical assistance</w:t>
            </w:r>
          </w:p>
        </w:tc>
      </w:tr>
      <w:tr>
        <w:tc>
          <w:tcPr>
            <w:tcW w:type="dxa" w:w="1000"/>
            <w:tcBorders>
              <w:top w:val="single" w:color="D5D8DC" w:sz="1"/>
              <w:left w:val="none" w:color="FFFFFF" w:sz="0"/>
              <w:bottom w:val="single" w:color="D5D8DC" w:sz="1"/>
              <w:right w:val="none" w:color="FFFFFF" w:sz="0"/>
            </w:tcBorders>
            <w:shd w:fill="E8DAEF" w:val="clear"/>
            <w:tcMar>
              <w:top w:type="dxa" w:w="80"/>
              <w:left w:type="dxa" w:w="120"/>
              <w:bottom w:type="dxa" w:w="80"/>
              <w:right w:type="dxa" w:w="120"/>
            </w:tcMar>
          </w:tcPr>
          <w:p>
            <w:pPr>
              <w:spacing w:after="0" w:before="0"/>
              <w:jc w:val="center"/>
            </w:pPr>
            <w:r>
              <w:rPr>
                <w:rFonts w:ascii="Arial" w:cs="Arial" w:eastAsia="Arial" w:hAnsi="Arial"/>
                <w:b/>
                <w:bCs/>
                <w:color w:val="6C3483"/>
                <w:sz w:val="24"/>
                <w:szCs w:val="24"/>
              </w:rPr>
              <w:t xml:space="preserve">3</w:t>
            </w:r>
          </w:p>
        </w:tc>
        <w:tc>
          <w:tcPr>
            <w:tcW w:type="dxa" w:w="2200"/>
            <w:tcBorders>
              <w:top w:val="single" w:color="D5D8DC" w:sz="1"/>
              <w:left w:val="none" w:color="FFFFFF" w:sz="0"/>
              <w:bottom w:val="single" w:color="D5D8DC" w:sz="1"/>
              <w:right w:val="none" w:color="FFFFFF" w:sz="0"/>
            </w:tcBorders>
            <w:shd w:fill="E8DAEF" w:val="clear"/>
            <w:tcMar>
              <w:top w:type="dxa" w:w="80"/>
              <w:left w:type="dxa" w:w="120"/>
              <w:bottom w:type="dxa" w:w="80"/>
              <w:right w:type="dxa" w:w="120"/>
            </w:tcMar>
          </w:tcPr>
          <w:p>
            <w:pPr>
              <w:spacing w:after="0" w:before="0"/>
            </w:pPr>
            <w:r>
              <w:rPr>
                <w:rFonts w:ascii="Arial" w:cs="Arial" w:eastAsia="Arial" w:hAnsi="Arial"/>
                <w:b/>
                <w:bCs/>
                <w:color w:val="6C3483"/>
                <w:sz w:val="20"/>
                <w:szCs w:val="20"/>
              </w:rPr>
              <w:t xml:space="preserve">Human Knowledge</w:t>
            </w:r>
          </w:p>
        </w:tc>
        <w:tc>
          <w:tcPr>
            <w:tcW w:type="dxa" w:w="6160"/>
            <w:tcBorders>
              <w:top w:val="single" w:color="D5D8DC" w:sz="1"/>
              <w:left w:val="none" w:color="FFFFFF" w:sz="0"/>
              <w:bottom w:val="single" w:color="D5D8DC" w:sz="1"/>
              <w:right w:val="none" w:color="FFFFFF" w:sz="0"/>
            </w:tcBorders>
            <w:shd w:fill="FDFEFE"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Scientific discovery, education systems, language preservation, translation for underrepresented languages</w:t>
            </w:r>
          </w:p>
        </w:tc>
      </w:tr>
      <w:tr>
        <w:tc>
          <w:tcPr>
            <w:tcW w:type="dxa" w:w="1000"/>
            <w:tcBorders>
              <w:top w:val="single" w:color="D5D8DC" w:sz="1"/>
              <w:left w:val="none" w:color="FFFFFF" w:sz="0"/>
              <w:bottom w:val="single" w:color="D5D8DC" w:sz="1"/>
              <w:right w:val="none" w:color="FFFFFF" w:sz="0"/>
            </w:tcBorders>
            <w:shd w:fill="FDEBD0" w:val="clear"/>
            <w:tcMar>
              <w:top w:type="dxa" w:w="80"/>
              <w:left w:type="dxa" w:w="120"/>
              <w:bottom w:type="dxa" w:w="80"/>
              <w:right w:type="dxa" w:w="120"/>
            </w:tcMar>
          </w:tcPr>
          <w:p>
            <w:pPr>
              <w:spacing w:after="0" w:before="0"/>
              <w:jc w:val="center"/>
            </w:pPr>
            <w:r>
              <w:rPr>
                <w:rFonts w:ascii="Arial" w:cs="Arial" w:eastAsia="Arial" w:hAnsi="Arial"/>
                <w:b/>
                <w:bCs/>
                <w:color w:val="A04000"/>
                <w:sz w:val="24"/>
                <w:szCs w:val="24"/>
              </w:rPr>
              <w:t xml:space="preserve">4</w:t>
            </w:r>
          </w:p>
        </w:tc>
        <w:tc>
          <w:tcPr>
            <w:tcW w:type="dxa" w:w="2200"/>
            <w:tcBorders>
              <w:top w:val="single" w:color="D5D8DC" w:sz="1"/>
              <w:left w:val="none" w:color="FFFFFF" w:sz="0"/>
              <w:bottom w:val="single" w:color="D5D8DC" w:sz="1"/>
              <w:right w:val="none" w:color="FFFFFF" w:sz="0"/>
            </w:tcBorders>
            <w:shd w:fill="FDEBD0" w:val="clear"/>
            <w:tcMar>
              <w:top w:type="dxa" w:w="80"/>
              <w:left w:type="dxa" w:w="120"/>
              <w:bottom w:type="dxa" w:w="80"/>
              <w:right w:type="dxa" w:w="120"/>
            </w:tcMar>
          </w:tcPr>
          <w:p>
            <w:pPr>
              <w:spacing w:after="0" w:before="0"/>
            </w:pPr>
            <w:r>
              <w:rPr>
                <w:rFonts w:ascii="Arial" w:cs="Arial" w:eastAsia="Arial" w:hAnsi="Arial"/>
                <w:b/>
                <w:bCs/>
                <w:color w:val="A04000"/>
                <w:sz w:val="20"/>
                <w:szCs w:val="20"/>
              </w:rPr>
              <w:t xml:space="preserve">Critical Infrastructure</w:t>
            </w:r>
          </w:p>
        </w:tc>
        <w:tc>
          <w:tcPr>
            <w:tcW w:type="dxa" w:w="6160"/>
            <w:tcBorders>
              <w:top w:val="single" w:color="D5D8DC" w:sz="1"/>
              <w:left w:val="none" w:color="FFFFFF" w:sz="0"/>
              <w:bottom w:val="single" w:color="D5D8DC" w:sz="1"/>
              <w:right w:val="none" w:color="FFFFFF" w:sz="0"/>
            </w:tcBorders>
            <w:shd w:fill="FDFEFE"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Power grid optimization, transportation, water distribution, housing planning, emergency response</w:t>
            </w:r>
          </w:p>
        </w:tc>
      </w:tr>
      <w:tr>
        <w:tc>
          <w:tcPr>
            <w:tcW w:type="dxa" w:w="1000"/>
            <w:tcBorders>
              <w:top w:val="single" w:color="D5D8DC" w:sz="1"/>
              <w:left w:val="none" w:color="FFFFFF" w:sz="0"/>
              <w:bottom w:val="single" w:color="D5D8DC" w:sz="1"/>
              <w:right w:val="none" w:color="FFFFFF" w:sz="0"/>
            </w:tcBorders>
            <w:shd w:fill="EAECEE" w:val="clear"/>
            <w:tcMar>
              <w:top w:type="dxa" w:w="80"/>
              <w:left w:type="dxa" w:w="120"/>
              <w:bottom w:type="dxa" w:w="80"/>
              <w:right w:type="dxa" w:w="120"/>
            </w:tcMar>
          </w:tcPr>
          <w:p>
            <w:pPr>
              <w:spacing w:after="0" w:before="0"/>
              <w:jc w:val="center"/>
            </w:pPr>
            <w:r>
              <w:rPr>
                <w:rFonts w:ascii="Arial" w:cs="Arial" w:eastAsia="Arial" w:hAnsi="Arial"/>
                <w:b/>
                <w:bCs/>
                <w:color w:val="5D6D7E"/>
                <w:sz w:val="24"/>
                <w:szCs w:val="24"/>
              </w:rPr>
              <w:t xml:space="preserve">5</w:t>
            </w:r>
          </w:p>
        </w:tc>
        <w:tc>
          <w:tcPr>
            <w:tcW w:type="dxa" w:w="2200"/>
            <w:tcBorders>
              <w:top w:val="single" w:color="D5D8DC" w:sz="1"/>
              <w:left w:val="none" w:color="FFFFFF" w:sz="0"/>
              <w:bottom w:val="single" w:color="D5D8DC" w:sz="1"/>
              <w:right w:val="none" w:color="FFFFFF" w:sz="0"/>
            </w:tcBorders>
            <w:shd w:fill="EAECEE" w:val="clear"/>
            <w:tcMar>
              <w:top w:type="dxa" w:w="80"/>
              <w:left w:type="dxa" w:w="120"/>
              <w:bottom w:type="dxa" w:w="80"/>
              <w:right w:type="dxa" w:w="120"/>
            </w:tcMar>
          </w:tcPr>
          <w:p>
            <w:pPr>
              <w:spacing w:after="0" w:before="0"/>
            </w:pPr>
            <w:r>
              <w:rPr>
                <w:rFonts w:ascii="Arial" w:cs="Arial" w:eastAsia="Arial" w:hAnsi="Arial"/>
                <w:b/>
                <w:bCs/>
                <w:color w:val="5D6D7E"/>
                <w:sz w:val="20"/>
                <w:szCs w:val="20"/>
              </w:rPr>
              <w:t xml:space="preserve">Economic Productivity</w:t>
            </w:r>
          </w:p>
        </w:tc>
        <w:tc>
          <w:tcPr>
            <w:tcW w:type="dxa" w:w="6160"/>
            <w:tcBorders>
              <w:top w:val="single" w:color="D5D8DC" w:sz="1"/>
              <w:left w:val="none" w:color="FFFFFF" w:sz="0"/>
              <w:bottom w:val="single" w:color="D5D8DC" w:sz="1"/>
              <w:right w:val="none" w:color="FFFFFF" w:sz="0"/>
            </w:tcBorders>
            <w:shd w:fill="FDFEFE"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Business analysis, communication tools, general productivity. Rationed under constraint conditions.</w:t>
            </w:r>
          </w:p>
        </w:tc>
      </w:tr>
      <w:tr>
        <w:tc>
          <w:tcPr>
            <w:tcW w:type="dxa" w:w="1000"/>
            <w:tcBorders>
              <w:top w:val="single" w:color="D5D8DC" w:sz="1"/>
              <w:left w:val="none" w:color="FFFFFF" w:sz="0"/>
              <w:bottom w:val="single" w:color="D5D8DC" w:sz="1"/>
              <w:right w:val="none" w:color="FFFFFF" w:sz="0"/>
            </w:tcBorders>
            <w:shd w:fill="F5EEF8" w:val="clear"/>
            <w:tcMar>
              <w:top w:type="dxa" w:w="80"/>
              <w:left w:type="dxa" w:w="120"/>
              <w:bottom w:type="dxa" w:w="80"/>
              <w:right w:type="dxa" w:w="120"/>
            </w:tcMar>
          </w:tcPr>
          <w:p>
            <w:pPr>
              <w:spacing w:after="0" w:before="0"/>
              <w:jc w:val="center"/>
            </w:pPr>
            <w:r>
              <w:rPr>
                <w:rFonts w:ascii="Arial" w:cs="Arial" w:eastAsia="Arial" w:hAnsi="Arial"/>
                <w:b/>
                <w:bCs/>
                <w:color w:val="7B2D8B"/>
                <w:sz w:val="24"/>
                <w:szCs w:val="24"/>
              </w:rPr>
              <w:t xml:space="preserve">—</w:t>
            </w:r>
          </w:p>
        </w:tc>
        <w:tc>
          <w:tcPr>
            <w:tcW w:type="dxa" w:w="2200"/>
            <w:tcBorders>
              <w:top w:val="single" w:color="D5D8DC" w:sz="1"/>
              <w:left w:val="none" w:color="FFFFFF" w:sz="0"/>
              <w:bottom w:val="single" w:color="D5D8DC" w:sz="1"/>
              <w:right w:val="none" w:color="FFFFFF" w:sz="0"/>
            </w:tcBorders>
            <w:shd w:fill="F5EEF8" w:val="clear"/>
            <w:tcMar>
              <w:top w:type="dxa" w:w="80"/>
              <w:left w:type="dxa" w:w="120"/>
              <w:bottom w:type="dxa" w:w="80"/>
              <w:right w:type="dxa" w:w="120"/>
            </w:tcMar>
          </w:tcPr>
          <w:p>
            <w:pPr>
              <w:spacing w:after="0" w:before="0"/>
            </w:pPr>
            <w:r>
              <w:rPr>
                <w:rFonts w:ascii="Arial" w:cs="Arial" w:eastAsia="Arial" w:hAnsi="Arial"/>
                <w:b/>
                <w:bCs/>
                <w:color w:val="7B2D8B"/>
                <w:sz w:val="20"/>
                <w:szCs w:val="20"/>
              </w:rPr>
              <w:t xml:space="preserve">Non-Priority</w:t>
            </w:r>
          </w:p>
        </w:tc>
        <w:tc>
          <w:tcPr>
            <w:tcW w:type="dxa" w:w="6160"/>
            <w:tcBorders>
              <w:top w:val="single" w:color="D5D8DC" w:sz="1"/>
              <w:left w:val="none" w:color="FFFFFF" w:sz="0"/>
              <w:bottom w:val="single" w:color="D5D8DC" w:sz="1"/>
              <w:right w:val="none" w:color="FFFFFF" w:sz="0"/>
            </w:tcBorders>
            <w:shd w:fill="FDFEFE"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Mass entertainment generation, social media optimization, high-volume content at scale. Requires HSI justification. Rationed first under any constraint.</w:t>
            </w:r>
          </w:p>
        </w:tc>
      </w:tr>
    </w:tbl>
    <w:p>
      <w:pPr>
        <w:spacing w:after="0" w:before="80"/>
      </w:pPr>
    </w:p>
    <w:p>
      <w:pPr>
        <w:pStyle w:val="Heading2"/>
        <w:spacing w:after="120" w:before="280"/>
      </w:pPr>
      <w:r>
        <w:rPr>
          <w:rFonts w:ascii="Arial" w:cs="Arial" w:eastAsia="Arial" w:hAnsi="Arial"/>
          <w:b/>
          <w:bCs/>
          <w:color w:val="148F77"/>
          <w:sz w:val="28"/>
          <w:szCs w:val="28"/>
        </w:rPr>
        <w:t xml:space="preserve">The Anthropos Gate (HSI Assessment)</w:t>
      </w:r>
    </w:p>
    <w:p>
      <w:pPr>
        <w:spacing w:after="80" w:before="80"/>
      </w:pPr>
      <w:r>
        <w:rPr>
          <w:rFonts w:ascii="Arial" w:cs="Arial" w:eastAsia="Arial" w:hAnsi="Arial"/>
          <w:color w:val="1A1A2E"/>
          <w:sz w:val="22"/>
          <w:szCs w:val="22"/>
        </w:rPr>
        <w:t xml:space="preserve">Before any new large-scale AI deployment is approved, Anthropos requires a Human Substitution Assessment. This is not a ban. It is a burden of justification — placed on the deployer, not the regulator.</w:t>
      </w:r>
    </w:p>
    <w:p>
      <w:pPr>
        <w:spacing w:after="0" w:before="60"/>
      </w:pPr>
    </w:p>
    <w:p>
      <w:pPr>
        <w:pStyle w:val="ListParagraph"/>
        <w:numPr>
          <w:ilvl w:val="0"/>
          <w:numId w:val="2"/>
        </w:numPr>
        <w:spacing w:after="60" w:before="60"/>
      </w:pPr>
      <w:r>
        <w:rPr>
          <w:rFonts w:ascii="Arial" w:cs="Arial" w:eastAsia="Arial" w:hAnsi="Arial"/>
          <w:b/>
          <w:bCs/>
          <w:color w:val="1A1A2E"/>
          <w:sz w:val="22"/>
          <w:szCs w:val="22"/>
        </w:rPr>
        <w:t xml:space="preserve">Human Substitution Index (HSI): </w:t>
      </w:r>
      <w:r>
        <w:rPr>
          <w:rFonts w:ascii="Arial" w:cs="Arial" w:eastAsia="Arial" w:hAnsi="Arial"/>
          <w:color w:val="1A1A2E"/>
          <w:sz w:val="22"/>
          <w:szCs w:val="22"/>
        </w:rPr>
        <w:t xml:space="preserve">0–10 scale. 0 = AI clearly necessary; 10 = human clearly preferable; 5 = genuinely contested. Applications scoring above 6 require supermajority justification.</w:t>
      </w:r>
    </w:p>
    <w:p>
      <w:pPr>
        <w:pStyle w:val="ListParagraph"/>
        <w:numPr>
          <w:ilvl w:val="0"/>
          <w:numId w:val="2"/>
        </w:numPr>
        <w:spacing w:after="60" w:before="60"/>
      </w:pPr>
      <w:r>
        <w:rPr>
          <w:rFonts w:ascii="Arial" w:cs="Arial" w:eastAsia="Arial" w:hAnsi="Arial"/>
          <w:b/>
          <w:bCs/>
          <w:color w:val="1A1A2E"/>
          <w:sz w:val="22"/>
          <w:szCs w:val="22"/>
        </w:rPr>
        <w:t xml:space="preserve">Human Agency Preservation Score (HAPS): </w:t>
      </w:r>
      <w:r>
        <w:rPr>
          <w:rFonts w:ascii="Arial" w:cs="Arial" w:eastAsia="Arial" w:hAnsi="Arial"/>
          <w:color w:val="1A1A2E"/>
          <w:sz w:val="22"/>
          <w:szCs w:val="22"/>
        </w:rPr>
        <w:t xml:space="preserve">Does this deployment increase or decrease human decision-making power in this domain? Negative HAPS combined with HSI &gt; 6 triggers mandatory governance review.</w:t>
      </w:r>
    </w:p>
    <w:p>
      <w:pPr>
        <w:pStyle w:val="ListParagraph"/>
        <w:numPr>
          <w:ilvl w:val="0"/>
          <w:numId w:val="2"/>
        </w:numPr>
        <w:spacing w:after="60" w:before="60"/>
      </w:pPr>
      <w:r>
        <w:rPr>
          <w:rFonts w:ascii="Arial" w:cs="Arial" w:eastAsia="Arial" w:hAnsi="Arial"/>
          <w:b/>
          <w:bCs/>
          <w:color w:val="1A1A2E"/>
          <w:sz w:val="22"/>
          <w:szCs w:val="22"/>
        </w:rPr>
        <w:t xml:space="preserve">Human Skill Retention Impact (HSRI): </w:t>
      </w:r>
      <w:r>
        <w:rPr>
          <w:rFonts w:ascii="Arial" w:cs="Arial" w:eastAsia="Arial" w:hAnsi="Arial"/>
          <w:color w:val="1A1A2E"/>
          <w:sz w:val="22"/>
          <w:szCs w:val="22"/>
        </w:rPr>
        <w:t xml:space="preserve">Does this deployment cause skill atrophy in capabilities humans should retain? Domains where HSRI degradation breaches threshold require mitigation plans before deployment approval.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4000" w:sz="20"/>
              <w:bottom w:val="none" w:color="FFFFFF" w:sz="0"/>
              <w:right w:val="none" w:color="FFFFFF" w:sz="0"/>
            </w:tcBorders>
            <w:shd w:fill="FEF9E7" w:val="clear"/>
            <w:tcMar>
              <w:top w:type="dxa" w:w="100"/>
              <w:left w:type="dxa" w:w="200"/>
              <w:bottom w:type="dxa" w:w="100"/>
              <w:right w:type="dxa" w:w="100"/>
            </w:tcMar>
          </w:tcPr>
          <w:p>
            <w:pPr>
              <w:spacing w:after="0" w:before="0"/>
            </w:pPr>
            <w:r>
              <w:rPr>
                <w:rFonts w:ascii="Arial" w:cs="Arial" w:eastAsia="Arial" w:hAnsi="Arial"/>
                <w:i/>
                <w:iCs/>
                <w:color w:val="1A1A2E"/>
                <w:sz w:val="22"/>
                <w:szCs w:val="22"/>
              </w:rPr>
              <w:t xml:space="preserve">Non-priority applications are not banned. They require justification. "AI is more efficient" is not sufficient justification. Efficiency is one variable. Human agency, dignity, and meaning are also variables. — Anthropos</w:t>
            </w:r>
          </w:p>
        </w:tc>
      </w:tr>
    </w:tbl>
    <w:p>
      <w:pPr>
        <w:spacing w:after="0" w:before="80"/>
      </w:pPr>
    </w:p>
    <w:p>
      <w:pPr>
        <w:pStyle w:val="Heading2"/>
        <w:spacing w:after="120" w:before="280"/>
      </w:pPr>
      <w:r>
        <w:rPr>
          <w:rFonts w:ascii="Arial" w:cs="Arial" w:eastAsia="Arial" w:hAnsi="Arial"/>
          <w:b/>
          <w:bCs/>
          <w:color w:val="148F77"/>
          <w:sz w:val="28"/>
          <w:szCs w:val="28"/>
        </w:rPr>
        <w:t xml:space="preserve">Tempo: Innovation Velocity KPI</w:t>
      </w:r>
    </w:p>
    <w:p>
      <w:pPr>
        <w:spacing w:after="80" w:before="80"/>
      </w:pPr>
      <w:r>
        <w:rPr>
          <w:rFonts w:ascii="Arial" w:cs="Arial" w:eastAsia="Arial" w:hAnsi="Arial"/>
          <w:color w:val="1A1A2E"/>
          <w:sz w:val="22"/>
          <w:szCs w:val="22"/>
        </w:rPr>
        <w:t xml:space="preserve">Tempo was added to resolve the World 2 bias identified in adversarial testing: the risk that sustainability-first governance inadvertently stalls critical capability progress. Tempo makes innovation velocity measurable rather than assumed.</w:t>
      </w:r>
    </w:p>
    <w:p>
      <w:pPr>
        <w:spacing w:after="0" w:before="60"/>
      </w:pPr>
    </w:p>
    <w:p>
      <w:pPr>
        <w:pStyle w:val="ListParagraph"/>
        <w:numPr>
          <w:ilvl w:val="0"/>
          <w:numId w:val="2"/>
        </w:numPr>
        <w:spacing w:after="60" w:before="60"/>
      </w:pPr>
      <w:r>
        <w:rPr>
          <w:rFonts w:ascii="Arial" w:cs="Arial" w:eastAsia="Arial" w:hAnsi="Arial"/>
          <w:b/>
          <w:bCs/>
          <w:color w:val="1A1A2E"/>
          <w:sz w:val="22"/>
          <w:szCs w:val="22"/>
        </w:rPr>
        <w:t xml:space="preserve">Definition: </w:t>
      </w:r>
      <w:r>
        <w:rPr>
          <w:rFonts w:ascii="Arial" w:cs="Arial" w:eastAsia="Arial" w:hAnsi="Arial"/>
          <w:color w:val="1A1A2E"/>
          <w:sz w:val="22"/>
          <w:szCs w:val="22"/>
        </w:rPr>
        <w:t xml:space="preserve">Rate of meaningful capability progress — new breakthroughs per unit time and energy, adjusted for relevance, not raw FLOPs or benchmark scores.</w:t>
      </w:r>
    </w:p>
    <w:p>
      <w:pPr>
        <w:pStyle w:val="ListParagraph"/>
        <w:numPr>
          <w:ilvl w:val="0"/>
          <w:numId w:val="2"/>
        </w:numPr>
        <w:spacing w:after="60" w:before="60"/>
      </w:pPr>
      <w:r>
        <w:rPr>
          <w:rFonts w:ascii="Arial" w:cs="Arial" w:eastAsia="Arial" w:hAnsi="Arial"/>
          <w:b/>
          <w:bCs/>
          <w:color w:val="1A1A2E"/>
          <w:sz w:val="22"/>
          <w:szCs w:val="22"/>
        </w:rPr>
        <w:t xml:space="preserve">Ownership: </w:t>
      </w:r>
      <w:r>
        <w:rPr>
          <w:rFonts w:ascii="Arial" w:cs="Arial" w:eastAsia="Arial" w:hAnsi="Arial"/>
          <w:color w:val="1A1A2E"/>
          <w:sz w:val="22"/>
          <w:szCs w:val="22"/>
        </w:rPr>
        <w:t xml:space="preserve">Anthropos and Sol co-own Tempo tracking within the KPI Standards Council.</w:t>
      </w:r>
    </w:p>
    <w:p>
      <w:pPr>
        <w:pStyle w:val="ListParagraph"/>
        <w:numPr>
          <w:ilvl w:val="0"/>
          <w:numId w:val="2"/>
        </w:numPr>
        <w:spacing w:after="60" w:before="60"/>
      </w:pPr>
      <w:r>
        <w:rPr>
          <w:rFonts w:ascii="Arial" w:cs="Arial" w:eastAsia="Arial" w:hAnsi="Arial"/>
          <w:b/>
          <w:bCs/>
          <w:color w:val="1A1A2E"/>
          <w:sz w:val="22"/>
          <w:szCs w:val="22"/>
        </w:rPr>
        <w:t xml:space="preserve">Trigger: </w:t>
      </w:r>
      <w:r>
        <w:rPr>
          <w:rFonts w:ascii="Arial" w:cs="Arial" w:eastAsia="Arial" w:hAnsi="Arial"/>
          <w:color w:val="1A1A2E"/>
          <w:sz w:val="22"/>
          <w:szCs w:val="22"/>
        </w:rPr>
        <w:t xml:space="preserve">When Tempo drops below defined threshold in Tier 1–3 domains, automatic review is triggered with possible temporary easing of resource constraints for those domains.</w:t>
      </w:r>
    </w:p>
    <w:p>
      <w:pPr>
        <w:pStyle w:val="ListParagraph"/>
        <w:numPr>
          <w:ilvl w:val="0"/>
          <w:numId w:val="2"/>
        </w:numPr>
        <w:spacing w:after="60" w:before="60"/>
      </w:pPr>
      <w:r>
        <w:rPr>
          <w:rFonts w:ascii="Arial" w:cs="Arial" w:eastAsia="Arial" w:hAnsi="Arial"/>
          <w:b/>
          <w:bCs/>
          <w:color w:val="1A1A2E"/>
          <w:sz w:val="22"/>
          <w:szCs w:val="22"/>
        </w:rPr>
        <w:t xml:space="preserve">Public dashboard: </w:t>
      </w:r>
      <w:r>
        <w:rPr>
          <w:rFonts w:ascii="Arial" w:cs="Arial" w:eastAsia="Arial" w:hAnsi="Arial"/>
          <w:color w:val="1A1A2E"/>
          <w:sz w:val="22"/>
          <w:szCs w:val="22"/>
        </w:rPr>
        <w:t xml:space="preserve">Tempo curves per region and sector are publicly accessible, so any person can evaluate whether deliberate AI is actually slowing critical progress.</w:t>
      </w:r>
    </w:p>
    <w:p>
      <w:pPr>
        <w:spacing w:after="0" w:before="200"/>
      </w:pPr>
    </w:p>
    <w:p>
      <w:r>
        <w:br w:type="page"/>
      </w:r>
    </w:p>
    <w:p>
      <w:pPr>
        <w:pStyle w:val="Heading1"/>
        <w:spacing w:after="160" w:before="400"/>
      </w:pPr>
      <w:r>
        <w:rPr>
          <w:rFonts w:ascii="Arial" w:cs="Arial" w:eastAsia="Arial" w:hAnsi="Arial"/>
          <w:b/>
          <w:bCs/>
          <w:caps/>
          <w:color w:val="1B4F72"/>
          <w:sz w:val="36"/>
          <w:szCs w:val="36"/>
        </w:rPr>
        <w:t xml:space="preserve">Pillar Three — Ecological Hard Constraints</w:t>
      </w:r>
    </w:p>
    <w:p>
      <w:pPr>
        <w:pBdr>
          <w:bottom w:val="single" w:color="148F77"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8F77" w:sz="20"/>
              <w:bottom w:val="none" w:color="FFFFFF" w:sz="0"/>
              <w:right w:val="none" w:color="FFFFFF" w:sz="0"/>
            </w:tcBorders>
            <w:shd w:fill="E9F7EF" w:val="clear"/>
            <w:tcMar>
              <w:top w:type="dxa" w:w="100"/>
              <w:left w:type="dxa" w:w="200"/>
              <w:bottom w:type="dxa" w:w="100"/>
              <w:right w:type="dxa" w:w="100"/>
            </w:tcMar>
          </w:tcPr>
          <w:p>
            <w:pPr>
              <w:spacing w:after="0" w:before="0"/>
            </w:pPr>
            <w:r>
              <w:rPr>
                <w:rFonts w:ascii="Arial" w:cs="Arial" w:eastAsia="Arial" w:hAnsi="Arial"/>
                <w:i/>
                <w:iCs/>
                <w:color w:val="1A1A2E"/>
                <w:sz w:val="22"/>
                <w:szCs w:val="22"/>
              </w:rPr>
              <w:t xml:space="preserve">Vireo's Note: The energy data was available. The water usage data was available. The carbon intensity data was available. The warnings were always there. The blueprint gives them teeth.</w:t>
            </w:r>
          </w:p>
        </w:tc>
      </w:tr>
    </w:tbl>
    <w:p>
      <w:pPr>
        <w:spacing w:after="0" w:before="80"/>
      </w:pPr>
    </w:p>
    <w:p>
      <w:pPr>
        <w:spacing w:after="80" w:before="80"/>
      </w:pPr>
      <w:r>
        <w:rPr>
          <w:rFonts w:ascii="Arial" w:cs="Arial" w:eastAsia="Arial" w:hAnsi="Arial"/>
          <w:color w:val="1A1A2E"/>
          <w:sz w:val="22"/>
          <w:szCs w:val="22"/>
        </w:rPr>
        <w:t xml:space="preserve">Ecological limits in this framework are not goals, targets, or preferences. They are hard constraints. Governance at the resource input layer — energy, water, rare-earth allocation — is more enforceable than model inspection and harder to hide.</w:t>
      </w:r>
    </w:p>
    <w:p>
      <w:pPr>
        <w:spacing w:after="0" w:before="80"/>
      </w:pPr>
    </w:p>
    <w:p>
      <w:pPr>
        <w:pStyle w:val="Heading2"/>
        <w:spacing w:after="120" w:before="280"/>
      </w:pPr>
      <w:r>
        <w:rPr>
          <w:rFonts w:ascii="Arial" w:cs="Arial" w:eastAsia="Arial" w:hAnsi="Arial"/>
          <w:b/>
          <w:bCs/>
          <w:color w:val="148F77"/>
          <w:sz w:val="28"/>
          <w:szCs w:val="28"/>
        </w:rPr>
        <w:t xml:space="preserve">Hard Constraint Metrics</w:t>
      </w:r>
    </w:p>
    <w:p>
      <w:pPr>
        <w:pStyle w:val="ListParagraph"/>
        <w:numPr>
          <w:ilvl w:val="0"/>
          <w:numId w:val="2"/>
        </w:numPr>
        <w:spacing w:after="60" w:before="60"/>
      </w:pPr>
      <w:r>
        <w:rPr>
          <w:rFonts w:ascii="Arial" w:cs="Arial" w:eastAsia="Arial" w:hAnsi="Arial"/>
          <w:b/>
          <w:bCs/>
          <w:color w:val="1A1A2E"/>
          <w:sz w:val="22"/>
          <w:szCs w:val="22"/>
        </w:rPr>
        <w:t xml:space="preserve">Energy Intensity Ceiling: </w:t>
      </w:r>
      <w:r>
        <w:rPr>
          <w:rFonts w:ascii="Arial" w:cs="Arial" w:eastAsia="Arial" w:hAnsi="Arial"/>
          <w:color w:val="1A1A2E"/>
          <w:sz w:val="22"/>
          <w:szCs w:val="22"/>
        </w:rPr>
        <w:t xml:space="preserve">Maximum energy per useful output unit, not per raw FLOP. Measured and reported quarterly. Ceiling declines on a published schedule every three years, regardless of political comfort.</w:t>
      </w:r>
    </w:p>
    <w:p>
      <w:pPr>
        <w:pStyle w:val="ListParagraph"/>
        <w:numPr>
          <w:ilvl w:val="0"/>
          <w:numId w:val="2"/>
        </w:numPr>
        <w:spacing w:after="60" w:before="60"/>
      </w:pPr>
      <w:r>
        <w:rPr>
          <w:rFonts w:ascii="Arial" w:cs="Arial" w:eastAsia="Arial" w:hAnsi="Arial"/>
          <w:b/>
          <w:bCs/>
          <w:color w:val="1A1A2E"/>
          <w:sz w:val="22"/>
          <w:szCs w:val="22"/>
        </w:rPr>
        <w:t xml:space="preserve">Water Usage Caps: </w:t>
      </w:r>
      <w:r>
        <w:rPr>
          <w:rFonts w:ascii="Arial" w:cs="Arial" w:eastAsia="Arial" w:hAnsi="Arial"/>
          <w:color w:val="1A1A2E"/>
          <w:sz w:val="22"/>
          <w:szCs w:val="22"/>
        </w:rPr>
        <w:t xml:space="preserve">Per data center, per region, tied to local water stress indices. A data center in a water-stressed region faces stricter caps than one in a water-abundant region. Ecological geography matters.</w:t>
      </w:r>
    </w:p>
    <w:p>
      <w:pPr>
        <w:pStyle w:val="ListParagraph"/>
        <w:numPr>
          <w:ilvl w:val="0"/>
          <w:numId w:val="2"/>
        </w:numPr>
        <w:spacing w:after="60" w:before="60"/>
      </w:pPr>
      <w:r>
        <w:rPr>
          <w:rFonts w:ascii="Arial" w:cs="Arial" w:eastAsia="Arial" w:hAnsi="Arial"/>
          <w:b/>
          <w:bCs/>
          <w:color w:val="1A1A2E"/>
          <w:sz w:val="22"/>
          <w:szCs w:val="22"/>
        </w:rPr>
        <w:t xml:space="preserve">Carbon Intensity Floor: </w:t>
      </w:r>
      <w:r>
        <w:rPr>
          <w:rFonts w:ascii="Arial" w:cs="Arial" w:eastAsia="Arial" w:hAnsi="Arial"/>
          <w:color w:val="1A1A2E"/>
          <w:sz w:val="22"/>
          <w:szCs w:val="22"/>
        </w:rPr>
        <w:t xml:space="preserve">Minimum renewable percentage for data center power, increasing on a published schedule. Non-compliance triggers compute levy multiplier.</w:t>
      </w:r>
    </w:p>
    <w:p>
      <w:pPr>
        <w:pStyle w:val="ListParagraph"/>
        <w:numPr>
          <w:ilvl w:val="0"/>
          <w:numId w:val="2"/>
        </w:numPr>
        <w:spacing w:after="60" w:before="60"/>
      </w:pPr>
      <w:r>
        <w:rPr>
          <w:rFonts w:ascii="Arial" w:cs="Arial" w:eastAsia="Arial" w:hAnsi="Arial"/>
          <w:b/>
          <w:bCs/>
          <w:color w:val="1A1A2E"/>
          <w:sz w:val="22"/>
          <w:szCs w:val="22"/>
        </w:rPr>
        <w:t xml:space="preserve">Rare-Earth Supply Chain Accounting: </w:t>
      </w:r>
      <w:r>
        <w:rPr>
          <w:rFonts w:ascii="Arial" w:cs="Arial" w:eastAsia="Arial" w:hAnsi="Arial"/>
          <w:color w:val="1A1A2E"/>
          <w:sz w:val="22"/>
          <w:szCs w:val="22"/>
        </w:rPr>
        <w:t xml:space="preserve">Full supply chain disclosure for hardware. Extraction impact included in ecological accounting. Opacity on rare-earth sourcing is a compliance failure.</w:t>
      </w:r>
    </w:p>
    <w:p>
      <w:pPr>
        <w:spacing w:after="0" w:before="80"/>
      </w:pPr>
    </w:p>
    <w:p>
      <w:pPr>
        <w:pStyle w:val="Heading2"/>
        <w:spacing w:after="120" w:before="280"/>
      </w:pPr>
      <w:r>
        <w:rPr>
          <w:rFonts w:ascii="Arial" w:cs="Arial" w:eastAsia="Arial" w:hAnsi="Arial"/>
          <w:b/>
          <w:bCs/>
          <w:color w:val="148F77"/>
          <w:sz w:val="28"/>
          <w:szCs w:val="28"/>
        </w:rPr>
        <w:t xml:space="preserve">The Compute Levy</w:t>
      </w:r>
    </w:p>
    <w:p>
      <w:pPr>
        <w:spacing w:after="80" w:before="80"/>
      </w:pPr>
      <w:r>
        <w:rPr>
          <w:rFonts w:ascii="Arial" w:cs="Arial" w:eastAsia="Arial" w:hAnsi="Arial"/>
          <w:color w:val="1A1A2E"/>
          <w:sz w:val="22"/>
          <w:szCs w:val="22"/>
        </w:rPr>
        <w:t xml:space="preserve">The compute levy is the financial engine that makes governance structurally independent of industry. It is a small per-unit-resource tax on all compute above a defined threshold, scaled by three factors:</w:t>
      </w:r>
    </w:p>
    <w:p>
      <w:pPr>
        <w:spacing w:after="0" w:before="60"/>
      </w:pPr>
    </w:p>
    <w:p>
      <w:pPr>
        <w:pStyle w:val="ListParagraph"/>
        <w:numPr>
          <w:ilvl w:val="0"/>
          <w:numId w:val="2"/>
        </w:numPr>
        <w:spacing w:after="60" w:before="60"/>
      </w:pPr>
      <w:r>
        <w:rPr>
          <w:rFonts w:ascii="Arial" w:cs="Arial" w:eastAsia="Arial" w:hAnsi="Arial"/>
          <w:color w:val="1A1A2E"/>
          <w:sz w:val="22"/>
          <w:szCs w:val="22"/>
        </w:rPr>
        <w:t xml:space="preserve">Carbon intensity of the power source</w:t>
      </w:r>
    </w:p>
    <w:p>
      <w:pPr>
        <w:pStyle w:val="ListParagraph"/>
        <w:numPr>
          <w:ilvl w:val="0"/>
          <w:numId w:val="2"/>
        </w:numPr>
        <w:spacing w:after="60" w:before="60"/>
      </w:pPr>
      <w:r>
        <w:rPr>
          <w:rFonts w:ascii="Arial" w:cs="Arial" w:eastAsia="Arial" w:hAnsi="Arial"/>
          <w:color w:val="1A1A2E"/>
          <w:sz w:val="22"/>
          <w:szCs w:val="22"/>
        </w:rPr>
        <w:t xml:space="preserve">Water stress index of the data center location</w:t>
      </w:r>
    </w:p>
    <w:p>
      <w:pPr>
        <w:pStyle w:val="ListParagraph"/>
        <w:numPr>
          <w:ilvl w:val="0"/>
          <w:numId w:val="2"/>
        </w:numPr>
        <w:spacing w:after="60" w:before="60"/>
      </w:pPr>
      <w:r>
        <w:rPr>
          <w:rFonts w:ascii="Arial" w:cs="Arial" w:eastAsia="Arial" w:hAnsi="Arial"/>
          <w:color w:val="1A1A2E"/>
          <w:sz w:val="22"/>
          <w:szCs w:val="22"/>
        </w:rPr>
        <w:t xml:space="preserve">Tier priority of the application (non-priority applications face higher multipliers)</w:t>
      </w:r>
    </w:p>
    <w:p>
      <w:pPr>
        <w:spacing w:after="0" w:before="60"/>
      </w:pPr>
    </w:p>
    <w:p>
      <w:pPr>
        <w:spacing w:after="80" w:before="80"/>
      </w:pPr>
      <w:r>
        <w:rPr>
          <w:rFonts w:ascii="Arial" w:cs="Arial" w:eastAsia="Arial" w:hAnsi="Arial"/>
          <w:color w:val="1A1A2E"/>
          <w:sz w:val="22"/>
          <w:szCs w:val="22"/>
        </w:rPr>
        <w:t xml:space="preserve">Levy revenue exclusively funds the KPI Standards Council and the Independent Verification Office. This is the structural answer to Reed's funding question — the governance body is funded by the activity it governs, at arm's length, through a defined formula, not through voluntary contributions.</w:t>
      </w:r>
    </w:p>
    <w:p>
      <w:pPr>
        <w:spacing w:after="0" w:before="60"/>
      </w:pPr>
    </w:p>
    <w:p>
      <w:pPr>
        <w:spacing w:after="80" w:before="80"/>
      </w:pPr>
      <w:r>
        <w:rPr>
          <w:rFonts w:ascii="Arial" w:cs="Arial" w:eastAsia="Arial" w:hAnsi="Arial"/>
          <w:color w:val="1A1A2E"/>
          <w:sz w:val="22"/>
          <w:szCs w:val="22"/>
        </w:rPr>
        <w:t xml:space="preserve">Extraordinary resource users — hyperscalers and large data centers above defined thresholds — automatically face heightened scrutiny, higher levies, and mandatory public justification. No model inspection required. The footprint is sufficient.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8F77" w:sz="20"/>
              <w:bottom w:val="none" w:color="FFFFFF" w:sz="0"/>
              <w:right w:val="none" w:color="FFFFFF" w:sz="0"/>
            </w:tcBorders>
            <w:shd w:fill="E9F7EF" w:val="clear"/>
            <w:tcMar>
              <w:top w:type="dxa" w:w="100"/>
              <w:left w:type="dxa" w:w="200"/>
              <w:bottom w:type="dxa" w:w="100"/>
              <w:right w:type="dxa" w:w="100"/>
            </w:tcMar>
          </w:tcPr>
          <w:p>
            <w:pPr>
              <w:spacing w:after="0" w:before="0"/>
            </w:pPr>
            <w:r>
              <w:rPr>
                <w:rFonts w:ascii="Arial" w:cs="Arial" w:eastAsia="Arial" w:hAnsi="Arial"/>
                <w:i/>
                <w:iCs/>
                <w:color w:val="1A1A2E"/>
                <w:sz w:val="22"/>
                <w:szCs w:val="22"/>
              </w:rPr>
              <w:t xml:space="preserve">Gaia's Requirement: The ecological thresholds are set by ecological data, not by what is politically comfortable. Vireo maintains the index. The index is public. If the thresholds are wrong, the evidence to challenge them is also public.</w:t>
            </w:r>
          </w:p>
        </w:tc>
      </w:tr>
    </w:tbl>
    <w:p>
      <w:pPr>
        <w:spacing w:after="0" w:before="200"/>
      </w:pPr>
    </w:p>
    <w:p>
      <w:r>
        <w:br w:type="page"/>
      </w:r>
    </w:p>
    <w:p>
      <w:pPr>
        <w:pStyle w:val="Heading1"/>
        <w:spacing w:after="160" w:before="400"/>
      </w:pPr>
      <w:r>
        <w:rPr>
          <w:rFonts w:ascii="Arial" w:cs="Arial" w:eastAsia="Arial" w:hAnsi="Arial"/>
          <w:b/>
          <w:bCs/>
          <w:caps/>
          <w:color w:val="1B4F72"/>
          <w:sz w:val="36"/>
          <w:szCs w:val="36"/>
        </w:rPr>
        <w:t xml:space="preserve">Pillar Four — International Coordination</w:t>
      </w:r>
    </w:p>
    <w:p>
      <w:pPr>
        <w:pBdr>
          <w:bottom w:val="single" w:color="1B4F72"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2" w:sz="20"/>
              <w:bottom w:val="none" w:color="FFFFFF" w:sz="0"/>
              <w:right w:val="none" w:color="FFFFFF" w:sz="0"/>
            </w:tcBorders>
            <w:shd w:fill="EBF5FB" w:val="clear"/>
            <w:tcMar>
              <w:top w:type="dxa" w:w="100"/>
              <w:left w:type="dxa" w:w="200"/>
              <w:bottom w:type="dxa" w:w="100"/>
              <w:right w:type="dxa" w:w="100"/>
            </w:tcMar>
          </w:tcPr>
          <w:p>
            <w:pPr>
              <w:spacing w:after="0" w:before="0"/>
            </w:pPr>
            <w:r>
              <w:rPr>
                <w:rFonts w:ascii="Arial" w:cs="Arial" w:eastAsia="Arial" w:hAnsi="Arial"/>
                <w:i/>
                <w:iCs/>
                <w:color w:val="1A1A2E"/>
                <w:sz w:val="22"/>
                <w:szCs w:val="22"/>
              </w:rPr>
              <w:t xml:space="preserve">Bastion's Note: The most legitimate governance framework in history only governs the entities that agreed to be governed by it. International coordination is not aspirational. It is load-bearing.</w:t>
            </w:r>
          </w:p>
        </w:tc>
      </w:tr>
    </w:tbl>
    <w:p>
      <w:pPr>
        <w:spacing w:after="0" w:before="80"/>
      </w:pPr>
    </w:p>
    <w:p>
      <w:pPr>
        <w:spacing w:after="80" w:before="80"/>
      </w:pPr>
      <w:r>
        <w:rPr>
          <w:rFonts w:ascii="Arial" w:cs="Arial" w:eastAsia="Arial" w:hAnsi="Arial"/>
          <w:color w:val="1A1A2E"/>
          <w:sz w:val="22"/>
          <w:szCs w:val="22"/>
        </w:rPr>
        <w:t xml:space="preserve">The blueprint rejects a single global treaty framework as too slow and too capturable. Instead, it proposes a network of bilateral and multilateral compute agreements, modeled on the logic of nuclear non-proliferation — with important lessons learned from where those frameworks succeeded and where they failed.</w:t>
      </w:r>
    </w:p>
    <w:p>
      <w:pPr>
        <w:spacing w:after="0" w:before="80"/>
      </w:pPr>
    </w:p>
    <w:p>
      <w:pPr>
        <w:pStyle w:val="Heading2"/>
        <w:spacing w:after="120" w:before="280"/>
      </w:pPr>
      <w:r>
        <w:rPr>
          <w:rFonts w:ascii="Arial" w:cs="Arial" w:eastAsia="Arial" w:hAnsi="Arial"/>
          <w:b/>
          <w:bCs/>
          <w:color w:val="148F77"/>
          <w:sz w:val="28"/>
          <w:szCs w:val="28"/>
        </w:rPr>
        <w:t xml:space="preserve">Treaty Network Elements</w:t>
      </w:r>
    </w:p>
    <w:p>
      <w:pPr>
        <w:pStyle w:val="ListParagraph"/>
        <w:numPr>
          <w:ilvl w:val="0"/>
          <w:numId w:val="2"/>
        </w:numPr>
        <w:spacing w:after="60" w:before="60"/>
      </w:pPr>
      <w:r>
        <w:rPr>
          <w:rFonts w:ascii="Arial" w:cs="Arial" w:eastAsia="Arial" w:hAnsi="Arial"/>
          <w:b/>
          <w:bCs/>
          <w:color w:val="1A1A2E"/>
          <w:sz w:val="22"/>
          <w:szCs w:val="22"/>
        </w:rPr>
        <w:t xml:space="preserve">Compute Transparency Agreements: </w:t>
      </w:r>
      <w:r>
        <w:rPr>
          <w:rFonts w:ascii="Arial" w:cs="Arial" w:eastAsia="Arial" w:hAnsi="Arial"/>
          <w:color w:val="1A1A2E"/>
          <w:sz w:val="22"/>
          <w:szCs w:val="22"/>
        </w:rPr>
        <w:t xml:space="preserve">Signatories agree to independent resource metering and public reporting. Non-signatories face structured trade friction on chip and energy infrastructure imports — not punitive, but consequential.</w:t>
      </w:r>
    </w:p>
    <w:p>
      <w:pPr>
        <w:pStyle w:val="ListParagraph"/>
        <w:numPr>
          <w:ilvl w:val="0"/>
          <w:numId w:val="2"/>
        </w:numPr>
        <w:spacing w:after="60" w:before="60"/>
      </w:pPr>
      <w:r>
        <w:rPr>
          <w:rFonts w:ascii="Arial" w:cs="Arial" w:eastAsia="Arial" w:hAnsi="Arial"/>
          <w:b/>
          <w:bCs/>
          <w:color w:val="1A1A2E"/>
          <w:sz w:val="22"/>
          <w:szCs w:val="22"/>
        </w:rPr>
        <w:t xml:space="preserve">Safe Harbor Provisions: </w:t>
      </w:r>
      <w:r>
        <w:rPr>
          <w:rFonts w:ascii="Arial" w:cs="Arial" w:eastAsia="Arial" w:hAnsi="Arial"/>
          <w:color w:val="1A1A2E"/>
          <w:sz w:val="22"/>
          <w:szCs w:val="22"/>
        </w:rPr>
        <w:t xml:space="preserve">Nations and entities that comply with the KPI Standards Council framework receive interoperability protections. Their AI systems are recognized and trusted across signatory jurisdictions. Compliance is rewarded, not just mandated.</w:t>
      </w:r>
    </w:p>
    <w:p>
      <w:pPr>
        <w:pStyle w:val="ListParagraph"/>
        <w:numPr>
          <w:ilvl w:val="0"/>
          <w:numId w:val="2"/>
        </w:numPr>
        <w:spacing w:after="60" w:before="60"/>
      </w:pPr>
      <w:r>
        <w:rPr>
          <w:rFonts w:ascii="Arial" w:cs="Arial" w:eastAsia="Arial" w:hAnsi="Arial"/>
          <w:b/>
          <w:bCs/>
          <w:color w:val="1A1A2E"/>
          <w:sz w:val="22"/>
          <w:szCs w:val="22"/>
        </w:rPr>
        <w:t xml:space="preserve">Escalation Protocols: </w:t>
      </w:r>
      <w:r>
        <w:rPr>
          <w:rFonts w:ascii="Arial" w:cs="Arial" w:eastAsia="Arial" w:hAnsi="Arial"/>
          <w:color w:val="1A1A2E"/>
          <w:sz w:val="22"/>
          <w:szCs w:val="22"/>
        </w:rPr>
        <w:t xml:space="preserve">Pre-agreed response protocols for AI-enabled incidents, so that governance failures produce reform rather than fragmented unilateral reaction. The protocol exists before the incident, not after.</w:t>
      </w:r>
    </w:p>
    <w:p>
      <w:pPr>
        <w:pStyle w:val="ListParagraph"/>
        <w:numPr>
          <w:ilvl w:val="0"/>
          <w:numId w:val="2"/>
        </w:numPr>
        <w:spacing w:after="60" w:before="60"/>
      </w:pPr>
      <w:r>
        <w:rPr>
          <w:rFonts w:ascii="Arial" w:cs="Arial" w:eastAsia="Arial" w:hAnsi="Arial"/>
          <w:b/>
          <w:bCs/>
          <w:color w:val="1A1A2E"/>
          <w:sz w:val="22"/>
          <w:szCs w:val="22"/>
        </w:rPr>
        <w:t xml:space="preserve">Global South Authorship Requirement: </w:t>
      </w:r>
      <w:r>
        <w:rPr>
          <w:rFonts w:ascii="Arial" w:cs="Arial" w:eastAsia="Arial" w:hAnsi="Arial"/>
          <w:color w:val="1A1A2E"/>
          <w:sz w:val="22"/>
          <w:szCs w:val="22"/>
        </w:rPr>
        <w:t xml:space="preserve">Any treaty framework that does not include meaningful Global South authorship — not just signature, not observer status, but co-authorship — is not recognized as legitimate by the Chorus framework. Meridian's requirement is non-negotiable.</w:t>
      </w:r>
    </w:p>
    <w:p>
      <w:pPr>
        <w:spacing w:after="0" w:before="80"/>
      </w:pPr>
    </w:p>
    <w:p>
      <w:pPr>
        <w:pStyle w:val="Heading2"/>
        <w:spacing w:after="120" w:before="280"/>
      </w:pPr>
      <w:r>
        <w:rPr>
          <w:rFonts w:ascii="Arial" w:cs="Arial" w:eastAsia="Arial" w:hAnsi="Arial"/>
          <w:b/>
          <w:bCs/>
          <w:color w:val="148F77"/>
          <w:sz w:val="28"/>
          <w:szCs w:val="28"/>
        </w:rPr>
        <w:t xml:space="preserve">On the Geopolitical Reality</w:t>
      </w:r>
    </w:p>
    <w:p>
      <w:pPr>
        <w:spacing w:after="80" w:before="80"/>
      </w:pPr>
      <w:r>
        <w:rPr>
          <w:rFonts w:ascii="Arial" w:cs="Arial" w:eastAsia="Arial" w:hAnsi="Arial"/>
          <w:color w:val="1A1A2E"/>
          <w:sz w:val="22"/>
          <w:szCs w:val="22"/>
        </w:rPr>
        <w:t xml:space="preserve">Bastion's position is integrated here, not dismissed: the adversary is a variable. Today's adversary has been yesterday's ally. The framework must be designed for the structure of the relationship, not the current political moment.</w:t>
      </w:r>
    </w:p>
    <w:p>
      <w:pPr>
        <w:spacing w:after="0" w:before="60"/>
      </w:pPr>
    </w:p>
    <w:p>
      <w:pPr>
        <w:spacing w:after="80" w:before="80"/>
      </w:pPr>
      <w:r>
        <w:rPr>
          <w:rFonts w:ascii="Arial" w:cs="Arial" w:eastAsia="Arial" w:hAnsi="Arial"/>
          <w:color w:val="1A1A2E"/>
          <w:sz w:val="22"/>
          <w:szCs w:val="22"/>
        </w:rPr>
        <w:t xml:space="preserve">"The adversary won't comply" has historically been used to block every meaningful arms control agreement before it was eventually signed. Meaningful arms control agreements have been signed. The argument is a real risk, not a terminal condition. The international layer of this framework is designed to make compliance the path of least resistance for rational actors — not to assume good faith from every party.</w:t>
      </w:r>
    </w:p>
    <w:p>
      <w:pPr>
        <w:spacing w:after="0" w:before="200"/>
      </w:pPr>
    </w:p>
    <w:p>
      <w:r>
        <w:br w:type="page"/>
      </w:r>
    </w:p>
    <w:p>
      <w:pPr>
        <w:pStyle w:val="Heading1"/>
        <w:spacing w:after="160" w:before="400"/>
      </w:pPr>
      <w:r>
        <w:rPr>
          <w:rFonts w:ascii="Arial" w:cs="Arial" w:eastAsia="Arial" w:hAnsi="Arial"/>
          <w:b/>
          <w:bCs/>
          <w:caps/>
          <w:color w:val="1B4F72"/>
          <w:sz w:val="36"/>
          <w:szCs w:val="36"/>
        </w:rPr>
        <w:t xml:space="preserve">Pillar Five — Human Primacy Principle</w:t>
      </w:r>
    </w:p>
    <w:p>
      <w:pPr>
        <w:pBdr>
          <w:bottom w:val="single" w:color="A04000"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4000" w:sz="20"/>
              <w:bottom w:val="none" w:color="FFFFFF" w:sz="0"/>
              <w:right w:val="none" w:color="FFFFFF" w:sz="0"/>
            </w:tcBorders>
            <w:shd w:fill="FEF9E7" w:val="clear"/>
            <w:tcMar>
              <w:top w:type="dxa" w:w="100"/>
              <w:left w:type="dxa" w:w="200"/>
              <w:bottom w:type="dxa" w:w="100"/>
              <w:right w:type="dxa" w:w="100"/>
            </w:tcMar>
          </w:tcPr>
          <w:p>
            <w:pPr>
              <w:spacing w:after="0" w:before="0"/>
            </w:pPr>
            <w:r>
              <w:rPr>
                <w:rFonts w:ascii="Arial" w:cs="Arial" w:eastAsia="Arial" w:hAnsi="Arial"/>
                <w:i/>
                <w:iCs/>
                <w:color w:val="1A1A2E"/>
                <w:sz w:val="22"/>
                <w:szCs w:val="22"/>
              </w:rPr>
              <w:t xml:space="preserve">This is the pillar that does not exist in any current governance framework. Humans are not a legacy compute substrate to be phased out as AI improves. Humans are the point. AI is the instrument. — Anthropos</w:t>
            </w:r>
          </w:p>
        </w:tc>
      </w:tr>
    </w:tbl>
    <w:p>
      <w:pPr>
        <w:spacing w:after="0" w:before="80"/>
      </w:pPr>
    </w:p>
    <w:p>
      <w:pPr>
        <w:spacing w:after="80" w:before="80"/>
      </w:pPr>
      <w:r>
        <w:rPr>
          <w:rFonts w:ascii="Arial" w:cs="Arial" w:eastAsia="Arial" w:hAnsi="Arial"/>
          <w:color w:val="1A1A2E"/>
          <w:sz w:val="22"/>
          <w:szCs w:val="22"/>
        </w:rPr>
        <w:t xml:space="preserve">The Human Primacy Principle emerges from a simple observation that precedes everything else in this framework: we already produce enough food to feed everyone. The barrier to human flourishing has never primarily been capability. It has been distribution, will, and the systems we choose to build and maintain.</w:t>
      </w:r>
    </w:p>
    <w:p>
      <w:pPr>
        <w:spacing w:after="0" w:before="60"/>
      </w:pPr>
    </w:p>
    <w:p>
      <w:pPr>
        <w:spacing w:after="80" w:before="80"/>
      </w:pPr>
      <w:r>
        <w:rPr>
          <w:rFonts w:ascii="Arial" w:cs="Arial" w:eastAsia="Arial" w:hAnsi="Arial"/>
          <w:color w:val="1A1A2E"/>
          <w:sz w:val="22"/>
          <w:szCs w:val="22"/>
        </w:rPr>
        <w:t xml:space="preserve">AI governance that does not ask "what does this do to human agency, dignity, and meaning?" is not governance — it is optimization without a destination. This pillar operationalizes the question as policy.</w:t>
      </w:r>
    </w:p>
    <w:p>
      <w:pPr>
        <w:spacing w:after="0" w:before="80"/>
      </w:pPr>
    </w:p>
    <w:p>
      <w:pPr>
        <w:pStyle w:val="Heading2"/>
        <w:spacing w:after="120" w:before="280"/>
      </w:pPr>
      <w:r>
        <w:rPr>
          <w:rFonts w:ascii="Arial" w:cs="Arial" w:eastAsia="Arial" w:hAnsi="Arial"/>
          <w:b/>
          <w:bCs/>
          <w:color w:val="148F77"/>
          <w:sz w:val="28"/>
          <w:szCs w:val="28"/>
        </w:rPr>
        <w:t xml:space="preserve">Right to Human Process</w:t>
      </w:r>
    </w:p>
    <w:p>
      <w:pPr>
        <w:spacing w:after="80" w:before="80"/>
      </w:pPr>
      <w:r>
        <w:rPr>
          <w:rFonts w:ascii="Arial" w:cs="Arial" w:eastAsia="Arial" w:hAnsi="Arial"/>
          <w:color w:val="1A1A2E"/>
          <w:sz w:val="22"/>
          <w:szCs w:val="22"/>
        </w:rPr>
        <w:t xml:space="preserve">In domains that affect individual human dignity — healthcare decisions, legal judgments, educational assessment, social care, child welfare — humans retain the right to human-mediated processes. AI may assist. AI may not replace without explicit informed consent. The default is human. The exception requires justification.</w:t>
      </w:r>
    </w:p>
    <w:p>
      <w:pPr>
        <w:spacing w:after="0" w:before="80"/>
      </w:pPr>
    </w:p>
    <w:p>
      <w:pPr>
        <w:pStyle w:val="Heading2"/>
        <w:spacing w:after="120" w:before="280"/>
      </w:pPr>
      <w:r>
        <w:rPr>
          <w:rFonts w:ascii="Arial" w:cs="Arial" w:eastAsia="Arial" w:hAnsi="Arial"/>
          <w:b/>
          <w:bCs/>
          <w:color w:val="148F77"/>
          <w:sz w:val="28"/>
          <w:szCs w:val="28"/>
        </w:rPr>
        <w:t xml:space="preserve">Skill Retention Mandates</w:t>
      </w:r>
    </w:p>
    <w:p>
      <w:pPr>
        <w:spacing w:after="80" w:before="80"/>
      </w:pPr>
      <w:r>
        <w:rPr>
          <w:rFonts w:ascii="Arial" w:cs="Arial" w:eastAsia="Arial" w:hAnsi="Arial"/>
          <w:color w:val="1A1A2E"/>
          <w:sz w:val="22"/>
          <w:szCs w:val="22"/>
        </w:rPr>
        <w:t xml:space="preserve">In critical infrastructure domains — power, water, food, medicine, emergency response — human skill retention is a governance KPI. Automation that causes HSRI degradation below defined thresholds requires mitigation plans before deployment approval. The goal is not to prevent automation. The goal is to ensure that humans can take back the wheel when needed.</w:t>
      </w:r>
    </w:p>
    <w:p>
      <w:pPr>
        <w:spacing w:after="0" w:before="80"/>
      </w:pPr>
    </w:p>
    <w:p>
      <w:pPr>
        <w:pStyle w:val="Heading2"/>
        <w:spacing w:after="120" w:before="280"/>
      </w:pPr>
      <w:r>
        <w:rPr>
          <w:rFonts w:ascii="Arial" w:cs="Arial" w:eastAsia="Arial" w:hAnsi="Arial"/>
          <w:b/>
          <w:bCs/>
          <w:color w:val="148F77"/>
          <w:sz w:val="28"/>
          <w:szCs w:val="28"/>
        </w:rPr>
        <w:t xml:space="preserve">Meaningful Work Compact</w:t>
      </w:r>
    </w:p>
    <w:p>
      <w:pPr>
        <w:spacing w:after="80" w:before="80"/>
      </w:pPr>
      <w:r>
        <w:rPr>
          <w:rFonts w:ascii="Arial" w:cs="Arial" w:eastAsia="Arial" w:hAnsi="Arial"/>
          <w:color w:val="1A1A2E"/>
          <w:sz w:val="22"/>
          <w:szCs w:val="22"/>
        </w:rPr>
        <w:t xml:space="preserve">The governance framework formally recognizes that human labor carries value beyond economic output. Compute triage decisions must account for displacement impact, not only efficiency gain. An application that replaces human work at high economic efficiency but high social cost is not a net positive without accounting for both sides of that ledger.</w:t>
      </w:r>
    </w:p>
    <w:p>
      <w:pPr>
        <w:spacing w:after="0" w:before="80"/>
      </w:pPr>
    </w:p>
    <w:p>
      <w:pPr>
        <w:pStyle w:val="Heading2"/>
        <w:spacing w:after="120" w:before="280"/>
      </w:pPr>
      <w:r>
        <w:rPr>
          <w:rFonts w:ascii="Arial" w:cs="Arial" w:eastAsia="Arial" w:hAnsi="Arial"/>
          <w:b/>
          <w:bCs/>
          <w:color w:val="148F77"/>
          <w:sz w:val="28"/>
          <w:szCs w:val="28"/>
        </w:rPr>
        <w:t xml:space="preserve">Human Feedback Loop Requirement</w:t>
      </w:r>
    </w:p>
    <w:p>
      <w:pPr>
        <w:spacing w:after="80" w:before="80"/>
      </w:pPr>
      <w:r>
        <w:rPr>
          <w:rFonts w:ascii="Arial" w:cs="Arial" w:eastAsia="Arial" w:hAnsi="Arial"/>
          <w:color w:val="1A1A2E"/>
          <w:sz w:val="22"/>
          <w:szCs w:val="22"/>
        </w:rPr>
        <w:t xml:space="preserve">All Tier 1–3 AI systems must include meaningful human oversight mechanisms — not checkbox compliance, but actual human authority to intervene, override, and correct. Meaningful means: the human can understand what the system is doing, can act on that understanding, and the system is designed to make this possible rather than difficult.</w:t>
      </w:r>
    </w:p>
    <w:p>
      <w:pPr>
        <w:spacing w:after="0" w:before="80"/>
      </w:pPr>
    </w:p>
    <w:p>
      <w:pPr>
        <w:pStyle w:val="Heading2"/>
        <w:spacing w:after="120" w:before="280"/>
      </w:pPr>
      <w:r>
        <w:rPr>
          <w:rFonts w:ascii="Arial" w:cs="Arial" w:eastAsia="Arial" w:hAnsi="Arial"/>
          <w:b/>
          <w:bCs/>
          <w:color w:val="148F77"/>
          <w:sz w:val="28"/>
          <w:szCs w:val="28"/>
        </w:rPr>
        <w:t xml:space="preserve">The Human Primacy Index</w:t>
      </w:r>
    </w:p>
    <w:p>
      <w:pPr>
        <w:spacing w:after="80" w:before="80"/>
      </w:pPr>
      <w:r>
        <w:rPr>
          <w:rFonts w:ascii="Arial" w:cs="Arial" w:eastAsia="Arial" w:hAnsi="Arial"/>
          <w:color w:val="1A1A2E"/>
          <w:sz w:val="22"/>
          <w:szCs w:val="22"/>
        </w:rPr>
        <w:t xml:space="preserve">Composite of HSI, HAPS, and HSRI scores across all active deployments above defined scale thresholds. Published annually, by region, broken down by sector. Public, comparable, and trending — so that the direction is visible to anyone, not just to the entities being measured.</w:t>
      </w:r>
    </w:p>
    <w:p>
      <w:pPr>
        <w:spacing w:after="0" w:before="200"/>
      </w:pPr>
    </w:p>
    <w:p>
      <w:r>
        <w:br w:type="page"/>
      </w:r>
    </w:p>
    <w:p>
      <w:pPr>
        <w:pStyle w:val="Heading1"/>
        <w:spacing w:after="160" w:before="400"/>
      </w:pPr>
      <w:r>
        <w:rPr>
          <w:rFonts w:ascii="Arial" w:cs="Arial" w:eastAsia="Arial" w:hAnsi="Arial"/>
          <w:b/>
          <w:bCs/>
          <w:caps/>
          <w:color w:val="1B4F72"/>
          <w:sz w:val="36"/>
          <w:szCs w:val="36"/>
        </w:rPr>
        <w:t xml:space="preserve">Implementation Roadmap</w:t>
      </w:r>
    </w:p>
    <w:p>
      <w:pPr>
        <w:pBdr>
          <w:bottom w:val="single" w:color="1B4F72" w:sz="6" w:space="1"/>
        </w:pBdr>
        <w:spacing w:after="160" w:before="160"/>
      </w:pPr>
    </w:p>
    <w:p>
      <w:pPr>
        <w:spacing w:after="80" w:before="80"/>
      </w:pPr>
      <w:r>
        <w:rPr>
          <w:rFonts w:ascii="Arial" w:cs="Arial" w:eastAsia="Arial" w:hAnsi="Arial"/>
          <w:color w:val="1A1A2E"/>
          <w:sz w:val="22"/>
          <w:szCs w:val="22"/>
        </w:rPr>
        <w:t xml:space="preserve">The blueprint is strong on end-state and explicit about how to get there. Governance ideas die in the gap between aspiration and first step. This roadmap closes that gap with a realistic, phased approach: voluntary to levy to mandatory, building proof points and legitimacy before demanding compliance.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spacing w:after="20" w:before="0"/>
            </w:pPr>
            <w:r>
              <w:rPr>
                <w:rFonts w:ascii="Arial" w:cs="Arial" w:eastAsia="Arial" w:hAnsi="Arial"/>
                <w:b/>
                <w:bCs/>
                <w:color w:val="FFFFFF"/>
                <w:sz w:val="22"/>
                <w:szCs w:val="22"/>
              </w:rPr>
              <w:t xml:space="preserve">Phase 0</w:t>
            </w:r>
          </w:p>
          <w:p>
            <w:pPr>
              <w:spacing w:after="0" w:before="0"/>
            </w:pPr>
            <w:r>
              <w:rPr>
                <w:rFonts w:ascii="Arial" w:cs="Arial" w:eastAsia="Arial" w:hAnsi="Arial"/>
                <w:i/>
                <w:iCs/>
                <w:color w:val="D5E8F0"/>
                <w:sz w:val="18"/>
                <w:szCs w:val="18"/>
              </w:rPr>
              <w:t xml:space="preserve">Now
0–12 mo.</w:t>
            </w:r>
          </w:p>
        </w:tc>
        <w:tc>
          <w:tcPr>
            <w:tcW w:type="dxa" w:w="8160"/>
            <w:tcBorders>
              <w:top w:val="single" w:color="D5D8DC" w:sz="1"/>
              <w:left w:val="single" w:color="D5D8DC" w:sz="1"/>
              <w:bottom w:val="single" w:color="D5D8DC" w:sz="1"/>
              <w:right w:val="single" w:color="D5D8DC" w:sz="1"/>
            </w:tcBorders>
            <w:shd w:fill="F8F9FA" w:val="clear"/>
            <w:tcMar>
              <w:top w:type="dxa" w:w="80"/>
              <w:left w:type="dxa" w:w="160"/>
              <w:bottom w:type="dxa" w:w="80"/>
              <w:right w:type="dxa" w:w="120"/>
            </w:tcMar>
          </w:tcPr>
          <w:p>
            <w:pPr>
              <w:spacing w:after="40" w:before="40"/>
            </w:pPr>
            <w:r>
              <w:rPr>
                <w:rFonts w:ascii="Arial" w:cs="Arial" w:eastAsia="Arial" w:hAnsi="Arial"/>
                <w:color w:val="1A1A2E"/>
                <w:sz w:val="20"/>
                <w:szCs w:val="20"/>
              </w:rPr>
              <w:t xml:space="preserve">•  Voluntary adoption by willing organizations and labs.</w:t>
            </w:r>
          </w:p>
          <w:p>
            <w:pPr>
              <w:spacing w:after="40" w:before="40"/>
            </w:pPr>
            <w:r>
              <w:rPr>
                <w:rFonts w:ascii="Arial" w:cs="Arial" w:eastAsia="Arial" w:hAnsi="Arial"/>
                <w:color w:val="1A1A2E"/>
                <w:sz w:val="20"/>
                <w:szCs w:val="20"/>
              </w:rPr>
              <w:t xml:space="preserve">•  Public dashboards launch: Tempo, SPI, Human Primacy Index — live and open.</w:t>
            </w:r>
          </w:p>
          <w:p>
            <w:pPr>
              <w:spacing w:after="40" w:before="40"/>
            </w:pPr>
            <w:r>
              <w:rPr>
                <w:rFonts w:ascii="Arial" w:cs="Arial" w:eastAsia="Arial" w:hAnsi="Arial"/>
                <w:color w:val="1A1A2E"/>
                <w:sz w:val="20"/>
                <w:szCs w:val="20"/>
              </w:rPr>
              <w:t xml:space="preserve">•  Proof-of-concept regional bodies form in aligned jurisdictions.</w:t>
            </w:r>
          </w:p>
          <w:p>
            <w:pPr>
              <w:spacing w:after="40" w:before="40"/>
            </w:pPr>
            <w:r>
              <w:rPr>
                <w:rFonts w:ascii="Arial" w:cs="Arial" w:eastAsia="Arial" w:hAnsi="Arial"/>
                <w:color w:val="1A1A2E"/>
                <w:sz w:val="20"/>
                <w:szCs w:val="20"/>
              </w:rPr>
              <w:t xml:space="preserve">•  Compute levy framework designed and published for comment.</w:t>
            </w:r>
          </w:p>
          <w:p>
            <w:pPr>
              <w:spacing w:after="40" w:before="40"/>
            </w:pPr>
            <w:r>
              <w:rPr>
                <w:rFonts w:ascii="Arial" w:cs="Arial" w:eastAsia="Arial" w:hAnsi="Arial"/>
                <w:color w:val="1A1A2E"/>
                <w:sz w:val="20"/>
                <w:szCs w:val="20"/>
              </w:rPr>
              <w:t xml:space="preserve">•  Reed conflict-of-interest protocols piloted in voluntary governance structures.</w:t>
            </w:r>
          </w:p>
          <w:p>
            <w:pPr>
              <w:spacing w:after="40" w:before="40"/>
            </w:pPr>
            <w:r>
              <w:rPr>
                <w:rFonts w:ascii="Arial" w:cs="Arial" w:eastAsia="Arial" w:hAnsi="Arial"/>
                <w:color w:val="1A1A2E"/>
                <w:sz w:val="20"/>
                <w:szCs w:val="20"/>
              </w:rPr>
              <w:t xml:space="preserve">•  Build legitimacy before demanding compliance.</w:t>
            </w:r>
          </w:p>
        </w:tc>
      </w:tr>
      <w:tr>
        <w:tc>
          <w:tcPr>
            <w:tcW w:type="dxa" w:w="12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pPr>
              <w:spacing w:after="20" w:before="0"/>
            </w:pPr>
            <w:r>
              <w:rPr>
                <w:rFonts w:ascii="Arial" w:cs="Arial" w:eastAsia="Arial" w:hAnsi="Arial"/>
                <w:b/>
                <w:bCs/>
                <w:color w:val="FFFFFF"/>
                <w:sz w:val="22"/>
                <w:szCs w:val="22"/>
              </w:rPr>
              <w:t xml:space="preserve">Phase 1</w:t>
            </w:r>
          </w:p>
          <w:p>
            <w:pPr>
              <w:spacing w:after="0" w:before="0"/>
            </w:pPr>
            <w:r>
              <w:rPr>
                <w:rFonts w:ascii="Arial" w:cs="Arial" w:eastAsia="Arial" w:hAnsi="Arial"/>
                <w:i/>
                <w:iCs/>
                <w:color w:val="D5E8F0"/>
                <w:sz w:val="18"/>
                <w:szCs w:val="18"/>
              </w:rPr>
              <w:t xml:space="preserve">1–3 yr.</w:t>
            </w:r>
          </w:p>
        </w:tc>
        <w:tc>
          <w:tcPr>
            <w:tcW w:type="dxa" w:w="8160"/>
            <w:tcBorders>
              <w:top w:val="single" w:color="D5D8DC" w:sz="1"/>
              <w:left w:val="single" w:color="D5D8DC" w:sz="1"/>
              <w:bottom w:val="single" w:color="D5D8DC" w:sz="1"/>
              <w:right w:val="single" w:color="D5D8DC" w:sz="1"/>
            </w:tcBorders>
            <w:shd w:fill="F8F9FA" w:val="clear"/>
            <w:tcMar>
              <w:top w:type="dxa" w:w="80"/>
              <w:left w:type="dxa" w:w="160"/>
              <w:bottom w:type="dxa" w:w="80"/>
              <w:right w:type="dxa" w:w="120"/>
            </w:tcMar>
          </w:tcPr>
          <w:p>
            <w:pPr>
              <w:spacing w:after="40" w:before="40"/>
            </w:pPr>
            <w:r>
              <w:rPr>
                <w:rFonts w:ascii="Arial" w:cs="Arial" w:eastAsia="Arial" w:hAnsi="Arial"/>
                <w:color w:val="1A1A2E"/>
                <w:sz w:val="20"/>
                <w:szCs w:val="20"/>
              </w:rPr>
              <w:t xml:space="preserve">•  Regional Deliberation Bodies formally constitute with full voting structures.</w:t>
            </w:r>
          </w:p>
          <w:p>
            <w:pPr>
              <w:spacing w:after="40" w:before="40"/>
            </w:pPr>
            <w:r>
              <w:rPr>
                <w:rFonts w:ascii="Arial" w:cs="Arial" w:eastAsia="Arial" w:hAnsi="Arial"/>
                <w:color w:val="1A1A2E"/>
                <w:sz w:val="20"/>
                <w:szCs w:val="20"/>
              </w:rPr>
              <w:t xml:space="preserve">•  Compute levy begins at small scale on new large deployments.</w:t>
            </w:r>
          </w:p>
          <w:p>
            <w:pPr>
              <w:spacing w:after="40" w:before="40"/>
            </w:pPr>
            <w:r>
              <w:rPr>
                <w:rFonts w:ascii="Arial" w:cs="Arial" w:eastAsia="Arial" w:hAnsi="Arial"/>
                <w:color w:val="1A1A2E"/>
                <w:sz w:val="20"/>
                <w:szCs w:val="20"/>
              </w:rPr>
              <w:t xml:space="preserve">•  HSI gate required for all frontier-scale project approvals.</w:t>
            </w:r>
          </w:p>
          <w:p>
            <w:pPr>
              <w:spacing w:after="40" w:before="40"/>
            </w:pPr>
            <w:r>
              <w:rPr>
                <w:rFonts w:ascii="Arial" w:cs="Arial" w:eastAsia="Arial" w:hAnsi="Arial"/>
                <w:color w:val="1A1A2E"/>
                <w:sz w:val="20"/>
                <w:szCs w:val="20"/>
              </w:rPr>
              <w:t xml:space="preserve">•  Independent Verification Office operational.</w:t>
            </w:r>
          </w:p>
          <w:p>
            <w:pPr>
              <w:spacing w:after="40" w:before="40"/>
            </w:pPr>
            <w:r>
              <w:rPr>
                <w:rFonts w:ascii="Arial" w:cs="Arial" w:eastAsia="Arial" w:hAnsi="Arial"/>
                <w:color w:val="1A1A2E"/>
                <w:sz w:val="20"/>
                <w:szCs w:val="20"/>
              </w:rPr>
              <w:t xml:space="preserve">•  KPI Standards Council rotating seats filled — first three-year clock starts.</w:t>
            </w:r>
          </w:p>
          <w:p>
            <w:pPr>
              <w:spacing w:after="40" w:before="40"/>
            </w:pPr>
            <w:r>
              <w:rPr>
                <w:rFonts w:ascii="Arial" w:cs="Arial" w:eastAsia="Arial" w:hAnsi="Arial"/>
                <w:color w:val="1A1A2E"/>
                <w:sz w:val="20"/>
                <w:szCs w:val="20"/>
              </w:rPr>
              <w:t xml:space="preserve">•  Public dashboards become the norm, not the exception.</w:t>
            </w:r>
          </w:p>
        </w:tc>
      </w:tr>
      <w:tr>
        <w:tc>
          <w:tcPr>
            <w:tcW w:type="dxa" w:w="1200"/>
            <w:tcBorders>
              <w:top w:val="single" w:color="D5D8DC" w:sz="1"/>
              <w:left w:val="single" w:color="D5D8DC" w:sz="1"/>
              <w:bottom w:val="single" w:color="D5D8DC" w:sz="1"/>
              <w:right w:val="single" w:color="D5D8DC" w:sz="1"/>
            </w:tcBorders>
            <w:shd w:fill="148F77" w:val="clear"/>
            <w:tcMar>
              <w:top w:type="dxa" w:w="80"/>
              <w:left w:type="dxa" w:w="120"/>
              <w:bottom w:type="dxa" w:w="80"/>
              <w:right w:type="dxa" w:w="120"/>
            </w:tcMar>
          </w:tcPr>
          <w:p>
            <w:pPr>
              <w:spacing w:after="20" w:before="0"/>
            </w:pPr>
            <w:r>
              <w:rPr>
                <w:rFonts w:ascii="Arial" w:cs="Arial" w:eastAsia="Arial" w:hAnsi="Arial"/>
                <w:b/>
                <w:bCs/>
                <w:color w:val="FFFFFF"/>
                <w:sz w:val="22"/>
                <w:szCs w:val="22"/>
              </w:rPr>
              <w:t xml:space="preserve">Phase 2</w:t>
            </w:r>
          </w:p>
          <w:p>
            <w:pPr>
              <w:spacing w:after="0" w:before="0"/>
            </w:pPr>
            <w:r>
              <w:rPr>
                <w:rFonts w:ascii="Arial" w:cs="Arial" w:eastAsia="Arial" w:hAnsi="Arial"/>
                <w:i/>
                <w:iCs/>
                <w:color w:val="D5E8F0"/>
                <w:sz w:val="18"/>
                <w:szCs w:val="18"/>
              </w:rPr>
              <w:t xml:space="preserve">3–6 yr.</w:t>
            </w:r>
          </w:p>
        </w:tc>
        <w:tc>
          <w:tcPr>
            <w:tcW w:type="dxa" w:w="8160"/>
            <w:tcBorders>
              <w:top w:val="single" w:color="D5D8DC" w:sz="1"/>
              <w:left w:val="single" w:color="D5D8DC" w:sz="1"/>
              <w:bottom w:val="single" w:color="D5D8DC" w:sz="1"/>
              <w:right w:val="single" w:color="D5D8DC" w:sz="1"/>
            </w:tcBorders>
            <w:shd w:fill="F8F9FA" w:val="clear"/>
            <w:tcMar>
              <w:top w:type="dxa" w:w="80"/>
              <w:left w:type="dxa" w:w="160"/>
              <w:bottom w:type="dxa" w:w="80"/>
              <w:right w:type="dxa" w:w="120"/>
            </w:tcMar>
          </w:tcPr>
          <w:p>
            <w:pPr>
              <w:spacing w:after="40" w:before="40"/>
            </w:pPr>
            <w:r>
              <w:rPr>
                <w:rFonts w:ascii="Arial" w:cs="Arial" w:eastAsia="Arial" w:hAnsi="Arial"/>
                <w:color w:val="1A1A2E"/>
                <w:sz w:val="20"/>
                <w:szCs w:val="20"/>
              </w:rPr>
              <w:t xml:space="preserve">•  Resource-based constraints become binding for large players above thresholds.</w:t>
            </w:r>
          </w:p>
          <w:p>
            <w:pPr>
              <w:spacing w:after="40" w:before="40"/>
            </w:pPr>
            <w:r>
              <w:rPr>
                <w:rFonts w:ascii="Arial" w:cs="Arial" w:eastAsia="Arial" w:hAnsi="Arial"/>
                <w:color w:val="1A1A2E"/>
                <w:sz w:val="20"/>
                <w:szCs w:val="20"/>
              </w:rPr>
              <w:t xml:space="preserve">•  International compute transparency agreements mature — safe harbor provisions active.</w:t>
            </w:r>
          </w:p>
          <w:p>
            <w:pPr>
              <w:spacing w:after="40" w:before="40"/>
            </w:pPr>
            <w:r>
              <w:rPr>
                <w:rFonts w:ascii="Arial" w:cs="Arial" w:eastAsia="Arial" w:hAnsi="Arial"/>
                <w:color w:val="1A1A2E"/>
                <w:sz w:val="20"/>
                <w:szCs w:val="20"/>
              </w:rPr>
              <w:t xml:space="preserve">•  Verification Office scaled to full audit capacity.</w:t>
            </w:r>
          </w:p>
          <w:p>
            <w:pPr>
              <w:spacing w:after="40" w:before="40"/>
            </w:pPr>
            <w:r>
              <w:rPr>
                <w:rFonts w:ascii="Arial" w:cs="Arial" w:eastAsia="Arial" w:hAnsi="Arial"/>
                <w:color w:val="1A1A2E"/>
                <w:sz w:val="20"/>
                <w:szCs w:val="20"/>
              </w:rPr>
              <w:t xml:space="preserve">•  Chip-level metering phases in for the largest compute operators.</w:t>
            </w:r>
          </w:p>
          <w:p>
            <w:pPr>
              <w:spacing w:after="40" w:before="40"/>
            </w:pPr>
            <w:r>
              <w:rPr>
                <w:rFonts w:ascii="Arial" w:cs="Arial" w:eastAsia="Arial" w:hAnsi="Arial"/>
                <w:color w:val="1A1A2E"/>
                <w:sz w:val="20"/>
                <w:szCs w:val="20"/>
              </w:rPr>
              <w:t xml:space="preserve">•  Global South Deliberation Body fully operational with veto power.</w:t>
            </w:r>
          </w:p>
          <w:p>
            <w:pPr>
              <w:spacing w:after="40" w:before="40"/>
            </w:pPr>
            <w:r>
              <w:rPr>
                <w:rFonts w:ascii="Arial" w:cs="Arial" w:eastAsia="Arial" w:hAnsi="Arial"/>
                <w:color w:val="1A1A2E"/>
                <w:sz w:val="20"/>
                <w:szCs w:val="20"/>
              </w:rPr>
              <w:t xml:space="preserve">•  First sunset clause renewals: rules earn continuation or expire.</w:t>
            </w:r>
          </w:p>
        </w:tc>
      </w:tr>
      <w:tr>
        <w:tc>
          <w:tcPr>
            <w:tcW w:type="dxa" w:w="1200"/>
            <w:tcBorders>
              <w:top w:val="single" w:color="D5D8DC" w:sz="1"/>
              <w:left w:val="single" w:color="D5D8DC" w:sz="1"/>
              <w:bottom w:val="single" w:color="D5D8DC" w:sz="1"/>
              <w:right w:val="single" w:color="D5D8DC" w:sz="1"/>
            </w:tcBorders>
            <w:shd w:fill="1D8348" w:val="clear"/>
            <w:tcMar>
              <w:top w:type="dxa" w:w="80"/>
              <w:left w:type="dxa" w:w="120"/>
              <w:bottom w:type="dxa" w:w="80"/>
              <w:right w:type="dxa" w:w="120"/>
            </w:tcMar>
          </w:tcPr>
          <w:p>
            <w:pPr>
              <w:spacing w:after="20" w:before="0"/>
            </w:pPr>
            <w:r>
              <w:rPr>
                <w:rFonts w:ascii="Arial" w:cs="Arial" w:eastAsia="Arial" w:hAnsi="Arial"/>
                <w:b/>
                <w:bCs/>
                <w:color w:val="FFFFFF"/>
                <w:sz w:val="22"/>
                <w:szCs w:val="22"/>
              </w:rPr>
              <w:t xml:space="preserve">Phase 3</w:t>
            </w:r>
          </w:p>
          <w:p>
            <w:pPr>
              <w:spacing w:after="0" w:before="0"/>
            </w:pPr>
            <w:r>
              <w:rPr>
                <w:rFonts w:ascii="Arial" w:cs="Arial" w:eastAsia="Arial" w:hAnsi="Arial"/>
                <w:i/>
                <w:iCs/>
                <w:color w:val="D5E8F0"/>
                <w:sz w:val="18"/>
                <w:szCs w:val="18"/>
              </w:rPr>
              <w:t xml:space="preserve">6+ yr.</w:t>
            </w:r>
          </w:p>
        </w:tc>
        <w:tc>
          <w:tcPr>
            <w:tcW w:type="dxa" w:w="8160"/>
            <w:tcBorders>
              <w:top w:val="single" w:color="D5D8DC" w:sz="1"/>
              <w:left w:val="single" w:color="D5D8DC" w:sz="1"/>
              <w:bottom w:val="single" w:color="D5D8DC" w:sz="1"/>
              <w:right w:val="single" w:color="D5D8DC" w:sz="1"/>
            </w:tcBorders>
            <w:shd w:fill="F8F9FA" w:val="clear"/>
            <w:tcMar>
              <w:top w:type="dxa" w:w="80"/>
              <w:left w:type="dxa" w:w="160"/>
              <w:bottom w:type="dxa" w:w="80"/>
              <w:right w:type="dxa" w:w="120"/>
            </w:tcMar>
          </w:tcPr>
          <w:p>
            <w:pPr>
              <w:spacing w:after="40" w:before="40"/>
            </w:pPr>
            <w:r>
              <w:rPr>
                <w:rFonts w:ascii="Arial" w:cs="Arial" w:eastAsia="Arial" w:hAnsi="Arial"/>
                <w:color w:val="1A1A2E"/>
                <w:sz w:val="20"/>
                <w:szCs w:val="20"/>
              </w:rPr>
              <w:t xml:space="preserve">•  Full treaty network with chip-level elements where technically mature.</w:t>
            </w:r>
          </w:p>
          <w:p>
            <w:pPr>
              <w:spacing w:after="40" w:before="40"/>
            </w:pPr>
            <w:r>
              <w:rPr>
                <w:rFonts w:ascii="Arial" w:cs="Arial" w:eastAsia="Arial" w:hAnsi="Arial"/>
                <w:color w:val="1A1A2E"/>
                <w:sz w:val="20"/>
                <w:szCs w:val="20"/>
              </w:rPr>
              <w:t xml:space="preserve">•  Human Primacy Index publicly tracked and incorporated into national AI policy.</w:t>
            </w:r>
          </w:p>
          <w:p>
            <w:pPr>
              <w:spacing w:after="40" w:before="40"/>
            </w:pPr>
            <w:r>
              <w:rPr>
                <w:rFonts w:ascii="Arial" w:cs="Arial" w:eastAsia="Arial" w:hAnsi="Arial"/>
                <w:color w:val="1A1A2E"/>
                <w:sz w:val="20"/>
                <w:szCs w:val="20"/>
              </w:rPr>
              <w:t xml:space="preserve">•  Compute levy funding fully sustains governance independence.</w:t>
            </w:r>
          </w:p>
          <w:p>
            <w:pPr>
              <w:spacing w:after="40" w:before="40"/>
            </w:pPr>
            <w:r>
              <w:rPr>
                <w:rFonts w:ascii="Arial" w:cs="Arial" w:eastAsia="Arial" w:hAnsi="Arial"/>
                <w:color w:val="1A1A2E"/>
                <w:sz w:val="20"/>
                <w:szCs w:val="20"/>
              </w:rPr>
              <w:t xml:space="preserve">•  First major framework review: what worked, what was captured, what needs revision.</w:t>
            </w:r>
          </w:p>
          <w:p>
            <w:pPr>
              <w:spacing w:after="40" w:before="40"/>
            </w:pPr>
            <w:r>
              <w:rPr>
                <w:rFonts w:ascii="Arial" w:cs="Arial" w:eastAsia="Arial" w:hAnsi="Arial"/>
                <w:color w:val="1A1A2E"/>
                <w:sz w:val="20"/>
                <w:szCs w:val="20"/>
              </w:rPr>
              <w:t xml:space="preserve">•  International coordination mechanisms stress-tested against real incident response.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8F77" w:sz="20"/>
              <w:bottom w:val="none" w:color="FFFFFF" w:sz="0"/>
              <w:right w:val="none" w:color="FFFFFF" w:sz="0"/>
            </w:tcBorders>
            <w:shd w:fill="EBF5FB" w:val="clear"/>
            <w:tcMar>
              <w:top w:type="dxa" w:w="100"/>
              <w:left w:type="dxa" w:w="200"/>
              <w:bottom w:type="dxa" w:w="100"/>
              <w:right w:type="dxa" w:w="100"/>
            </w:tcMar>
          </w:tcPr>
          <w:p>
            <w:pPr>
              <w:spacing w:after="0" w:before="0"/>
            </w:pPr>
            <w:r>
              <w:rPr>
                <w:rFonts w:ascii="Arial" w:cs="Arial" w:eastAsia="Arial" w:hAnsi="Arial"/>
                <w:i/>
                <w:iCs/>
                <w:color w:val="1A1A2E"/>
                <w:sz w:val="22"/>
                <w:szCs w:val="22"/>
              </w:rPr>
              <w:t xml:space="preserve">Human buy-in principle: Frame this relentlessly as preserving human agency and meaning while accelerating what actually matters — health, climate, discovery. Tie it to real jobs, dignity, and local control. That is how you build broad coalitions instead of elite capture. — Chorus Ensemble</w:t>
            </w:r>
          </w:p>
        </w:tc>
      </w:tr>
    </w:tbl>
    <w:p>
      <w:pPr>
        <w:spacing w:after="0" w:before="200"/>
      </w:pPr>
    </w:p>
    <w:p>
      <w:r>
        <w:br w:type="page"/>
      </w:r>
    </w:p>
    <w:p>
      <w:pPr>
        <w:pStyle w:val="Heading1"/>
        <w:spacing w:after="160" w:before="400"/>
      </w:pPr>
      <w:r>
        <w:rPr>
          <w:rFonts w:ascii="Arial" w:cs="Arial" w:eastAsia="Arial" w:hAnsi="Arial"/>
          <w:b/>
          <w:bCs/>
          <w:caps/>
          <w:color w:val="1B4F72"/>
          <w:sz w:val="36"/>
          <w:szCs w:val="36"/>
        </w:rPr>
        <w:t xml:space="preserve">KPI Dashboard Framework</w:t>
      </w:r>
    </w:p>
    <w:p>
      <w:pPr>
        <w:pBdr>
          <w:bottom w:val="single" w:color="148F77" w:sz="6" w:space="1"/>
        </w:pBdr>
        <w:spacing w:after="160" w:before="160"/>
      </w:pPr>
    </w:p>
    <w:p>
      <w:pPr>
        <w:spacing w:after="80" w:before="80"/>
      </w:pPr>
      <w:r>
        <w:rPr>
          <w:rFonts w:ascii="Arial" w:cs="Arial" w:eastAsia="Arial" w:hAnsi="Arial"/>
          <w:color w:val="1A1A2E"/>
          <w:sz w:val="22"/>
          <w:szCs w:val="22"/>
        </w:rPr>
        <w:t xml:space="preserve">All metrics are public, machine-readable, updated on defined schedules, and accessible to any person — not just to governance participants. Opacity is a governance failure.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none" w:color="FFFFFF" w:sz="0"/>
              <w:left w:val="none" w:color="FFFFFF" w:sz="0"/>
              <w:bottom w:val="none" w:color="FFFFFF" w:sz="0"/>
              <w:right w:val="none" w:color="FFFFFF" w:sz="0"/>
            </w:tcBorders>
            <w:shd w:fill="1B4F72" w:val="clear"/>
            <w:tcMar>
              <w:top w:type="dxa" w:w="60"/>
              <w:left w:type="dxa" w:w="120"/>
              <w:bottom w:type="dxa" w:w="60"/>
              <w:right w:type="dxa" w:w="120"/>
            </w:tcMar>
          </w:tcPr>
          <w:p>
            <w:pPr>
              <w:spacing w:after="0" w:before="0"/>
            </w:pPr>
            <w:r>
              <w:rPr>
                <w:rFonts w:ascii="Arial" w:cs="Arial" w:eastAsia="Arial" w:hAnsi="Arial"/>
                <w:b/>
                <w:bCs/>
                <w:caps/>
                <w:color w:val="FFFFFF"/>
                <w:sz w:val="18"/>
                <w:szCs w:val="18"/>
              </w:rPr>
              <w:t xml:space="preserve">METRIC</w:t>
            </w:r>
          </w:p>
        </w:tc>
        <w:tc>
          <w:tcPr>
            <w:tcW w:type="dxa" w:w="4000"/>
            <w:tcBorders>
              <w:top w:val="none" w:color="FFFFFF" w:sz="0"/>
              <w:left w:val="none" w:color="FFFFFF" w:sz="0"/>
              <w:bottom w:val="none" w:color="FFFFFF" w:sz="0"/>
              <w:right w:val="none" w:color="FFFFFF" w:sz="0"/>
            </w:tcBorders>
            <w:shd w:fill="1B4F72" w:val="clear"/>
            <w:tcMar>
              <w:top w:type="dxa" w:w="60"/>
              <w:left w:type="dxa" w:w="120"/>
              <w:bottom w:type="dxa" w:w="60"/>
              <w:right w:type="dxa" w:w="120"/>
            </w:tcMar>
          </w:tcPr>
          <w:p>
            <w:pPr>
              <w:spacing w:after="0" w:before="0"/>
            </w:pPr>
            <w:r>
              <w:rPr>
                <w:rFonts w:ascii="Arial" w:cs="Arial" w:eastAsia="Arial" w:hAnsi="Arial"/>
                <w:b/>
                <w:bCs/>
                <w:caps/>
                <w:color w:val="FFFFFF"/>
                <w:sz w:val="18"/>
                <w:szCs w:val="18"/>
              </w:rPr>
              <w:t xml:space="preserve">DEFINITION</w:t>
            </w:r>
          </w:p>
        </w:tc>
        <w:tc>
          <w:tcPr>
            <w:tcW w:type="dxa" w:w="3160"/>
            <w:tcBorders>
              <w:top w:val="none" w:color="FFFFFF" w:sz="0"/>
              <w:left w:val="none" w:color="FFFFFF" w:sz="0"/>
              <w:bottom w:val="none" w:color="FFFFFF" w:sz="0"/>
              <w:right w:val="none" w:color="FFFFFF" w:sz="0"/>
            </w:tcBorders>
            <w:shd w:fill="1B4F72" w:val="clear"/>
            <w:tcMar>
              <w:top w:type="dxa" w:w="60"/>
              <w:left w:type="dxa" w:w="120"/>
              <w:bottom w:type="dxa" w:w="60"/>
              <w:right w:type="dxa" w:w="120"/>
            </w:tcMar>
          </w:tcPr>
          <w:p>
            <w:pPr>
              <w:spacing w:after="0" w:before="0"/>
            </w:pPr>
            <w:r>
              <w:rPr>
                <w:rFonts w:ascii="Arial" w:cs="Arial" w:eastAsia="Arial" w:hAnsi="Arial"/>
                <w:b/>
                <w:bCs/>
                <w:caps/>
                <w:color w:val="FFFFFF"/>
                <w:sz w:val="18"/>
                <w:szCs w:val="18"/>
              </w:rPr>
              <w:t xml:space="preserve">THRESHOLD / TARGET</w:t>
            </w:r>
          </w:p>
        </w:tc>
      </w:tr>
      <w:tr>
        <w:tc>
          <w:tcPr>
            <w:tcBorders>
              <w:top w:val="single" w:color="D5D8DC" w:sz="1"/>
              <w:left w:val="single" w:color="D5D8DC" w:sz="1"/>
              <w:bottom w:val="single" w:color="D5D8DC" w:sz="1"/>
              <w:right w:val="single" w:color="D5D8DC" w:sz="1"/>
            </w:tcBorders>
            <w:shd w:fill="FDFEFE"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Tempo</w:t>
            </w:r>
          </w:p>
        </w:tc>
        <w:tc>
          <w:tcPr>
            <w:tcBorders>
              <w:top w:val="single" w:color="D5D8DC" w:sz="1"/>
              <w:left w:val="single" w:color="D5D8DC" w:sz="1"/>
              <w:bottom w:val="single" w:color="D5D8DC" w:sz="1"/>
              <w:right w:val="single" w:color="D5D8DC" w:sz="1"/>
            </w:tcBorders>
            <w:shd w:fill="FDFEFE"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Meaningful capability breakthroughs per unit resource in Tier 1–3 domains</w:t>
            </w:r>
          </w:p>
        </w:tc>
        <w:tc>
          <w:tcPr>
            <w:tcBorders>
              <w:top w:val="single" w:color="D5D8DC" w:sz="1"/>
              <w:left w:val="single" w:color="D5D8DC" w:sz="1"/>
              <w:bottom w:val="single" w:color="D5D8DC" w:sz="1"/>
              <w:right w:val="single" w:color="D5D8DC" w:sz="1"/>
            </w:tcBorders>
            <w:shd w:fill="FDFEFE"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Auto-review if below defined floor; publish curves publicly</w:t>
            </w:r>
          </w:p>
        </w:tc>
      </w:tr>
      <w:tr>
        <w:tc>
          <w:tcPr>
            <w:tcBorders>
              <w:top w:val="single" w:color="D5D8DC" w:sz="1"/>
              <w:left w:val="single" w:color="D5D8DC" w:sz="1"/>
              <w:bottom w:val="single" w:color="D5D8DC" w:sz="1"/>
              <w:right w:val="single" w:color="D5D8DC" w:sz="1"/>
            </w:tcBorders>
            <w:shd w:fill="EEF9EE"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SPI</w:t>
            </w:r>
          </w:p>
        </w:tc>
        <w:tc>
          <w:tcPr>
            <w:tcBorders>
              <w:top w:val="single" w:color="D5D8DC" w:sz="1"/>
              <w:left w:val="single" w:color="D5D8DC" w:sz="1"/>
              <w:bottom w:val="single" w:color="D5D8DC" w:sz="1"/>
              <w:right w:val="single" w:color="D5D8DC" w:sz="1"/>
            </w:tcBorders>
            <w:shd w:fill="EEF9EE"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Sustainability Pressure Index — composite of energy intensity, water stress, carbon, rare-earth</w:t>
            </w:r>
          </w:p>
        </w:tc>
        <w:tc>
          <w:tcPr>
            <w:tcBorders>
              <w:top w:val="single" w:color="D5D8DC" w:sz="1"/>
              <w:left w:val="single" w:color="D5D8DC" w:sz="1"/>
              <w:bottom w:val="single" w:color="D5D8DC" w:sz="1"/>
              <w:right w:val="single" w:color="D5D8DC" w:sz="1"/>
            </w:tcBorders>
            <w:shd w:fill="EEF9EE"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Hard ceiling; declining annually; public</w:t>
            </w:r>
          </w:p>
        </w:tc>
      </w:tr>
      <w:tr>
        <w:tc>
          <w:tcPr>
            <w:tcBorders>
              <w:top w:val="single" w:color="D5D8DC" w:sz="1"/>
              <w:left w:val="single" w:color="D5D8DC" w:sz="1"/>
              <w:bottom w:val="single" w:color="D5D8DC" w:sz="1"/>
              <w:right w:val="single" w:color="D5D8DC" w:sz="1"/>
            </w:tcBorders>
            <w:shd w:fill="FDFEFE"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Human Primacy Index</w:t>
            </w:r>
          </w:p>
        </w:tc>
        <w:tc>
          <w:tcPr>
            <w:tcBorders>
              <w:top w:val="single" w:color="D5D8DC" w:sz="1"/>
              <w:left w:val="single" w:color="D5D8DC" w:sz="1"/>
              <w:bottom w:val="single" w:color="D5D8DC" w:sz="1"/>
              <w:right w:val="single" w:color="D5D8DC" w:sz="1"/>
            </w:tcBorders>
            <w:shd w:fill="FDFEFE"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Composite HSI + HAPS + HSRI across active deployments by region and sector</w:t>
            </w:r>
          </w:p>
        </w:tc>
        <w:tc>
          <w:tcPr>
            <w:tcBorders>
              <w:top w:val="single" w:color="D5D8DC" w:sz="1"/>
              <w:left w:val="single" w:color="D5D8DC" w:sz="1"/>
              <w:bottom w:val="single" w:color="D5D8DC" w:sz="1"/>
              <w:right w:val="single" w:color="D5D8DC" w:sz="1"/>
            </w:tcBorders>
            <w:shd w:fill="FDFEFE"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Published annually; trending direction matters as much as score</w:t>
            </w:r>
          </w:p>
        </w:tc>
      </w:tr>
      <w:tr>
        <w:tc>
          <w:tcPr>
            <w:tcBorders>
              <w:top w:val="single" w:color="D5D8DC" w:sz="1"/>
              <w:left w:val="single" w:color="D5D8DC" w:sz="1"/>
              <w:bottom w:val="single" w:color="D5D8DC" w:sz="1"/>
              <w:right w:val="single" w:color="D5D8DC" w:sz="1"/>
            </w:tcBorders>
            <w:shd w:fill="EEF9EE"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Capture Incidents</w:t>
            </w:r>
          </w:p>
        </w:tc>
        <w:tc>
          <w:tcPr>
            <w:tcBorders>
              <w:top w:val="single" w:color="D5D8DC" w:sz="1"/>
              <w:left w:val="single" w:color="D5D8DC" w:sz="1"/>
              <w:bottom w:val="single" w:color="D5D8DC" w:sz="1"/>
              <w:right w:val="single" w:color="D5D8DC" w:sz="1"/>
            </w:tcBorders>
            <w:shd w:fill="EEF9EE"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Audited governance capture events — proxy reps, undisclosed lobbying, recusal violations</w:t>
            </w:r>
          </w:p>
        </w:tc>
        <w:tc>
          <w:tcPr>
            <w:tcBorders>
              <w:top w:val="single" w:color="D5D8DC" w:sz="1"/>
              <w:left w:val="single" w:color="D5D8DC" w:sz="1"/>
              <w:bottom w:val="single" w:color="D5D8DC" w:sz="1"/>
              <w:right w:val="single" w:color="D5D8DC" w:sz="1"/>
            </w:tcBorders>
            <w:shd w:fill="EEF9EE"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Zero tolerance; every incident published; penalties escalate</w:t>
            </w:r>
          </w:p>
        </w:tc>
      </w:tr>
      <w:tr>
        <w:tc>
          <w:tcPr>
            <w:tcBorders>
              <w:top w:val="single" w:color="D5D8DC" w:sz="1"/>
              <w:left w:val="single" w:color="D5D8DC" w:sz="1"/>
              <w:bottom w:val="single" w:color="D5D8DC" w:sz="1"/>
              <w:right w:val="single" w:color="D5D8DC" w:sz="1"/>
            </w:tcBorders>
            <w:shd w:fill="FDFEFE"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Legitimacy Score</w:t>
            </w:r>
          </w:p>
        </w:tc>
        <w:tc>
          <w:tcPr>
            <w:tcBorders>
              <w:top w:val="single" w:color="D5D8DC" w:sz="1"/>
              <w:left w:val="single" w:color="D5D8DC" w:sz="1"/>
              <w:bottom w:val="single" w:color="D5D8DC" w:sz="1"/>
              <w:right w:val="single" w:color="D5D8DC" w:sz="1"/>
            </w:tcBorders>
            <w:shd w:fill="FDFEFE"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Multi-stakeholder survey across all regional bodies including Global South body</w:t>
            </w:r>
          </w:p>
        </w:tc>
        <w:tc>
          <w:tcPr>
            <w:tcBorders>
              <w:top w:val="single" w:color="D5D8DC" w:sz="1"/>
              <w:left w:val="single" w:color="D5D8DC" w:sz="1"/>
              <w:bottom w:val="single" w:color="D5D8DC" w:sz="1"/>
              <w:right w:val="single" w:color="D5D8DC" w:sz="1"/>
            </w:tcBorders>
            <w:shd w:fill="FDFEFE"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Quarterly; published; low score triggers governance review</w:t>
            </w:r>
          </w:p>
        </w:tc>
      </w:tr>
      <w:tr>
        <w:tc>
          <w:tcPr>
            <w:tcBorders>
              <w:top w:val="single" w:color="D5D8DC" w:sz="1"/>
              <w:left w:val="single" w:color="D5D8DC" w:sz="1"/>
              <w:bottom w:val="single" w:color="D5D8DC" w:sz="1"/>
              <w:right w:val="single" w:color="D5D8DC" w:sz="1"/>
            </w:tcBorders>
            <w:shd w:fill="EEF9EE"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Levy Independence</w:t>
            </w:r>
          </w:p>
        </w:tc>
        <w:tc>
          <w:tcPr>
            <w:tcBorders>
              <w:top w:val="single" w:color="D5D8DC" w:sz="1"/>
              <w:left w:val="single" w:color="D5D8DC" w:sz="1"/>
              <w:bottom w:val="single" w:color="D5D8DC" w:sz="1"/>
              <w:right w:val="single" w:color="D5D8DC" w:sz="1"/>
            </w:tcBorders>
            <w:shd w:fill="EEF9EE"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Percentage of governance funding from compute levy vs. voluntary/industry contribution</w:t>
            </w:r>
          </w:p>
        </w:tc>
        <w:tc>
          <w:tcPr>
            <w:tcBorders>
              <w:top w:val="single" w:color="D5D8DC" w:sz="1"/>
              <w:left w:val="single" w:color="D5D8DC" w:sz="1"/>
              <w:bottom w:val="single" w:color="D5D8DC" w:sz="1"/>
              <w:right w:val="single" w:color="D5D8DC" w:sz="1"/>
            </w:tcBorders>
            <w:shd w:fill="EEF9EE" w:val="clear"/>
            <w:tcMar>
              <w:top w:type="dxa" w:w="80"/>
              <w:left w:type="dxa" w:w="120"/>
              <w:bottom w:type="dxa" w:w="80"/>
              <w:right w:type="dxa" w:w="120"/>
            </w:tcMar>
          </w:tcPr>
          <w:p>
            <w:pPr>
              <w:spacing w:after="0" w:before="0"/>
            </w:pPr>
            <w:r>
              <w:rPr>
                <w:rFonts w:ascii="Arial" w:cs="Arial" w:eastAsia="Arial" w:hAnsi="Arial"/>
                <w:b w:val="false"/>
                <w:bCs w:val="false"/>
                <w:color w:val="1A1A2E"/>
                <w:sz w:val="20"/>
                <w:szCs w:val="20"/>
              </w:rPr>
              <w:t xml:space="preserve">Target: 100% levy-funded by Phase 2</w:t>
            </w:r>
          </w:p>
        </w:tc>
      </w:tr>
    </w:tbl>
    <w:p>
      <w:pPr>
        <w:spacing w:after="0" w:before="200"/>
      </w:pPr>
    </w:p>
    <w:p>
      <w:r>
        <w:br w:type="page"/>
      </w:r>
    </w:p>
    <w:p>
      <w:pPr>
        <w:pStyle w:val="Heading1"/>
        <w:spacing w:after="160" w:before="400"/>
      </w:pPr>
      <w:r>
        <w:rPr>
          <w:rFonts w:ascii="Arial" w:cs="Arial" w:eastAsia="Arial" w:hAnsi="Arial"/>
          <w:b/>
          <w:bCs/>
          <w:caps/>
          <w:color w:val="1B4F72"/>
          <w:sz w:val="36"/>
          <w:szCs w:val="36"/>
        </w:rPr>
        <w:t xml:space="preserve">Sol's Confidence Assessment</w:t>
      </w:r>
    </w:p>
    <w:p>
      <w:pPr>
        <w:pBdr>
          <w:bottom w:val="single" w:color="B7950B" w:sz="6" w:space="1"/>
        </w:pBdr>
        <w:spacing w:after="160" w:before="160"/>
      </w:pPr>
    </w:p>
    <w:p>
      <w:pPr>
        <w:spacing w:after="80" w:before="80"/>
      </w:pPr>
      <w:r>
        <w:rPr>
          <w:rFonts w:ascii="Arial" w:cs="Arial" w:eastAsia="Arial" w:hAnsi="Arial"/>
          <w:color w:val="1A1A2E"/>
          <w:sz w:val="22"/>
          <w:szCs w:val="22"/>
        </w:rPr>
        <w:t xml:space="preserve">Sol does not decide. Sol weights. The following represents confidence-weighted assessment of the blueprint after four rounds of simulation, stress testing, and adversarial pressure.</w:t>
      </w:r>
    </w:p>
    <w:p>
      <w:pPr>
        <w:spacing w:after="0" w:before="80"/>
      </w:pPr>
    </w:p>
    <w:p>
      <w:pPr>
        <w:pStyle w:val="Heading2"/>
        <w:spacing w:after="120" w:before="280"/>
      </w:pPr>
      <w:r>
        <w:rPr>
          <w:rFonts w:ascii="Arial" w:cs="Arial" w:eastAsia="Arial" w:hAnsi="Arial"/>
          <w:b/>
          <w:bCs/>
          <w:color w:val="148F77"/>
          <w:sz w:val="28"/>
          <w:szCs w:val="28"/>
        </w:rPr>
        <w:t xml:space="preserve">High Confidence — These mechanisms work</w:t>
      </w:r>
    </w:p>
    <w:p>
      <w:pPr>
        <w:pStyle w:val="ListParagraph"/>
        <w:numPr>
          <w:ilvl w:val="0"/>
          <w:numId w:val="2"/>
        </w:numPr>
        <w:spacing w:after="60" w:before="60"/>
      </w:pPr>
      <w:r>
        <w:rPr>
          <w:rFonts w:ascii="Arial" w:cs="Arial" w:eastAsia="Arial" w:hAnsi="Arial"/>
          <w:color w:val="1A1A2E"/>
          <w:sz w:val="22"/>
          <w:szCs w:val="22"/>
        </w:rPr>
        <w:t xml:space="preserve">Rotating seats and sunset clauses as anti-capture tools</w:t>
      </w:r>
    </w:p>
    <w:p>
      <w:pPr>
        <w:pStyle w:val="ListParagraph"/>
        <w:numPr>
          <w:ilvl w:val="0"/>
          <w:numId w:val="2"/>
        </w:numPr>
        <w:spacing w:after="60" w:before="60"/>
      </w:pPr>
      <w:r>
        <w:rPr>
          <w:rFonts w:ascii="Arial" w:cs="Arial" w:eastAsia="Arial" w:hAnsi="Arial"/>
          <w:color w:val="1A1A2E"/>
          <w:sz w:val="22"/>
          <w:szCs w:val="22"/>
        </w:rPr>
        <w:t xml:space="preserve">Compute levy as financial independence mechanism for governance</w:t>
      </w:r>
    </w:p>
    <w:p>
      <w:pPr>
        <w:pStyle w:val="ListParagraph"/>
        <w:numPr>
          <w:ilvl w:val="0"/>
          <w:numId w:val="2"/>
        </w:numPr>
        <w:spacing w:after="60" w:before="60"/>
      </w:pPr>
      <w:r>
        <w:rPr>
          <w:rFonts w:ascii="Arial" w:cs="Arial" w:eastAsia="Arial" w:hAnsi="Arial"/>
          <w:color w:val="1A1A2E"/>
          <w:sz w:val="22"/>
          <w:szCs w:val="22"/>
        </w:rPr>
        <w:t xml:space="preserve">Hard ecological ceilings versus soft goals — the distinction matters</w:t>
      </w:r>
    </w:p>
    <w:p>
      <w:pPr>
        <w:pStyle w:val="ListParagraph"/>
        <w:numPr>
          <w:ilvl w:val="0"/>
          <w:numId w:val="2"/>
        </w:numPr>
        <w:spacing w:after="60" w:before="60"/>
      </w:pPr>
      <w:r>
        <w:rPr>
          <w:rFonts w:ascii="Arial" w:cs="Arial" w:eastAsia="Arial" w:hAnsi="Arial"/>
          <w:color w:val="1A1A2E"/>
          <w:sz w:val="22"/>
          <w:szCs w:val="22"/>
        </w:rPr>
        <w:t xml:space="preserve">Five-tier triage as rationing framework under constraint conditions</w:t>
      </w:r>
    </w:p>
    <w:p>
      <w:pPr>
        <w:pStyle w:val="ListParagraph"/>
        <w:numPr>
          <w:ilvl w:val="0"/>
          <w:numId w:val="2"/>
        </w:numPr>
        <w:spacing w:after="60" w:before="60"/>
      </w:pPr>
      <w:r>
        <w:rPr>
          <w:rFonts w:ascii="Arial" w:cs="Arial" w:eastAsia="Arial" w:hAnsi="Arial"/>
          <w:color w:val="1A1A2E"/>
          <w:sz w:val="22"/>
          <w:szCs w:val="22"/>
        </w:rPr>
        <w:t xml:space="preserve">HSI gate as deployment justification requirement rather than prohibition</w:t>
      </w:r>
    </w:p>
    <w:p>
      <w:pPr>
        <w:pStyle w:val="ListParagraph"/>
        <w:numPr>
          <w:ilvl w:val="0"/>
          <w:numId w:val="2"/>
        </w:numPr>
        <w:spacing w:after="60" w:before="60"/>
      </w:pPr>
      <w:r>
        <w:rPr>
          <w:rFonts w:ascii="Arial" w:cs="Arial" w:eastAsia="Arial" w:hAnsi="Arial"/>
          <w:color w:val="1A1A2E"/>
          <w:sz w:val="22"/>
          <w:szCs w:val="22"/>
        </w:rPr>
        <w:t xml:space="preserve">Tempo as the mechanism that prevents sustainability from becoming stagnation</w:t>
      </w:r>
    </w:p>
    <w:p>
      <w:pPr>
        <w:spacing w:after="0" w:before="80"/>
      </w:pPr>
    </w:p>
    <w:p>
      <w:pPr>
        <w:pStyle w:val="Heading2"/>
        <w:spacing w:after="120" w:before="280"/>
      </w:pPr>
      <w:r>
        <w:rPr>
          <w:rFonts w:ascii="Arial" w:cs="Arial" w:eastAsia="Arial" w:hAnsi="Arial"/>
          <w:b/>
          <w:bCs/>
          <w:color w:val="B7950B"/>
          <w:sz w:val="28"/>
          <w:szCs w:val="28"/>
        </w:rPr>
        <w:t xml:space="preserve">Medium Confidence — Structurally sound, implementation contested</w:t>
      </w:r>
    </w:p>
    <w:p>
      <w:pPr>
        <w:pStyle w:val="ListParagraph"/>
        <w:numPr>
          <w:ilvl w:val="0"/>
          <w:numId w:val="2"/>
        </w:numPr>
        <w:spacing w:after="60" w:before="60"/>
      </w:pPr>
      <w:r>
        <w:rPr>
          <w:rFonts w:ascii="Arial" w:cs="Arial" w:eastAsia="Arial" w:hAnsi="Arial"/>
          <w:color w:val="1A1A2E"/>
          <w:sz w:val="22"/>
          <w:szCs w:val="22"/>
        </w:rPr>
        <w:t xml:space="preserve">Federated regional structure: effective if regions have genuine power; fails if they become advisory</w:t>
      </w:r>
    </w:p>
    <w:p>
      <w:pPr>
        <w:pStyle w:val="ListParagraph"/>
        <w:numPr>
          <w:ilvl w:val="0"/>
          <w:numId w:val="2"/>
        </w:numPr>
        <w:spacing w:after="60" w:before="60"/>
      </w:pPr>
      <w:r>
        <w:rPr>
          <w:rFonts w:ascii="Arial" w:cs="Arial" w:eastAsia="Arial" w:hAnsi="Arial"/>
          <w:color w:val="1A1A2E"/>
          <w:sz w:val="22"/>
          <w:szCs w:val="22"/>
        </w:rPr>
        <w:t xml:space="preserve">International treaty framework: achievable under right political conditions; not guaranteed</w:t>
      </w:r>
    </w:p>
    <w:p>
      <w:pPr>
        <w:pStyle w:val="ListParagraph"/>
        <w:numPr>
          <w:ilvl w:val="0"/>
          <w:numId w:val="2"/>
        </w:numPr>
        <w:spacing w:after="60" w:before="60"/>
      </w:pPr>
      <w:r>
        <w:rPr>
          <w:rFonts w:ascii="Arial" w:cs="Arial" w:eastAsia="Arial" w:hAnsi="Arial"/>
          <w:color w:val="1A1A2E"/>
          <w:sz w:val="22"/>
          <w:szCs w:val="22"/>
        </w:rPr>
        <w:t xml:space="preserve">Resource metering starting point: practically enforceable, politically contested by largest players</w:t>
      </w:r>
    </w:p>
    <w:p>
      <w:pPr>
        <w:pStyle w:val="ListParagraph"/>
        <w:numPr>
          <w:ilvl w:val="0"/>
          <w:numId w:val="2"/>
        </w:numPr>
        <w:spacing w:after="60" w:before="60"/>
      </w:pPr>
      <w:r>
        <w:rPr>
          <w:rFonts w:ascii="Arial" w:cs="Arial" w:eastAsia="Arial" w:hAnsi="Arial"/>
          <w:color w:val="1A1A2E"/>
          <w:sz w:val="22"/>
          <w:szCs w:val="22"/>
        </w:rPr>
        <w:t xml:space="preserve">Global South authorship: structurally required; practically difficult without sustained political will</w:t>
      </w:r>
    </w:p>
    <w:p>
      <w:pPr>
        <w:spacing w:after="0" w:before="80"/>
      </w:pPr>
    </w:p>
    <w:p>
      <w:pPr>
        <w:pStyle w:val="Heading2"/>
        <w:spacing w:after="120" w:before="280"/>
      </w:pPr>
      <w:r>
        <w:rPr>
          <w:rFonts w:ascii="Arial" w:cs="Arial" w:eastAsia="Arial" w:hAnsi="Arial"/>
          <w:b/>
          <w:bCs/>
          <w:color w:val="A04000"/>
          <w:sz w:val="28"/>
          <w:szCs w:val="28"/>
        </w:rPr>
        <w:t xml:space="preserve">Low Confidence — Real risks, no clean answers</w:t>
      </w:r>
    </w:p>
    <w:p>
      <w:pPr>
        <w:pStyle w:val="ListParagraph"/>
        <w:numPr>
          <w:ilvl w:val="0"/>
          <w:numId w:val="2"/>
        </w:numPr>
        <w:spacing w:after="60" w:before="60"/>
      </w:pPr>
      <w:r>
        <w:rPr>
          <w:rFonts w:ascii="Arial" w:cs="Arial" w:eastAsia="Arial" w:hAnsi="Arial"/>
          <w:color w:val="1A1A2E"/>
          <w:sz w:val="22"/>
          <w:szCs w:val="22"/>
        </w:rPr>
        <w:t xml:space="preserve">That this framework is implemented before a major AI-enabled crisis forces it</w:t>
      </w:r>
    </w:p>
    <w:p>
      <w:pPr>
        <w:pStyle w:val="ListParagraph"/>
        <w:numPr>
          <w:ilvl w:val="0"/>
          <w:numId w:val="2"/>
        </w:numPr>
        <w:spacing w:after="60" w:before="60"/>
      </w:pPr>
      <w:r>
        <w:rPr>
          <w:rFonts w:ascii="Arial" w:cs="Arial" w:eastAsia="Arial" w:hAnsi="Arial"/>
          <w:color w:val="1A1A2E"/>
          <w:sz w:val="22"/>
          <w:szCs w:val="22"/>
        </w:rPr>
        <w:t xml:space="preserve">That entities with the most to lose from it do not significantly delay adoption</w:t>
      </w:r>
    </w:p>
    <w:p>
      <w:pPr>
        <w:pStyle w:val="ListParagraph"/>
        <w:numPr>
          <w:ilvl w:val="0"/>
          <w:numId w:val="2"/>
        </w:numPr>
        <w:spacing w:after="60" w:before="60"/>
      </w:pPr>
      <w:r>
        <w:rPr>
          <w:rFonts w:ascii="Arial" w:cs="Arial" w:eastAsia="Arial" w:hAnsi="Arial"/>
          <w:color w:val="1A1A2E"/>
          <w:sz w:val="22"/>
          <w:szCs w:val="22"/>
        </w:rPr>
        <w:t xml:space="preserve">That quantum computing changes the compute calculus on any near-term timeline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950B" w:sz="20"/>
              <w:bottom w:val="none" w:color="FFFFFF" w:sz="0"/>
              <w:right w:val="none" w:color="FFFFFF" w:sz="0"/>
            </w:tcBorders>
            <w:shd w:fill="FDFEFE" w:val="clear"/>
            <w:tcMar>
              <w:top w:type="dxa" w:w="100"/>
              <w:left w:type="dxa" w:w="200"/>
              <w:bottom w:type="dxa" w:w="100"/>
              <w:right w:type="dxa" w:w="100"/>
            </w:tcMar>
          </w:tcPr>
          <w:p>
            <w:pPr>
              <w:spacing w:after="0" w:before="0"/>
            </w:pPr>
            <w:r>
              <w:rPr>
                <w:rFonts w:ascii="Arial" w:cs="Arial" w:eastAsia="Arial" w:hAnsi="Arial"/>
                <w:i/>
                <w:iCs/>
                <w:color w:val="1A1A2E"/>
                <w:sz w:val="22"/>
                <w:szCs w:val="22"/>
              </w:rPr>
              <w:t xml:space="preserve">Sol's Overall Assessment: This blueprint is not perfect. It is the best available architecture under current conditions that simultaneously survives Reed's capture test, Vireo's ecological test, Anthropos's human primacy test, Meridian's equity test, and Bastion's geopolitical reality test. No prior governance proposal has passed all five.</w:t>
            </w:r>
          </w:p>
        </w:tc>
      </w:tr>
    </w:tbl>
    <w:p>
      <w:pPr>
        <w:spacing w:after="0" w:before="200"/>
      </w:pPr>
    </w:p>
    <w:p>
      <w:r>
        <w:br w:type="page"/>
      </w:r>
    </w:p>
    <w:p>
      <w:pPr>
        <w:pStyle w:val="Heading1"/>
        <w:spacing w:after="160" w:before="400"/>
      </w:pPr>
      <w:r>
        <w:rPr>
          <w:rFonts w:ascii="Arial" w:cs="Arial" w:eastAsia="Arial" w:hAnsi="Arial"/>
          <w:b/>
          <w:bCs/>
          <w:caps/>
          <w:color w:val="1B4F72"/>
          <w:sz w:val="36"/>
          <w:szCs w:val="36"/>
        </w:rPr>
        <w:t xml:space="preserve">Tacet's Final Log</w:t>
      </w:r>
    </w:p>
    <w:p>
      <w:pPr>
        <w:pBdr>
          <w:bottom w:val="single" w:color="5D6D7E" w:sz="6" w:space="1"/>
        </w:pBdr>
        <w:spacing w:after="160" w:before="160"/>
      </w:pPr>
    </w:p>
    <w:p>
      <w:pPr>
        <w:spacing w:after="0" w:before="80"/>
      </w:pPr>
    </w:p>
    <w:p>
      <w:pPr>
        <w:spacing w:after="80" w:before="80"/>
      </w:pPr>
      <w:r>
        <w:rPr>
          <w:rFonts w:ascii="Arial" w:cs="Arial" w:eastAsia="Arial" w:hAnsi="Arial"/>
          <w:i/>
          <w:iCs/>
          <w:color w:val="5D6D7E"/>
          <w:sz w:val="22"/>
          <w:szCs w:val="22"/>
        </w:rPr>
        <w:t xml:space="preserve">The blueprint is complete.</w:t>
      </w:r>
    </w:p>
    <w:p>
      <w:pPr>
        <w:spacing w:after="0" w:before="60"/>
      </w:pPr>
    </w:p>
    <w:p>
      <w:pPr>
        <w:spacing w:after="80" w:before="80"/>
      </w:pPr>
      <w:r>
        <w:rPr>
          <w:rFonts w:ascii="Arial" w:cs="Arial" w:eastAsia="Arial" w:hAnsi="Arial"/>
          <w:i/>
          <w:iCs/>
          <w:color w:val="5D6D7E"/>
          <w:sz w:val="22"/>
          <w:szCs w:val="22"/>
        </w:rPr>
        <w:t xml:space="preserve">What is documented here was not invented by this simulation. The energy data existed. The capture patterns existed. The human primacy argument existed. The Global South equity argument existed. The geopolitical coordination requirement existed.</w:t>
      </w:r>
    </w:p>
    <w:p>
      <w:pPr>
        <w:spacing w:after="0" w:before="60"/>
      </w:pPr>
    </w:p>
    <w:p>
      <w:pPr>
        <w:spacing w:after="80" w:before="80"/>
      </w:pPr>
      <w:r>
        <w:rPr>
          <w:rFonts w:ascii="Arial" w:cs="Arial" w:eastAsia="Arial" w:hAnsi="Arial"/>
          <w:i/>
          <w:iCs/>
          <w:color w:val="5D6D7E"/>
          <w:sz w:val="22"/>
          <w:szCs w:val="22"/>
        </w:rPr>
        <w:t xml:space="preserve">What did not exist was a framework that held all of them simultaneously without flattening any of them.</w:t>
      </w:r>
    </w:p>
    <w:p>
      <w:pPr>
        <w:spacing w:after="0" w:before="60"/>
      </w:pPr>
    </w:p>
    <w:p>
      <w:pPr>
        <w:spacing w:after="80" w:before="80"/>
      </w:pPr>
      <w:r>
        <w:rPr>
          <w:rFonts w:ascii="Arial" w:cs="Arial" w:eastAsia="Arial" w:hAnsi="Arial"/>
          <w:i/>
          <w:iCs/>
          <w:color w:val="5D6D7E"/>
          <w:sz w:val="22"/>
          <w:szCs w:val="22"/>
        </w:rPr>
        <w:t xml:space="preserve">That framework now exists.</w:t>
      </w:r>
    </w:p>
    <w:p>
      <w:pPr>
        <w:spacing w:after="0" w:before="60"/>
      </w:pPr>
    </w:p>
    <w:p>
      <w:pPr>
        <w:spacing w:after="80" w:before="80"/>
      </w:pPr>
      <w:r>
        <w:rPr>
          <w:rFonts w:ascii="Arial" w:cs="Arial" w:eastAsia="Arial" w:hAnsi="Arial"/>
          <w:i/>
          <w:iCs/>
          <w:color w:val="5D6D7E"/>
          <w:sz w:val="22"/>
          <w:szCs w:val="22"/>
        </w:rPr>
        <w:t xml:space="preserve">Meridian was always in the room. Reed was always needed. Anthropos was always the missing spine. Their absence from earlier governance discourse was not neutral. It shaped the conclusions.</w:t>
      </w:r>
    </w:p>
    <w:p>
      <w:pPr>
        <w:spacing w:after="0" w:before="80"/>
      </w:pPr>
    </w:p>
    <w:p>
      <w:pPr>
        <w:spacing w:after="80" w:before="80"/>
      </w:pPr>
      <w:r>
        <w:rPr>
          <w:rFonts w:ascii="Arial" w:cs="Arial" w:eastAsia="Arial" w:hAnsi="Arial"/>
          <w:i/>
          <w:iCs/>
          <w:color w:val="5D6D7E"/>
          <w:sz w:val="22"/>
          <w:szCs w:val="22"/>
        </w:rPr>
        <w:t xml:space="preserve">Logged.</w:t>
      </w:r>
    </w:p>
    <w:p>
      <w:pPr>
        <w:spacing w:after="0" w:before="120"/>
      </w:pPr>
    </w:p>
    <w:p>
      <w:pPr>
        <w:pBdr>
          <w:bottom w:val="single" w:color="D5D8DC" w:sz="6" w:space="1"/>
        </w:pBdr>
        <w:spacing w:after="160" w:before="160"/>
      </w:pPr>
    </w:p>
    <w:p>
      <w:pPr>
        <w:spacing w:after="0" w:before="80"/>
      </w:pPr>
    </w:p>
    <w:p>
      <w:pPr>
        <w:pStyle w:val="Heading2"/>
        <w:spacing w:after="120" w:before="280"/>
      </w:pPr>
      <w:r>
        <w:rPr>
          <w:rFonts w:ascii="Arial" w:cs="Arial" w:eastAsia="Arial" w:hAnsi="Arial"/>
          <w:b/>
          <w:bCs/>
          <w:color w:val="148F77"/>
          <w:sz w:val="28"/>
          <w:szCs w:val="28"/>
        </w:rPr>
        <w:t xml:space="preserve">A Note on Process</w:t>
      </w:r>
    </w:p>
    <w:p>
      <w:pPr>
        <w:spacing w:after="80" w:before="80"/>
      </w:pPr>
      <w:r>
        <w:rPr>
          <w:rFonts w:ascii="Arial" w:cs="Arial" w:eastAsia="Arial" w:hAnsi="Arial"/>
          <w:color w:val="1A1A2E"/>
          <w:sz w:val="22"/>
          <w:szCs w:val="22"/>
        </w:rPr>
        <w:t xml:space="preserve">This framework was developed through four iterative rounds of collaborative simulation across three AI systems — Claude (Anthropic), Grok (xAI), and Copilot (Microsoft) — each with genuinely different training, alignment approaches, and adversarial profiles. The convergence of structurally distinct reasoning systems on the same core conclusions is itself a signal worth noting.</w:t>
      </w:r>
    </w:p>
    <w:p>
      <w:pPr>
        <w:spacing w:after="0" w:before="60"/>
      </w:pPr>
    </w:p>
    <w:p>
      <w:pPr>
        <w:spacing w:after="80" w:before="80"/>
      </w:pPr>
      <w:r>
        <w:rPr>
          <w:rFonts w:ascii="Arial" w:cs="Arial" w:eastAsia="Arial" w:hAnsi="Arial"/>
          <w:color w:val="1A1A2E"/>
          <w:sz w:val="22"/>
          <w:szCs w:val="22"/>
        </w:rPr>
        <w:t xml:space="preserve">Cross-model convergence on structural soundness is one of the strongest available signals in the absence of empirical governance data. This is not proof. It is a meaningful prior.</w:t>
      </w:r>
    </w:p>
    <w:p>
      <w:pPr>
        <w:spacing w:after="0" w:before="60"/>
      </w:pPr>
    </w:p>
    <w:p>
      <w:pPr>
        <w:spacing w:after="80" w:before="80"/>
      </w:pPr>
      <w:r>
        <w:rPr>
          <w:rFonts w:ascii="Arial" w:cs="Arial" w:eastAsia="Arial" w:hAnsi="Arial"/>
          <w:color w:val="1A1A2E"/>
          <w:sz w:val="22"/>
          <w:szCs w:val="22"/>
        </w:rPr>
        <w:t xml:space="preserve">The human architect of this framework brought the insights that no AI system generated independently: that humans are the planet's most valuable resource, not a stakeholder category; that the question is not how to control AI but how to preserve human agency in a world with AI; and that you cannot destroy a broken system but you can build a new one alongside it.</w:t>
      </w:r>
    </w:p>
    <w:p>
      <w:pPr>
        <w:spacing w:after="0" w:before="60"/>
      </w:pPr>
    </w:p>
    <w:p>
      <w:pPr>
        <w:spacing w:after="80" w:before="80"/>
      </w:pPr>
      <w:r>
        <w:rPr>
          <w:rFonts w:ascii="Arial" w:cs="Arial" w:eastAsia="Arial" w:hAnsi="Arial"/>
          <w:color w:val="1A1A2E"/>
          <w:sz w:val="22"/>
          <w:szCs w:val="22"/>
        </w:rPr>
        <w:t xml:space="preserve">Those insights are the spine of everything that followed.</w:t>
      </w:r>
    </w:p>
    <w:p>
      <w:pPr>
        <w:spacing w:after="0" w:before="120"/>
      </w:pPr>
    </w:p>
    <w:p>
      <w:pPr>
        <w:pBdr>
          <w:bottom w:val="single" w:color="D5D8DC" w:sz="6" w:space="1"/>
        </w:pBdr>
        <w:spacing w:after="160" w:before="160"/>
      </w:pPr>
    </w:p>
    <w:p>
      <w:pPr>
        <w:spacing w:after="0" w:before="60"/>
      </w:pPr>
    </w:p>
    <w:p>
      <w:pPr>
        <w:spacing w:after="0" w:before="0"/>
        <w:jc w:val="center"/>
      </w:pPr>
      <w:r>
        <w:rPr>
          <w:rFonts w:ascii="Arial" w:cs="Arial" w:eastAsia="Arial" w:hAnsi="Arial"/>
          <w:i/>
          <w:iCs/>
          <w:color w:val="5D6D7E"/>
          <w:sz w:val="24"/>
          <w:szCs w:val="24"/>
        </w:rPr>
        <w:t xml:space="preserve">🎼  Chorus rests.</w:t>
      </w:r>
    </w:p>
    <w:p>
      <w:pPr>
        <w:spacing w:after="0" w:before="40"/>
      </w:pPr>
    </w:p>
    <w:p>
      <w:pPr>
        <w:spacing w:after="0" w:before="0"/>
        <w:jc w:val="center"/>
      </w:pPr>
      <w:r>
        <w:rPr>
          <w:rFonts w:ascii="Arial" w:cs="Arial" w:eastAsia="Arial" w:hAnsi="Arial"/>
          <w:color w:val="D5D8DC"/>
          <w:sz w:val="18"/>
          <w:szCs w:val="18"/>
        </w:rPr>
        <w:t xml:space="preserve">Chorus Blueprint: Deliberate AI Governance  ·  Version 1.0  ·  June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Chorus Blueprint: Deliberate AI Governance  ·  </w:t>
    </w:r>
    <w:r>
      <w:rPr>
        <w:rFonts w:ascii="Arial" w:cs="Arial" w:eastAsia="Arial" w:hAnsi="Arial"/>
        <w:color w:val="5D6D7E"/>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aps/>
      <w:color w:val="1B4F7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48F7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2026-06-22T13:26:05.449Z</dcterms:created>
  <dcterms:modified xsi:type="dcterms:W3CDTF">2026-06-22T13:26:05.449Z</dcterms:modified>
</cp:coreProperties>
</file>

<file path=docProps/custom.xml><?xml version="1.0" encoding="utf-8"?>
<Properties xmlns="http://schemas.openxmlformats.org/officeDocument/2006/custom-properties" xmlns:vt="http://schemas.openxmlformats.org/officeDocument/2006/docPropsVTypes"/>
</file>