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7BD27" w14:textId="1BB16643" w:rsidR="00235A4A" w:rsidRPr="00C829EA" w:rsidRDefault="00235A4A" w:rsidP="00754606">
      <w:pPr>
        <w:spacing w:after="0" w:line="240" w:lineRule="auto"/>
        <w:rPr>
          <w:rFonts w:ascii="Times New Roman" w:eastAsia="Times New Roman" w:hAnsi="Times New Roman" w:cs="Times New Roman"/>
          <w:b/>
          <w:bCs/>
          <w:color w:val="000000"/>
          <w:sz w:val="28"/>
          <w:szCs w:val="28"/>
          <w:shd w:val="clear" w:color="auto" w:fill="FFFFFF"/>
          <w:lang w:eastAsia="en-IN"/>
        </w:rPr>
      </w:pPr>
      <w:r w:rsidRPr="00C829EA">
        <w:rPr>
          <w:rFonts w:ascii="Times New Roman" w:eastAsia="Times New Roman" w:hAnsi="Times New Roman" w:cs="Times New Roman"/>
          <w:b/>
          <w:bCs/>
          <w:color w:val="000000"/>
          <w:sz w:val="28"/>
          <w:szCs w:val="28"/>
          <w:shd w:val="clear" w:color="auto" w:fill="FFFFFF"/>
          <w:lang w:eastAsia="en-IN"/>
        </w:rPr>
        <w:t>PREAMBLE</w:t>
      </w:r>
    </w:p>
    <w:p w14:paraId="7FACE0DE" w14:textId="77777777" w:rsidR="00235A4A" w:rsidRDefault="00235A4A" w:rsidP="00754606">
      <w:pPr>
        <w:spacing w:after="0" w:line="240" w:lineRule="auto"/>
        <w:rPr>
          <w:rFonts w:ascii="Times New Roman" w:eastAsia="Times New Roman" w:hAnsi="Times New Roman" w:cs="Times New Roman"/>
          <w:color w:val="000000"/>
          <w:sz w:val="28"/>
          <w:szCs w:val="28"/>
          <w:shd w:val="clear" w:color="auto" w:fill="FFFFFF"/>
          <w:lang w:eastAsia="en-IN"/>
        </w:rPr>
      </w:pPr>
    </w:p>
    <w:p w14:paraId="0F2E68A0" w14:textId="10C0AB49" w:rsidR="00754606" w:rsidRPr="00D84E5F" w:rsidRDefault="00AA6D19" w:rsidP="00754606">
      <w:pPr>
        <w:spacing w:after="0" w:line="240" w:lineRule="auto"/>
        <w:rPr>
          <w:rFonts w:ascii="Times New Roman" w:eastAsia="Times New Roman" w:hAnsi="Times New Roman" w:cs="Times New Roman"/>
          <w:color w:val="000000"/>
          <w:sz w:val="28"/>
          <w:szCs w:val="28"/>
          <w:lang w:eastAsia="en-IN"/>
        </w:rPr>
      </w:pPr>
      <w:r w:rsidRPr="00D84E5F">
        <w:rPr>
          <w:noProof/>
          <w:sz w:val="28"/>
          <w:szCs w:val="28"/>
        </w:rPr>
        <w:drawing>
          <wp:anchor distT="0" distB="0" distL="114300" distR="114300" simplePos="0" relativeHeight="251661312" behindDoc="1" locked="0" layoutInCell="1" allowOverlap="1" wp14:anchorId="49667EF4" wp14:editId="2B91C98F">
            <wp:simplePos x="0" y="0"/>
            <wp:positionH relativeFrom="margin">
              <wp:posOffset>152400</wp:posOffset>
            </wp:positionH>
            <wp:positionV relativeFrom="paragraph">
              <wp:posOffset>968375</wp:posOffset>
            </wp:positionV>
            <wp:extent cx="4368165" cy="2800350"/>
            <wp:effectExtent l="0" t="0" r="0" b="0"/>
            <wp:wrapTight wrapText="bothSides">
              <wp:wrapPolygon edited="0">
                <wp:start x="0" y="0"/>
                <wp:lineTo x="0" y="21453"/>
                <wp:lineTo x="21478" y="21453"/>
                <wp:lineTo x="21478" y="0"/>
                <wp:lineTo x="0" y="0"/>
              </wp:wrapPolygon>
            </wp:wrapTight>
            <wp:docPr id="1" name="Picture 1" descr="A picture containing sitting, tabl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 market 1.png"/>
                    <pic:cNvPicPr/>
                  </pic:nvPicPr>
                  <pic:blipFill>
                    <a:blip r:embed="rId6">
                      <a:extLst>
                        <a:ext uri="{28A0092B-C50C-407E-A947-70E740481C1C}">
                          <a14:useLocalDpi xmlns:a14="http://schemas.microsoft.com/office/drawing/2010/main" val="0"/>
                        </a:ext>
                      </a:extLst>
                    </a:blip>
                    <a:stretch>
                      <a:fillRect/>
                    </a:stretch>
                  </pic:blipFill>
                  <pic:spPr>
                    <a:xfrm>
                      <a:off x="0" y="0"/>
                      <a:ext cx="4368165" cy="2800350"/>
                    </a:xfrm>
                    <a:prstGeom prst="rect">
                      <a:avLst/>
                    </a:prstGeom>
                  </pic:spPr>
                </pic:pic>
              </a:graphicData>
            </a:graphic>
            <wp14:sizeRelH relativeFrom="margin">
              <wp14:pctWidth>0</wp14:pctWidth>
            </wp14:sizeRelH>
            <wp14:sizeRelV relativeFrom="margin">
              <wp14:pctHeight>0</wp14:pctHeight>
            </wp14:sizeRelV>
          </wp:anchor>
        </w:drawing>
      </w:r>
      <w:r w:rsidRPr="00D84E5F">
        <w:rPr>
          <w:noProof/>
          <w:sz w:val="28"/>
          <w:szCs w:val="28"/>
        </w:rPr>
        <w:drawing>
          <wp:anchor distT="0" distB="0" distL="114300" distR="114300" simplePos="0" relativeHeight="251659264" behindDoc="1" locked="0" layoutInCell="1" allowOverlap="1" wp14:anchorId="6E60CA52" wp14:editId="43FCB87F">
            <wp:simplePos x="0" y="0"/>
            <wp:positionH relativeFrom="page">
              <wp:posOffset>5409565</wp:posOffset>
            </wp:positionH>
            <wp:positionV relativeFrom="paragraph">
              <wp:posOffset>975360</wp:posOffset>
            </wp:positionV>
            <wp:extent cx="4200525" cy="2801620"/>
            <wp:effectExtent l="0" t="0" r="9525" b="0"/>
            <wp:wrapTight wrapText="bothSides">
              <wp:wrapPolygon edited="0">
                <wp:start x="0" y="0"/>
                <wp:lineTo x="0" y="21443"/>
                <wp:lineTo x="21551" y="21443"/>
                <wp:lineTo x="21551" y="0"/>
                <wp:lineTo x="0" y="0"/>
              </wp:wrapPolygon>
            </wp:wrapTight>
            <wp:docPr id="2" name="Picture 2" descr="A picture containing sitting, television,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ck market.png"/>
                    <pic:cNvPicPr/>
                  </pic:nvPicPr>
                  <pic:blipFill>
                    <a:blip r:embed="rId7">
                      <a:extLst>
                        <a:ext uri="{28A0092B-C50C-407E-A947-70E740481C1C}">
                          <a14:useLocalDpi xmlns:a14="http://schemas.microsoft.com/office/drawing/2010/main" val="0"/>
                        </a:ext>
                      </a:extLst>
                    </a:blip>
                    <a:stretch>
                      <a:fillRect/>
                    </a:stretch>
                  </pic:blipFill>
                  <pic:spPr>
                    <a:xfrm>
                      <a:off x="0" y="0"/>
                      <a:ext cx="4200525" cy="2801620"/>
                    </a:xfrm>
                    <a:prstGeom prst="rect">
                      <a:avLst/>
                    </a:prstGeom>
                  </pic:spPr>
                </pic:pic>
              </a:graphicData>
            </a:graphic>
            <wp14:sizeRelH relativeFrom="margin">
              <wp14:pctWidth>0</wp14:pctWidth>
            </wp14:sizeRelH>
            <wp14:sizeRelV relativeFrom="margin">
              <wp14:pctHeight>0</wp14:pctHeight>
            </wp14:sizeRelV>
          </wp:anchor>
        </w:drawing>
      </w:r>
      <w:r w:rsidR="00754606" w:rsidRPr="00D84E5F">
        <w:rPr>
          <w:rFonts w:ascii="Times New Roman" w:eastAsia="Times New Roman" w:hAnsi="Times New Roman" w:cs="Times New Roman"/>
          <w:color w:val="000000"/>
          <w:sz w:val="28"/>
          <w:szCs w:val="28"/>
          <w:shd w:val="clear" w:color="auto" w:fill="FFFFFF"/>
          <w:lang w:eastAsia="en-IN"/>
        </w:rPr>
        <w:t xml:space="preserve">Coronavirus or COVID-19 has spooked not just the Indian stock market but global stock markets as well. This analysis depicts </w:t>
      </w:r>
      <w:r w:rsidR="00754606" w:rsidRPr="00D84E5F">
        <w:rPr>
          <w:rFonts w:ascii="Times New Roman" w:hAnsi="Times New Roman" w:cs="Times New Roman"/>
          <w:color w:val="3C4043"/>
          <w:spacing w:val="3"/>
          <w:sz w:val="28"/>
          <w:szCs w:val="28"/>
        </w:rPr>
        <w:t>which company has prospered and gained and managed to lead the stock market, how much market capital added</w:t>
      </w:r>
      <w:r w:rsidR="00754606" w:rsidRPr="00D84E5F">
        <w:rPr>
          <w:rFonts w:ascii="Times New Roman" w:eastAsia="Times New Roman" w:hAnsi="Times New Roman" w:cs="Times New Roman"/>
          <w:color w:val="000000"/>
          <w:sz w:val="28"/>
          <w:szCs w:val="28"/>
          <w:lang w:eastAsia="en-IN"/>
        </w:rPr>
        <w:t xml:space="preserve">, </w:t>
      </w:r>
      <w:r w:rsidR="00754606" w:rsidRPr="00D84E5F">
        <w:rPr>
          <w:rFonts w:ascii="Times New Roman" w:hAnsi="Times New Roman" w:cs="Times New Roman"/>
          <w:color w:val="3C4043"/>
          <w:spacing w:val="3"/>
          <w:sz w:val="28"/>
          <w:szCs w:val="28"/>
        </w:rPr>
        <w:t>which country invested more in which sector, what are the strategies the top companies has implemented to lead their business during this pandemic.</w:t>
      </w:r>
    </w:p>
    <w:p w14:paraId="25E382F3" w14:textId="6F159C41" w:rsidR="00B73A9A" w:rsidRDefault="00B73A9A"/>
    <w:p w14:paraId="1951BFAE" w14:textId="44737461" w:rsidR="00AA6D19" w:rsidRPr="00235A4A" w:rsidRDefault="00235A4A">
      <w:pPr>
        <w:rPr>
          <w:rFonts w:ascii="Times New Roman" w:hAnsi="Times New Roman" w:cs="Times New Roman"/>
          <w:b/>
          <w:bCs/>
          <w:sz w:val="28"/>
          <w:szCs w:val="28"/>
        </w:rPr>
      </w:pPr>
      <w:r w:rsidRPr="00235A4A">
        <w:rPr>
          <w:rFonts w:ascii="Times New Roman" w:hAnsi="Times New Roman" w:cs="Times New Roman"/>
          <w:b/>
          <w:bCs/>
          <w:sz w:val="28"/>
          <w:szCs w:val="28"/>
        </w:rPr>
        <w:t>MARKET CAPITALIZATION</w:t>
      </w:r>
    </w:p>
    <w:p w14:paraId="5CFEBA9C" w14:textId="039E4371" w:rsidR="00235A4A" w:rsidRDefault="00235A4A">
      <w:r>
        <w:rPr>
          <w:rFonts w:ascii="Arial" w:hAnsi="Arial" w:cs="Arial"/>
          <w:color w:val="111111"/>
          <w:sz w:val="26"/>
          <w:szCs w:val="26"/>
          <w:shd w:val="clear" w:color="auto" w:fill="FFFFFF"/>
        </w:rPr>
        <w:t>Market capitalization refers to the </w:t>
      </w:r>
      <w:r>
        <w:rPr>
          <w:rFonts w:ascii="Arial" w:hAnsi="Arial" w:cs="Arial"/>
          <w:color w:val="111111"/>
          <w:sz w:val="26"/>
          <w:szCs w:val="26"/>
          <w:shd w:val="clear" w:color="auto" w:fill="FFFFFF"/>
        </w:rPr>
        <w:t xml:space="preserve">total dollar market value </w:t>
      </w:r>
      <w:r>
        <w:rPr>
          <w:rFonts w:ascii="Arial" w:hAnsi="Arial" w:cs="Arial"/>
          <w:color w:val="111111"/>
          <w:sz w:val="26"/>
          <w:szCs w:val="26"/>
          <w:shd w:val="clear" w:color="auto" w:fill="FFFFFF"/>
        </w:rPr>
        <w:t>of a company's outstanding</w:t>
      </w:r>
      <w:r>
        <w:rPr>
          <w:rFonts w:ascii="Arial" w:hAnsi="Arial" w:cs="Arial"/>
          <w:color w:val="111111"/>
          <w:sz w:val="26"/>
          <w:szCs w:val="26"/>
          <w:shd w:val="clear" w:color="auto" w:fill="FFFFFF"/>
        </w:rPr>
        <w:t xml:space="preserve"> shares </w:t>
      </w:r>
      <w:r>
        <w:rPr>
          <w:rFonts w:ascii="Arial" w:hAnsi="Arial" w:cs="Arial"/>
          <w:color w:val="111111"/>
          <w:sz w:val="26"/>
          <w:szCs w:val="26"/>
          <w:shd w:val="clear" w:color="auto" w:fill="FFFFFF"/>
        </w:rPr>
        <w:t>of stock. Commonly referred to as "market cap," it is calculated by multiplying the total number of a company's outstanding shares by the current market price of one share.</w:t>
      </w:r>
    </w:p>
    <w:p w14:paraId="79510E63" w14:textId="35A1DC22" w:rsidR="00AA6D19" w:rsidRDefault="00AA6D19"/>
    <w:p w14:paraId="1D86DB0C" w14:textId="598E14E7" w:rsidR="00AA6D19" w:rsidRDefault="00AA6D19"/>
    <w:p w14:paraId="3AC4CEF0" w14:textId="2B43B20B" w:rsidR="00AA6D19" w:rsidRDefault="00AA6D19"/>
    <w:p w14:paraId="46C129CE" w14:textId="0C381ED1" w:rsidR="007E2E92" w:rsidRPr="00C829EA" w:rsidRDefault="00C829EA" w:rsidP="00AE46DF">
      <w:pPr>
        <w:rPr>
          <w:rFonts w:ascii="Times New Roman" w:hAnsi="Times New Roman" w:cs="Times New Roman"/>
          <w:b/>
          <w:bCs/>
          <w:sz w:val="28"/>
          <w:szCs w:val="28"/>
        </w:rPr>
      </w:pPr>
      <w:r w:rsidRPr="00C829EA">
        <w:rPr>
          <w:rFonts w:ascii="Times New Roman" w:hAnsi="Times New Roman" w:cs="Times New Roman"/>
          <w:b/>
          <w:bCs/>
          <w:sz w:val="28"/>
          <w:szCs w:val="28"/>
        </w:rPr>
        <w:lastRenderedPageBreak/>
        <w:t>Market capital and addition of top 100 companies</w:t>
      </w:r>
    </w:p>
    <w:p w14:paraId="29BBFB27" w14:textId="62C57460" w:rsidR="00AE46DF" w:rsidRPr="00D84E5F" w:rsidRDefault="00AE46DF" w:rsidP="00AE46DF">
      <w:pPr>
        <w:rPr>
          <w:rFonts w:ascii="Times New Roman" w:hAnsi="Times New Roman" w:cs="Times New Roman"/>
          <w:sz w:val="27"/>
          <w:szCs w:val="27"/>
        </w:rPr>
      </w:pPr>
      <w:r w:rsidRPr="00D84E5F">
        <w:rPr>
          <w:rFonts w:ascii="Times New Roman" w:hAnsi="Times New Roman" w:cs="Times New Roman"/>
          <w:sz w:val="27"/>
          <w:szCs w:val="27"/>
        </w:rPr>
        <w:t>G</w:t>
      </w:r>
      <w:r w:rsidRPr="00D84E5F">
        <w:rPr>
          <w:rFonts w:ascii="Times New Roman" w:hAnsi="Times New Roman" w:cs="Times New Roman"/>
          <w:sz w:val="27"/>
          <w:szCs w:val="27"/>
        </w:rPr>
        <w:t xml:space="preserve">raph shows </w:t>
      </w:r>
      <w:r w:rsidR="00C829EA">
        <w:rPr>
          <w:rFonts w:ascii="Times New Roman" w:hAnsi="Times New Roman" w:cs="Times New Roman"/>
          <w:sz w:val="27"/>
          <w:szCs w:val="27"/>
        </w:rPr>
        <w:t xml:space="preserve">sum of </w:t>
      </w:r>
      <w:r w:rsidRPr="00D84E5F">
        <w:rPr>
          <w:rFonts w:ascii="Times New Roman" w:hAnsi="Times New Roman" w:cs="Times New Roman"/>
          <w:b/>
          <w:bCs/>
          <w:sz w:val="27"/>
          <w:szCs w:val="27"/>
        </w:rPr>
        <w:t>market capital</w:t>
      </w:r>
      <w:r w:rsidRPr="00D84E5F">
        <w:rPr>
          <w:rFonts w:ascii="Times New Roman" w:hAnsi="Times New Roman" w:cs="Times New Roman"/>
          <w:sz w:val="27"/>
          <w:szCs w:val="27"/>
        </w:rPr>
        <w:t xml:space="preserve"> and </w:t>
      </w:r>
      <w:r w:rsidRPr="00D84E5F">
        <w:rPr>
          <w:rFonts w:ascii="Times New Roman" w:hAnsi="Times New Roman" w:cs="Times New Roman"/>
          <w:b/>
          <w:bCs/>
          <w:sz w:val="27"/>
          <w:szCs w:val="27"/>
        </w:rPr>
        <w:t>market capital addition</w:t>
      </w:r>
      <w:r w:rsidRPr="00D84E5F">
        <w:rPr>
          <w:rFonts w:ascii="Times New Roman" w:hAnsi="Times New Roman" w:cs="Times New Roman"/>
          <w:sz w:val="27"/>
          <w:szCs w:val="27"/>
        </w:rPr>
        <w:t xml:space="preserve"> of 100 companies who lead their stock during this global pandemic.</w:t>
      </w:r>
    </w:p>
    <w:p w14:paraId="24C4B762" w14:textId="4C0E618A" w:rsidR="00AE46DF" w:rsidRDefault="00C829EA">
      <w:r>
        <w:rPr>
          <w:noProof/>
        </w:rPr>
        <w:drawing>
          <wp:anchor distT="0" distB="0" distL="114300" distR="114300" simplePos="0" relativeHeight="251668480" behindDoc="1" locked="0" layoutInCell="1" allowOverlap="1" wp14:anchorId="2609673B" wp14:editId="28DC714C">
            <wp:simplePos x="0" y="0"/>
            <wp:positionH relativeFrom="margin">
              <wp:align>left</wp:align>
            </wp:positionH>
            <wp:positionV relativeFrom="paragraph">
              <wp:posOffset>8890</wp:posOffset>
            </wp:positionV>
            <wp:extent cx="7705725" cy="2713990"/>
            <wp:effectExtent l="0" t="0" r="9525" b="0"/>
            <wp:wrapTight wrapText="bothSides">
              <wp:wrapPolygon edited="0">
                <wp:start x="0" y="0"/>
                <wp:lineTo x="0" y="21378"/>
                <wp:lineTo x="21573" y="21378"/>
                <wp:lineTo x="21573"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ket_cap.png"/>
                    <pic:cNvPicPr/>
                  </pic:nvPicPr>
                  <pic:blipFill>
                    <a:blip r:embed="rId8">
                      <a:extLst>
                        <a:ext uri="{28A0092B-C50C-407E-A947-70E740481C1C}">
                          <a14:useLocalDpi xmlns:a14="http://schemas.microsoft.com/office/drawing/2010/main" val="0"/>
                        </a:ext>
                      </a:extLst>
                    </a:blip>
                    <a:stretch>
                      <a:fillRect/>
                    </a:stretch>
                  </pic:blipFill>
                  <pic:spPr>
                    <a:xfrm>
                      <a:off x="0" y="0"/>
                      <a:ext cx="7705725" cy="2713990"/>
                    </a:xfrm>
                    <a:prstGeom prst="rect">
                      <a:avLst/>
                    </a:prstGeom>
                  </pic:spPr>
                </pic:pic>
              </a:graphicData>
            </a:graphic>
            <wp14:sizeRelH relativeFrom="margin">
              <wp14:pctWidth>0</wp14:pctWidth>
            </wp14:sizeRelH>
            <wp14:sizeRelV relativeFrom="margin">
              <wp14:pctHeight>0</wp14:pctHeight>
            </wp14:sizeRelV>
          </wp:anchor>
        </w:drawing>
      </w:r>
    </w:p>
    <w:p w14:paraId="5A18EA4E" w14:textId="79A38FF1" w:rsidR="00AA6D19" w:rsidRDefault="00AA6D19"/>
    <w:p w14:paraId="534C43AB" w14:textId="145DD3EE" w:rsidR="00AA6D19" w:rsidRDefault="00AA6D19"/>
    <w:p w14:paraId="754D501A" w14:textId="35CD7164" w:rsidR="00AA6D19" w:rsidRDefault="00AA6D19"/>
    <w:p w14:paraId="500AB30D" w14:textId="7E44E480" w:rsidR="00AA6D19" w:rsidRDefault="00AA6D19"/>
    <w:p w14:paraId="6E5221BB" w14:textId="7AA3920F" w:rsidR="00AA6D19" w:rsidRDefault="00AA6D19"/>
    <w:p w14:paraId="6DA81F0D" w14:textId="29204C75" w:rsidR="00AA6D19" w:rsidRDefault="00AA6D19"/>
    <w:p w14:paraId="7E654E53" w14:textId="3C8BC958" w:rsidR="00AA6D19" w:rsidRDefault="00AA6D19"/>
    <w:p w14:paraId="6C94048B" w14:textId="1059AA7F" w:rsidR="00AA6D19" w:rsidRDefault="00AA6D19"/>
    <w:p w14:paraId="6B8D967A" w14:textId="2774A57E" w:rsidR="00AA6D19" w:rsidRPr="00AA6D19" w:rsidRDefault="00AA6D19" w:rsidP="00AA6D19"/>
    <w:p w14:paraId="0BFB7F25" w14:textId="6F4518F0" w:rsidR="00AA6D19" w:rsidRDefault="00C829EA" w:rsidP="00AA6D19">
      <w:r>
        <w:rPr>
          <w:noProof/>
        </w:rPr>
        <w:drawing>
          <wp:anchor distT="0" distB="0" distL="114300" distR="114300" simplePos="0" relativeHeight="251678720" behindDoc="1" locked="0" layoutInCell="1" allowOverlap="1" wp14:anchorId="48DAB3A9" wp14:editId="25D92E9E">
            <wp:simplePos x="0" y="0"/>
            <wp:positionH relativeFrom="margin">
              <wp:align>left</wp:align>
            </wp:positionH>
            <wp:positionV relativeFrom="paragraph">
              <wp:posOffset>28575</wp:posOffset>
            </wp:positionV>
            <wp:extent cx="7715250" cy="2630805"/>
            <wp:effectExtent l="0" t="0" r="0" b="0"/>
            <wp:wrapTight wrapText="bothSides">
              <wp:wrapPolygon edited="0">
                <wp:start x="0" y="0"/>
                <wp:lineTo x="0" y="21428"/>
                <wp:lineTo x="21547" y="21428"/>
                <wp:lineTo x="21547"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imum Capital added.png"/>
                    <pic:cNvPicPr/>
                  </pic:nvPicPr>
                  <pic:blipFill>
                    <a:blip r:embed="rId9">
                      <a:extLst>
                        <a:ext uri="{28A0092B-C50C-407E-A947-70E740481C1C}">
                          <a14:useLocalDpi xmlns:a14="http://schemas.microsoft.com/office/drawing/2010/main" val="0"/>
                        </a:ext>
                      </a:extLst>
                    </a:blip>
                    <a:stretch>
                      <a:fillRect/>
                    </a:stretch>
                  </pic:blipFill>
                  <pic:spPr>
                    <a:xfrm>
                      <a:off x="0" y="0"/>
                      <a:ext cx="7715250" cy="2630805"/>
                    </a:xfrm>
                    <a:prstGeom prst="rect">
                      <a:avLst/>
                    </a:prstGeom>
                  </pic:spPr>
                </pic:pic>
              </a:graphicData>
            </a:graphic>
            <wp14:sizeRelH relativeFrom="margin">
              <wp14:pctWidth>0</wp14:pctWidth>
            </wp14:sizeRelH>
            <wp14:sizeRelV relativeFrom="margin">
              <wp14:pctHeight>0</wp14:pctHeight>
            </wp14:sizeRelV>
          </wp:anchor>
        </w:drawing>
      </w:r>
    </w:p>
    <w:p w14:paraId="11F32C11" w14:textId="595A10D8" w:rsidR="00AA6D19" w:rsidRDefault="00AA6D19" w:rsidP="00AA6D19"/>
    <w:p w14:paraId="27F755E2" w14:textId="56A6853C" w:rsidR="00AA6D19" w:rsidRDefault="00AA6D19" w:rsidP="00AA6D19"/>
    <w:p w14:paraId="4D52293C" w14:textId="6404C5DA" w:rsidR="00AA6D19" w:rsidRDefault="00AA6D19" w:rsidP="00AA6D19"/>
    <w:p w14:paraId="26271AFB" w14:textId="31A83440" w:rsidR="00AA6D19" w:rsidRDefault="00AA6D19" w:rsidP="00AA6D19"/>
    <w:p w14:paraId="31A7CBBA" w14:textId="706CFF43" w:rsidR="00AA6D19" w:rsidRDefault="00AA6D19" w:rsidP="00AA6D19"/>
    <w:p w14:paraId="53327166" w14:textId="7AB86BF2" w:rsidR="00AA6D19" w:rsidRDefault="00AA6D19" w:rsidP="00AA6D19"/>
    <w:p w14:paraId="30116D68" w14:textId="77777777" w:rsidR="00AE46DF" w:rsidRDefault="00AE46DF" w:rsidP="00AA6D19"/>
    <w:p w14:paraId="51BAFD78" w14:textId="77777777" w:rsidR="00AE46DF" w:rsidRDefault="00AE46DF" w:rsidP="00AA6D19"/>
    <w:p w14:paraId="1012127C" w14:textId="121342A6" w:rsidR="00EF706F" w:rsidRPr="00C829EA" w:rsidRDefault="00EF706F" w:rsidP="00AA6D19">
      <w:pPr>
        <w:rPr>
          <w:rFonts w:ascii="Times New Roman" w:hAnsi="Times New Roman" w:cs="Times New Roman"/>
          <w:b/>
          <w:bCs/>
          <w:sz w:val="28"/>
          <w:szCs w:val="28"/>
        </w:rPr>
      </w:pPr>
      <w:r w:rsidRPr="00C829EA">
        <w:rPr>
          <w:rFonts w:ascii="Times New Roman" w:hAnsi="Times New Roman" w:cs="Times New Roman"/>
          <w:b/>
          <w:bCs/>
          <w:sz w:val="28"/>
          <w:szCs w:val="28"/>
        </w:rPr>
        <w:lastRenderedPageBreak/>
        <w:t>Top 10 companies in Market Capital addition</w:t>
      </w:r>
    </w:p>
    <w:p w14:paraId="00545194" w14:textId="1827A819" w:rsidR="00EF706F" w:rsidRDefault="00415796" w:rsidP="00AA6D19">
      <w:r>
        <w:rPr>
          <w:noProof/>
        </w:rPr>
        <w:drawing>
          <wp:anchor distT="0" distB="0" distL="114300" distR="114300" simplePos="0" relativeHeight="251666432" behindDoc="1" locked="0" layoutInCell="1" allowOverlap="1" wp14:anchorId="3C056658" wp14:editId="724078C3">
            <wp:simplePos x="0" y="0"/>
            <wp:positionH relativeFrom="margin">
              <wp:align>right</wp:align>
            </wp:positionH>
            <wp:positionV relativeFrom="paragraph">
              <wp:posOffset>227965</wp:posOffset>
            </wp:positionV>
            <wp:extent cx="4105275" cy="3048635"/>
            <wp:effectExtent l="0" t="0" r="9525" b="18415"/>
            <wp:wrapTight wrapText="bothSides">
              <wp:wrapPolygon edited="0">
                <wp:start x="0" y="0"/>
                <wp:lineTo x="0" y="21596"/>
                <wp:lineTo x="21550" y="21596"/>
                <wp:lineTo x="21550" y="0"/>
                <wp:lineTo x="0" y="0"/>
              </wp:wrapPolygon>
            </wp:wrapTight>
            <wp:docPr id="13" name="Chart 13">
              <a:extLst xmlns:a="http://schemas.openxmlformats.org/drawingml/2006/main">
                <a:ext uri="{FF2B5EF4-FFF2-40B4-BE49-F238E27FC236}">
                  <a16:creationId xmlns:a16="http://schemas.microsoft.com/office/drawing/2014/main" id="{DAB3AA4B-E295-4C00-84A2-43466BDE6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72A983C2" wp14:editId="352618FA">
            <wp:simplePos x="0" y="0"/>
            <wp:positionH relativeFrom="margin">
              <wp:align>left</wp:align>
            </wp:positionH>
            <wp:positionV relativeFrom="paragraph">
              <wp:posOffset>238125</wp:posOffset>
            </wp:positionV>
            <wp:extent cx="4743450" cy="3048635"/>
            <wp:effectExtent l="0" t="0" r="0" b="0"/>
            <wp:wrapTight wrapText="bothSides">
              <wp:wrapPolygon edited="0">
                <wp:start x="0" y="0"/>
                <wp:lineTo x="0" y="21461"/>
                <wp:lineTo x="21513" y="21461"/>
                <wp:lineTo x="21513"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 10 market capital added.png"/>
                    <pic:cNvPicPr/>
                  </pic:nvPicPr>
                  <pic:blipFill>
                    <a:blip r:embed="rId11">
                      <a:extLst>
                        <a:ext uri="{28A0092B-C50C-407E-A947-70E740481C1C}">
                          <a14:useLocalDpi xmlns:a14="http://schemas.microsoft.com/office/drawing/2010/main" val="0"/>
                        </a:ext>
                      </a:extLst>
                    </a:blip>
                    <a:stretch>
                      <a:fillRect/>
                    </a:stretch>
                  </pic:blipFill>
                  <pic:spPr>
                    <a:xfrm>
                      <a:off x="0" y="0"/>
                      <a:ext cx="4747057" cy="3051216"/>
                    </a:xfrm>
                    <a:prstGeom prst="rect">
                      <a:avLst/>
                    </a:prstGeom>
                  </pic:spPr>
                </pic:pic>
              </a:graphicData>
            </a:graphic>
            <wp14:sizeRelH relativeFrom="margin">
              <wp14:pctWidth>0</wp14:pctWidth>
            </wp14:sizeRelH>
            <wp14:sizeRelV relativeFrom="margin">
              <wp14:pctHeight>0</wp14:pctHeight>
            </wp14:sizeRelV>
          </wp:anchor>
        </w:drawing>
      </w:r>
    </w:p>
    <w:p w14:paraId="01920953" w14:textId="5DA5F4D3" w:rsidR="00AA6D19" w:rsidRPr="00AA6D19" w:rsidRDefault="00AA6D19" w:rsidP="00AA6D19"/>
    <w:p w14:paraId="3AEBB9D5" w14:textId="7B6DAB29" w:rsidR="00CA7FE3" w:rsidRPr="00D84E5F" w:rsidRDefault="00CA7FE3" w:rsidP="00AA6D19">
      <w:pPr>
        <w:rPr>
          <w:rFonts w:ascii="Times New Roman" w:hAnsi="Times New Roman" w:cs="Times New Roman"/>
          <w:sz w:val="28"/>
          <w:szCs w:val="28"/>
        </w:rPr>
      </w:pPr>
      <w:r w:rsidRPr="00D84E5F">
        <w:rPr>
          <w:rFonts w:ascii="Times New Roman" w:hAnsi="Times New Roman" w:cs="Times New Roman"/>
          <w:sz w:val="28"/>
          <w:szCs w:val="28"/>
        </w:rPr>
        <w:t xml:space="preserve">The graph shows </w:t>
      </w:r>
      <w:r w:rsidRPr="00C829EA">
        <w:rPr>
          <w:rFonts w:ascii="Times New Roman" w:hAnsi="Times New Roman" w:cs="Times New Roman"/>
          <w:b/>
          <w:bCs/>
          <w:sz w:val="28"/>
          <w:szCs w:val="28"/>
        </w:rPr>
        <w:t>Amazon’s</w:t>
      </w:r>
      <w:r w:rsidRPr="00D84E5F">
        <w:rPr>
          <w:rFonts w:ascii="Times New Roman" w:hAnsi="Times New Roman" w:cs="Times New Roman"/>
          <w:sz w:val="28"/>
          <w:szCs w:val="28"/>
        </w:rPr>
        <w:t xml:space="preserve"> explosive growth (capital added 401.1 $bn) during the pandemic which has hurt much of the retail world, followed by tech giant </w:t>
      </w:r>
      <w:r w:rsidRPr="00C829EA">
        <w:rPr>
          <w:rFonts w:ascii="Times New Roman" w:hAnsi="Times New Roman" w:cs="Times New Roman"/>
          <w:b/>
          <w:bCs/>
          <w:sz w:val="28"/>
          <w:szCs w:val="28"/>
        </w:rPr>
        <w:t>Microsoft</w:t>
      </w:r>
      <w:r w:rsidRPr="00D84E5F">
        <w:rPr>
          <w:rFonts w:ascii="Times New Roman" w:hAnsi="Times New Roman" w:cs="Times New Roman"/>
          <w:sz w:val="28"/>
          <w:szCs w:val="28"/>
        </w:rPr>
        <w:t xml:space="preserve">, and </w:t>
      </w:r>
      <w:r w:rsidRPr="00C829EA">
        <w:rPr>
          <w:rFonts w:ascii="Times New Roman" w:hAnsi="Times New Roman" w:cs="Times New Roman"/>
          <w:b/>
          <w:bCs/>
          <w:sz w:val="28"/>
          <w:szCs w:val="28"/>
        </w:rPr>
        <w:t>Apple</w:t>
      </w:r>
      <w:r w:rsidRPr="00D84E5F">
        <w:rPr>
          <w:rFonts w:ascii="Times New Roman" w:hAnsi="Times New Roman" w:cs="Times New Roman"/>
          <w:sz w:val="28"/>
          <w:szCs w:val="28"/>
        </w:rPr>
        <w:t xml:space="preserve">. </w:t>
      </w:r>
    </w:p>
    <w:p w14:paraId="394C303E" w14:textId="7114696A" w:rsidR="007E2E92" w:rsidRPr="00D84E5F" w:rsidRDefault="007E2E92" w:rsidP="00AA6D19">
      <w:pPr>
        <w:rPr>
          <w:rFonts w:ascii="Times New Roman" w:hAnsi="Times New Roman" w:cs="Times New Roman"/>
          <w:sz w:val="28"/>
          <w:szCs w:val="28"/>
        </w:rPr>
      </w:pPr>
      <w:r w:rsidRPr="00D84E5F">
        <w:rPr>
          <w:rFonts w:ascii="Times New Roman" w:hAnsi="Times New Roman" w:cs="Times New Roman"/>
          <w:sz w:val="28"/>
          <w:szCs w:val="28"/>
        </w:rPr>
        <w:t xml:space="preserve">E-commerce legend Amazon added 28% of market capital, Tech giant Microsoft added 19% and one of the Tech Giant Apple added 15% who design, develops, and sells consumer electronics, computer software and online services. </w:t>
      </w:r>
    </w:p>
    <w:p w14:paraId="7DFEB1DD" w14:textId="40453AC0" w:rsidR="00AA6D19" w:rsidRPr="00D84E5F" w:rsidRDefault="00584AD3" w:rsidP="00AA6D19">
      <w:pPr>
        <w:rPr>
          <w:rFonts w:ascii="Times New Roman" w:hAnsi="Times New Roman" w:cs="Times New Roman"/>
          <w:sz w:val="28"/>
          <w:szCs w:val="28"/>
        </w:rPr>
      </w:pPr>
      <w:r w:rsidRPr="00C829EA">
        <w:rPr>
          <w:rFonts w:ascii="Times New Roman" w:hAnsi="Times New Roman" w:cs="Times New Roman"/>
          <w:b/>
          <w:bCs/>
          <w:sz w:val="28"/>
          <w:szCs w:val="28"/>
        </w:rPr>
        <w:t>Amazon</w:t>
      </w:r>
      <w:r w:rsidRPr="00D84E5F">
        <w:rPr>
          <w:rFonts w:ascii="Times New Roman" w:hAnsi="Times New Roman" w:cs="Times New Roman"/>
          <w:sz w:val="28"/>
          <w:szCs w:val="28"/>
        </w:rPr>
        <w:t xml:space="preserve"> who deals </w:t>
      </w:r>
      <w:r w:rsidRPr="00C829EA">
        <w:rPr>
          <w:rFonts w:ascii="Times New Roman" w:hAnsi="Times New Roman" w:cs="Times New Roman"/>
          <w:b/>
          <w:bCs/>
          <w:sz w:val="28"/>
          <w:szCs w:val="28"/>
        </w:rPr>
        <w:t>E-commerce</w:t>
      </w:r>
      <w:r w:rsidRPr="00D84E5F">
        <w:rPr>
          <w:rFonts w:ascii="Times New Roman" w:hAnsi="Times New Roman" w:cs="Times New Roman"/>
          <w:sz w:val="28"/>
          <w:szCs w:val="28"/>
        </w:rPr>
        <w:t xml:space="preserve"> sector became the emergency port of call for those desperate to stock up on vital household goods. </w:t>
      </w:r>
      <w:r w:rsidR="00EF706F" w:rsidRPr="00D84E5F">
        <w:rPr>
          <w:rFonts w:ascii="Times New Roman" w:hAnsi="Times New Roman" w:cs="Times New Roman"/>
          <w:sz w:val="28"/>
          <w:szCs w:val="28"/>
        </w:rPr>
        <w:t xml:space="preserve">As we are staying indoors, </w:t>
      </w:r>
      <w:r w:rsidRPr="00D84E5F">
        <w:rPr>
          <w:rFonts w:ascii="Times New Roman" w:hAnsi="Times New Roman" w:cs="Times New Roman"/>
          <w:sz w:val="28"/>
          <w:szCs w:val="28"/>
        </w:rPr>
        <w:t xml:space="preserve">the accelerated shift to </w:t>
      </w:r>
      <w:r w:rsidRPr="00C829EA">
        <w:rPr>
          <w:rFonts w:ascii="Times New Roman" w:hAnsi="Times New Roman" w:cs="Times New Roman"/>
          <w:b/>
          <w:bCs/>
          <w:sz w:val="28"/>
          <w:szCs w:val="28"/>
        </w:rPr>
        <w:t>online shopping</w:t>
      </w:r>
      <w:r w:rsidRPr="00D84E5F">
        <w:rPr>
          <w:rFonts w:ascii="Times New Roman" w:hAnsi="Times New Roman" w:cs="Times New Roman"/>
          <w:sz w:val="28"/>
          <w:szCs w:val="28"/>
        </w:rPr>
        <w:t xml:space="preserve"> and the increased importance of its </w:t>
      </w:r>
      <w:r w:rsidRPr="00C829EA">
        <w:rPr>
          <w:rFonts w:ascii="Times New Roman" w:hAnsi="Times New Roman" w:cs="Times New Roman"/>
          <w:b/>
          <w:bCs/>
          <w:sz w:val="28"/>
          <w:szCs w:val="28"/>
        </w:rPr>
        <w:t>cloud computing business</w:t>
      </w:r>
      <w:r w:rsidRPr="00D84E5F">
        <w:rPr>
          <w:rFonts w:ascii="Times New Roman" w:hAnsi="Times New Roman" w:cs="Times New Roman"/>
          <w:sz w:val="28"/>
          <w:szCs w:val="28"/>
        </w:rPr>
        <w:t xml:space="preserve"> in the remote work era drove </w:t>
      </w:r>
      <w:r w:rsidRPr="00C829EA">
        <w:rPr>
          <w:rFonts w:ascii="Times New Roman" w:hAnsi="Times New Roman" w:cs="Times New Roman"/>
          <w:i/>
          <w:iCs/>
          <w:sz w:val="28"/>
          <w:szCs w:val="28"/>
        </w:rPr>
        <w:t>Amazon’s</w:t>
      </w:r>
      <w:r w:rsidRPr="00D84E5F">
        <w:rPr>
          <w:rFonts w:ascii="Times New Roman" w:hAnsi="Times New Roman" w:cs="Times New Roman"/>
          <w:sz w:val="28"/>
          <w:szCs w:val="28"/>
        </w:rPr>
        <w:t xml:space="preserve"> </w:t>
      </w:r>
      <w:r w:rsidRPr="00C829EA">
        <w:rPr>
          <w:rFonts w:ascii="Times New Roman" w:hAnsi="Times New Roman" w:cs="Times New Roman"/>
          <w:i/>
          <w:iCs/>
          <w:sz w:val="28"/>
          <w:szCs w:val="28"/>
        </w:rPr>
        <w:t>stock to all-time highs</w:t>
      </w:r>
      <w:r w:rsidR="00EF706F" w:rsidRPr="00D84E5F">
        <w:rPr>
          <w:rFonts w:ascii="Times New Roman" w:hAnsi="Times New Roman" w:cs="Times New Roman"/>
          <w:sz w:val="28"/>
          <w:szCs w:val="28"/>
        </w:rPr>
        <w:t>.</w:t>
      </w:r>
    </w:p>
    <w:p w14:paraId="3C0E7E48" w14:textId="3C5FF4E1" w:rsidR="00AA6D19" w:rsidRPr="00875558" w:rsidRDefault="00875558" w:rsidP="00B24104">
      <w:pPr>
        <w:rPr>
          <w:rFonts w:ascii="Times New Roman" w:hAnsi="Times New Roman" w:cs="Times New Roman"/>
          <w:b/>
          <w:bCs/>
          <w:sz w:val="28"/>
          <w:szCs w:val="28"/>
        </w:rPr>
      </w:pPr>
      <w:r>
        <w:rPr>
          <w:noProof/>
        </w:rPr>
        <w:lastRenderedPageBreak/>
        <w:drawing>
          <wp:anchor distT="0" distB="0" distL="114300" distR="114300" simplePos="0" relativeHeight="251671552" behindDoc="1" locked="0" layoutInCell="1" allowOverlap="1" wp14:anchorId="506C62EF" wp14:editId="3453AC3B">
            <wp:simplePos x="0" y="0"/>
            <wp:positionH relativeFrom="margin">
              <wp:posOffset>5172075</wp:posOffset>
            </wp:positionH>
            <wp:positionV relativeFrom="paragraph">
              <wp:posOffset>458470</wp:posOffset>
            </wp:positionV>
            <wp:extent cx="3714750" cy="2971800"/>
            <wp:effectExtent l="0" t="0" r="0" b="0"/>
            <wp:wrapTight wrapText="bothSides">
              <wp:wrapPolygon edited="0">
                <wp:start x="0" y="0"/>
                <wp:lineTo x="0" y="21462"/>
                <wp:lineTo x="21489" y="21462"/>
                <wp:lineTo x="21489" y="0"/>
                <wp:lineTo x="0" y="0"/>
              </wp:wrapPolygon>
            </wp:wrapTight>
            <wp:docPr id="14" name="Chart 14">
              <a:extLst xmlns:a="http://schemas.openxmlformats.org/drawingml/2006/main">
                <a:ext uri="{FF2B5EF4-FFF2-40B4-BE49-F238E27FC236}">
                  <a16:creationId xmlns:a16="http://schemas.microsoft.com/office/drawing/2014/main" id="{EBB547A3-BAF8-49C8-B549-240AE6283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875558">
        <w:rPr>
          <w:rFonts w:ascii="Times New Roman" w:hAnsi="Times New Roman" w:cs="Times New Roman"/>
          <w:b/>
          <w:bCs/>
          <w:noProof/>
          <w:sz w:val="28"/>
          <w:szCs w:val="28"/>
        </w:rPr>
        <w:drawing>
          <wp:anchor distT="0" distB="0" distL="114300" distR="114300" simplePos="0" relativeHeight="251664384" behindDoc="1" locked="0" layoutInCell="1" allowOverlap="1" wp14:anchorId="26219061" wp14:editId="4785733C">
            <wp:simplePos x="0" y="0"/>
            <wp:positionH relativeFrom="margin">
              <wp:posOffset>-266700</wp:posOffset>
            </wp:positionH>
            <wp:positionV relativeFrom="paragraph">
              <wp:posOffset>456565</wp:posOffset>
            </wp:positionV>
            <wp:extent cx="5437505" cy="2981325"/>
            <wp:effectExtent l="0" t="0" r="0" b="9525"/>
            <wp:wrapTight wrapText="bothSides">
              <wp:wrapPolygon edited="0">
                <wp:start x="0" y="0"/>
                <wp:lineTo x="0" y="21531"/>
                <wp:lineTo x="21492" y="21531"/>
                <wp:lineTo x="21492"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10 change.png"/>
                    <pic:cNvPicPr/>
                  </pic:nvPicPr>
                  <pic:blipFill>
                    <a:blip r:embed="rId13">
                      <a:extLst>
                        <a:ext uri="{28A0092B-C50C-407E-A947-70E740481C1C}">
                          <a14:useLocalDpi xmlns:a14="http://schemas.microsoft.com/office/drawing/2010/main" val="0"/>
                        </a:ext>
                      </a:extLst>
                    </a:blip>
                    <a:stretch>
                      <a:fillRect/>
                    </a:stretch>
                  </pic:blipFill>
                  <pic:spPr>
                    <a:xfrm>
                      <a:off x="0" y="0"/>
                      <a:ext cx="5437505" cy="2981325"/>
                    </a:xfrm>
                    <a:prstGeom prst="rect">
                      <a:avLst/>
                    </a:prstGeom>
                  </pic:spPr>
                </pic:pic>
              </a:graphicData>
            </a:graphic>
            <wp14:sizeRelH relativeFrom="margin">
              <wp14:pctWidth>0</wp14:pctWidth>
            </wp14:sizeRelH>
            <wp14:sizeRelV relativeFrom="margin">
              <wp14:pctHeight>0</wp14:pctHeight>
            </wp14:sizeRelV>
          </wp:anchor>
        </w:drawing>
      </w:r>
      <w:r w:rsidRPr="00875558">
        <w:rPr>
          <w:rFonts w:ascii="Times New Roman" w:hAnsi="Times New Roman" w:cs="Times New Roman"/>
          <w:b/>
          <w:bCs/>
          <w:sz w:val="28"/>
          <w:szCs w:val="28"/>
        </w:rPr>
        <w:t>Top 10 companies in Change of market capital</w:t>
      </w:r>
    </w:p>
    <w:p w14:paraId="7554FC9D" w14:textId="77777777" w:rsidR="00875558" w:rsidRDefault="00875558" w:rsidP="009B0440">
      <w:pPr>
        <w:rPr>
          <w:rFonts w:ascii="Times New Roman" w:hAnsi="Times New Roman" w:cs="Times New Roman"/>
          <w:color w:val="000000"/>
          <w:sz w:val="29"/>
          <w:szCs w:val="29"/>
        </w:rPr>
      </w:pPr>
    </w:p>
    <w:p w14:paraId="1B236ED9" w14:textId="0978AB6C" w:rsidR="00AA6D19" w:rsidRDefault="00B24104" w:rsidP="009B0440">
      <w:pPr>
        <w:rPr>
          <w:rFonts w:ascii="Times New Roman" w:hAnsi="Times New Roman" w:cs="Times New Roman"/>
          <w:color w:val="000000"/>
          <w:sz w:val="29"/>
          <w:szCs w:val="29"/>
        </w:rPr>
      </w:pPr>
      <w:r>
        <w:rPr>
          <w:rFonts w:ascii="Times New Roman" w:hAnsi="Times New Roman" w:cs="Times New Roman"/>
          <w:color w:val="000000"/>
          <w:sz w:val="29"/>
          <w:szCs w:val="29"/>
        </w:rPr>
        <w:t xml:space="preserve">UAE based </w:t>
      </w:r>
      <w:r w:rsidRPr="00694AFE">
        <w:rPr>
          <w:rFonts w:ascii="Times New Roman" w:hAnsi="Times New Roman" w:cs="Times New Roman"/>
          <w:b/>
          <w:bCs/>
          <w:color w:val="000000"/>
          <w:sz w:val="29"/>
          <w:szCs w:val="29"/>
        </w:rPr>
        <w:t>International Holdings Company (IHC)</w:t>
      </w:r>
      <w:r>
        <w:rPr>
          <w:rFonts w:ascii="Times New Roman" w:hAnsi="Times New Roman" w:cs="Times New Roman"/>
          <w:color w:val="000000"/>
          <w:sz w:val="29"/>
          <w:szCs w:val="29"/>
        </w:rPr>
        <w:t xml:space="preserve"> has drastic change (21%) in their capital that put the lead giants backwards.</w:t>
      </w:r>
      <w:r w:rsidR="00694AFE">
        <w:rPr>
          <w:rFonts w:ascii="Times New Roman" w:hAnsi="Times New Roman" w:cs="Times New Roman"/>
          <w:color w:val="000000"/>
          <w:sz w:val="29"/>
          <w:szCs w:val="29"/>
        </w:rPr>
        <w:t xml:space="preserve"> </w:t>
      </w:r>
      <w:r w:rsidR="00FF6B5A" w:rsidRPr="00FF6B5A">
        <w:rPr>
          <w:rFonts w:ascii="Times New Roman" w:hAnsi="Times New Roman" w:cs="Times New Roman"/>
          <w:color w:val="000000"/>
          <w:sz w:val="29"/>
          <w:szCs w:val="29"/>
        </w:rPr>
        <w:t>International Holdings Company PJSC (IHC) grows non-oil business sectors in UAE. The Company expansion and diversification include interests in healthcare, real estate, agriculture, F&amp;B, industries, IT and comms, retail and leisure, utilities, and capital.  </w:t>
      </w:r>
    </w:p>
    <w:p w14:paraId="597C3B6B" w14:textId="298961F0" w:rsidR="00694AFE" w:rsidRDefault="00694AFE" w:rsidP="009B0440">
      <w:pPr>
        <w:rPr>
          <w:rFonts w:ascii="Times New Roman" w:hAnsi="Times New Roman" w:cs="Times New Roman"/>
          <w:color w:val="000000"/>
          <w:sz w:val="29"/>
          <w:szCs w:val="29"/>
        </w:rPr>
      </w:pPr>
      <w:r>
        <w:rPr>
          <w:rFonts w:ascii="Times New Roman" w:hAnsi="Times New Roman" w:cs="Times New Roman"/>
          <w:color w:val="000000"/>
          <w:sz w:val="29"/>
          <w:szCs w:val="29"/>
        </w:rPr>
        <w:t>Companies who have added maximum capital like Facebook, Nvidia, Alphabet, and T-Mobile US are not get the significant change in their capital. These companies are replaced by</w:t>
      </w:r>
      <w:r w:rsidR="000F02CF">
        <w:rPr>
          <w:rFonts w:ascii="Times New Roman" w:hAnsi="Times New Roman" w:cs="Times New Roman"/>
          <w:color w:val="000000"/>
          <w:sz w:val="29"/>
          <w:szCs w:val="29"/>
        </w:rPr>
        <w:t xml:space="preserve"> the companies based on consumer discretionary sector like</w:t>
      </w:r>
      <w:r>
        <w:rPr>
          <w:rFonts w:ascii="Times New Roman" w:hAnsi="Times New Roman" w:cs="Times New Roman"/>
          <w:color w:val="000000"/>
          <w:sz w:val="29"/>
          <w:szCs w:val="29"/>
        </w:rPr>
        <w:t xml:space="preserve"> </w:t>
      </w:r>
      <w:r w:rsidRPr="000F02CF">
        <w:rPr>
          <w:rFonts w:ascii="Times New Roman" w:hAnsi="Times New Roman" w:cs="Times New Roman"/>
          <w:b/>
          <w:bCs/>
          <w:color w:val="000000"/>
          <w:sz w:val="29"/>
          <w:szCs w:val="29"/>
        </w:rPr>
        <w:t>GSX Techedu</w:t>
      </w:r>
      <w:r w:rsidR="000F02CF">
        <w:rPr>
          <w:rFonts w:ascii="Times New Roman" w:hAnsi="Times New Roman" w:cs="Times New Roman"/>
          <w:color w:val="000000"/>
          <w:sz w:val="29"/>
          <w:szCs w:val="29"/>
        </w:rPr>
        <w:t xml:space="preserve"> (160.1 $bn), </w:t>
      </w:r>
      <w:r w:rsidR="000F02CF" w:rsidRPr="000F02CF">
        <w:rPr>
          <w:rFonts w:ascii="Times New Roman" w:hAnsi="Times New Roman" w:cs="Times New Roman"/>
          <w:b/>
          <w:bCs/>
          <w:color w:val="000000"/>
          <w:sz w:val="29"/>
          <w:szCs w:val="29"/>
        </w:rPr>
        <w:t>Just Eat Takeaway</w:t>
      </w:r>
      <w:r w:rsidR="000F02CF">
        <w:rPr>
          <w:rFonts w:ascii="Times New Roman" w:hAnsi="Times New Roman" w:cs="Times New Roman"/>
          <w:color w:val="000000"/>
          <w:sz w:val="29"/>
          <w:szCs w:val="29"/>
        </w:rPr>
        <w:t xml:space="preserve"> (159.8 $bn), </w:t>
      </w:r>
      <w:r w:rsidR="000F02CF" w:rsidRPr="000F02CF">
        <w:rPr>
          <w:rFonts w:ascii="Times New Roman" w:hAnsi="Times New Roman" w:cs="Times New Roman"/>
          <w:b/>
          <w:bCs/>
          <w:color w:val="000000"/>
          <w:sz w:val="29"/>
          <w:szCs w:val="29"/>
        </w:rPr>
        <w:t>Wayfair</w:t>
      </w:r>
      <w:r w:rsidR="000F02CF">
        <w:rPr>
          <w:rFonts w:ascii="Times New Roman" w:hAnsi="Times New Roman" w:cs="Times New Roman"/>
          <w:color w:val="000000"/>
          <w:sz w:val="29"/>
          <w:szCs w:val="29"/>
        </w:rPr>
        <w:t xml:space="preserve"> (128.1 $bn) and US based Health care company </w:t>
      </w:r>
      <w:r w:rsidR="000F02CF" w:rsidRPr="000F02CF">
        <w:rPr>
          <w:rFonts w:ascii="Times New Roman" w:hAnsi="Times New Roman" w:cs="Times New Roman"/>
          <w:b/>
          <w:bCs/>
          <w:color w:val="000000"/>
          <w:sz w:val="29"/>
          <w:szCs w:val="29"/>
        </w:rPr>
        <w:t>Teladoc Health</w:t>
      </w:r>
      <w:r w:rsidR="000F02CF">
        <w:rPr>
          <w:rFonts w:ascii="Times New Roman" w:hAnsi="Times New Roman" w:cs="Times New Roman"/>
          <w:color w:val="000000"/>
          <w:sz w:val="29"/>
          <w:szCs w:val="29"/>
        </w:rPr>
        <w:t xml:space="preserve"> (136 $bn)</w:t>
      </w:r>
      <w:r w:rsidR="000F02CF">
        <w:rPr>
          <w:rFonts w:ascii="Times New Roman" w:hAnsi="Times New Roman" w:cs="Times New Roman"/>
          <w:color w:val="000000"/>
          <w:sz w:val="29"/>
          <w:szCs w:val="29"/>
        </w:rPr>
        <w:t>.</w:t>
      </w:r>
    </w:p>
    <w:p w14:paraId="206F393B" w14:textId="77777777" w:rsidR="00BB2B4A" w:rsidRDefault="00BB2B4A" w:rsidP="00D84E5F">
      <w:pPr>
        <w:pStyle w:val="NormalWeb"/>
        <w:shd w:val="clear" w:color="auto" w:fill="FFFFFF"/>
        <w:spacing w:line="480" w:lineRule="atLeast"/>
        <w:rPr>
          <w:b/>
          <w:bCs/>
          <w:color w:val="000000"/>
          <w:sz w:val="28"/>
          <w:szCs w:val="28"/>
          <w:shd w:val="clear" w:color="auto" w:fill="FFFFFF"/>
        </w:rPr>
      </w:pPr>
    </w:p>
    <w:p w14:paraId="132B4473" w14:textId="5C5ABF71" w:rsidR="00BB2B4A" w:rsidRDefault="000F02CF" w:rsidP="00D84E5F">
      <w:pPr>
        <w:pStyle w:val="NormalWeb"/>
        <w:shd w:val="clear" w:color="auto" w:fill="FFFFFF"/>
        <w:spacing w:line="480" w:lineRule="atLeast"/>
        <w:rPr>
          <w:b/>
          <w:bCs/>
          <w:color w:val="000000"/>
          <w:sz w:val="28"/>
          <w:szCs w:val="28"/>
          <w:shd w:val="clear" w:color="auto" w:fill="FFFFFF"/>
        </w:rPr>
      </w:pPr>
      <w:r w:rsidRPr="000F02CF">
        <w:rPr>
          <w:b/>
          <w:bCs/>
          <w:color w:val="000000"/>
          <w:sz w:val="28"/>
          <w:szCs w:val="28"/>
          <w:shd w:val="clear" w:color="auto" w:fill="FFFFFF"/>
        </w:rPr>
        <w:lastRenderedPageBreak/>
        <w:t>Sector-wise Change</w:t>
      </w:r>
    </w:p>
    <w:p w14:paraId="5D53CDDA" w14:textId="66C0F2B0" w:rsidR="00D84E5F" w:rsidRPr="00BB2B4A" w:rsidRDefault="00B24104" w:rsidP="00D84E5F">
      <w:pPr>
        <w:pStyle w:val="NormalWeb"/>
        <w:shd w:val="clear" w:color="auto" w:fill="FFFFFF"/>
        <w:spacing w:line="480" w:lineRule="atLeast"/>
        <w:rPr>
          <w:b/>
          <w:bCs/>
          <w:color w:val="000000"/>
          <w:sz w:val="28"/>
          <w:szCs w:val="28"/>
          <w:shd w:val="clear" w:color="auto" w:fill="FFFFFF"/>
        </w:rPr>
      </w:pPr>
      <w:r w:rsidRPr="00D54D66">
        <w:rPr>
          <w:color w:val="000000"/>
          <w:sz w:val="28"/>
          <w:szCs w:val="28"/>
          <w:shd w:val="clear" w:color="auto" w:fill="FFFFFF"/>
        </w:rPr>
        <w:t>No industry is escaping the disruption of COVID-19</w:t>
      </w:r>
      <w:r w:rsidR="00D84E5F" w:rsidRPr="00D54D66">
        <w:rPr>
          <w:color w:val="000000"/>
          <w:sz w:val="28"/>
          <w:szCs w:val="28"/>
          <w:shd w:val="clear" w:color="auto" w:fill="FFFFFF"/>
        </w:rPr>
        <w:t xml:space="preserve">. </w:t>
      </w:r>
      <w:r w:rsidRPr="00D54D66">
        <w:rPr>
          <w:color w:val="000000"/>
          <w:sz w:val="28"/>
          <w:szCs w:val="28"/>
          <w:shd w:val="clear" w:color="auto" w:fill="FFFFFF"/>
        </w:rPr>
        <w:t xml:space="preserve">This </w:t>
      </w:r>
      <w:r w:rsidR="000F02CF">
        <w:rPr>
          <w:color w:val="000000"/>
          <w:sz w:val="28"/>
          <w:szCs w:val="28"/>
          <w:shd w:val="clear" w:color="auto" w:fill="FFFFFF"/>
        </w:rPr>
        <w:t>graph</w:t>
      </w:r>
      <w:r w:rsidRPr="00D54D66">
        <w:rPr>
          <w:color w:val="000000"/>
          <w:sz w:val="28"/>
          <w:szCs w:val="28"/>
          <w:shd w:val="clear" w:color="auto" w:fill="FFFFFF"/>
        </w:rPr>
        <w:t xml:space="preserve"> compiles insights on a range of sectors that can help </w:t>
      </w:r>
      <w:r w:rsidR="00BB2B4A">
        <w:rPr>
          <w:color w:val="000000"/>
          <w:sz w:val="28"/>
          <w:szCs w:val="28"/>
          <w:shd w:val="clear" w:color="auto" w:fill="FFFFFF"/>
        </w:rPr>
        <w:t xml:space="preserve">one </w:t>
      </w:r>
      <w:r w:rsidRPr="00D54D66">
        <w:rPr>
          <w:color w:val="000000"/>
          <w:sz w:val="28"/>
          <w:szCs w:val="28"/>
          <w:shd w:val="clear" w:color="auto" w:fill="FFFFFF"/>
        </w:rPr>
        <w:t>act in this crisis with empathy and action</w:t>
      </w:r>
      <w:r w:rsidR="00D84E5F">
        <w:rPr>
          <w:color w:val="000000"/>
          <w:sz w:val="26"/>
          <w:szCs w:val="26"/>
          <w:shd w:val="clear" w:color="auto" w:fill="FFFFFF"/>
        </w:rPr>
        <w:t>.</w:t>
      </w:r>
    </w:p>
    <w:p w14:paraId="6041D31A" w14:textId="402F3EEC" w:rsidR="00D84E5F" w:rsidRDefault="00BB2B4A" w:rsidP="00D84E5F">
      <w:pPr>
        <w:pStyle w:val="NormalWeb"/>
        <w:shd w:val="clear" w:color="auto" w:fill="FFFFFF"/>
        <w:spacing w:line="480" w:lineRule="atLeast"/>
        <w:rPr>
          <w:color w:val="282828"/>
          <w:sz w:val="26"/>
          <w:szCs w:val="26"/>
        </w:rPr>
      </w:pPr>
      <w:r w:rsidRPr="00D54D66">
        <w:rPr>
          <w:noProof/>
          <w:sz w:val="28"/>
          <w:szCs w:val="28"/>
        </w:rPr>
        <w:drawing>
          <wp:anchor distT="0" distB="0" distL="114300" distR="114300" simplePos="0" relativeHeight="251672576" behindDoc="1" locked="0" layoutInCell="1" allowOverlap="1" wp14:anchorId="3F8EE4B7" wp14:editId="7BEA4CA4">
            <wp:simplePos x="0" y="0"/>
            <wp:positionH relativeFrom="margin">
              <wp:posOffset>342900</wp:posOffset>
            </wp:positionH>
            <wp:positionV relativeFrom="paragraph">
              <wp:posOffset>169545</wp:posOffset>
            </wp:positionV>
            <wp:extent cx="7143750" cy="3019425"/>
            <wp:effectExtent l="0" t="0" r="0" b="9525"/>
            <wp:wrapTight wrapText="bothSides">
              <wp:wrapPolygon edited="0">
                <wp:start x="0" y="0"/>
                <wp:lineTo x="0" y="21532"/>
                <wp:lineTo x="21542" y="21532"/>
                <wp:lineTo x="21542" y="0"/>
                <wp:lineTo x="0" y="0"/>
              </wp:wrapPolygon>
            </wp:wrapTight>
            <wp:docPr id="17" name="Chart 17">
              <a:extLst xmlns:a="http://schemas.openxmlformats.org/drawingml/2006/main">
                <a:ext uri="{FF2B5EF4-FFF2-40B4-BE49-F238E27FC236}">
                  <a16:creationId xmlns:a16="http://schemas.microsoft.com/office/drawing/2014/main" id="{67057C4E-A8E2-4BF1-8A6B-74E1C26CAB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0ABCB97D" w14:textId="77777777" w:rsidR="00D84E5F" w:rsidRDefault="00D84E5F" w:rsidP="00D84E5F">
      <w:pPr>
        <w:pStyle w:val="NormalWeb"/>
        <w:shd w:val="clear" w:color="auto" w:fill="FFFFFF"/>
        <w:spacing w:line="480" w:lineRule="atLeast"/>
        <w:rPr>
          <w:color w:val="282828"/>
          <w:sz w:val="26"/>
          <w:szCs w:val="26"/>
        </w:rPr>
      </w:pPr>
    </w:p>
    <w:p w14:paraId="6CD7C8CB" w14:textId="77777777" w:rsidR="00D84E5F" w:rsidRDefault="00D84E5F" w:rsidP="00D84E5F">
      <w:pPr>
        <w:pStyle w:val="NormalWeb"/>
        <w:shd w:val="clear" w:color="auto" w:fill="FFFFFF"/>
        <w:spacing w:line="480" w:lineRule="atLeast"/>
        <w:rPr>
          <w:color w:val="282828"/>
          <w:sz w:val="26"/>
          <w:szCs w:val="26"/>
        </w:rPr>
      </w:pPr>
    </w:p>
    <w:p w14:paraId="66CAD029" w14:textId="77777777" w:rsidR="00D84E5F" w:rsidRDefault="00D84E5F" w:rsidP="00D84E5F">
      <w:pPr>
        <w:pStyle w:val="NormalWeb"/>
        <w:shd w:val="clear" w:color="auto" w:fill="FFFFFF"/>
        <w:spacing w:line="480" w:lineRule="atLeast"/>
        <w:rPr>
          <w:color w:val="282828"/>
          <w:sz w:val="26"/>
          <w:szCs w:val="26"/>
        </w:rPr>
      </w:pPr>
    </w:p>
    <w:p w14:paraId="64B8A6A5" w14:textId="77777777" w:rsidR="00D84E5F" w:rsidRDefault="00D84E5F" w:rsidP="00D84E5F">
      <w:pPr>
        <w:pStyle w:val="NormalWeb"/>
        <w:shd w:val="clear" w:color="auto" w:fill="FFFFFF"/>
        <w:spacing w:line="480" w:lineRule="atLeast"/>
        <w:rPr>
          <w:color w:val="282828"/>
          <w:sz w:val="26"/>
          <w:szCs w:val="26"/>
        </w:rPr>
      </w:pPr>
    </w:p>
    <w:p w14:paraId="527B2A28" w14:textId="77777777" w:rsidR="00D84E5F" w:rsidRDefault="00D84E5F" w:rsidP="00D84E5F">
      <w:pPr>
        <w:pStyle w:val="NormalWeb"/>
        <w:shd w:val="clear" w:color="auto" w:fill="FFFFFF"/>
        <w:spacing w:line="480" w:lineRule="atLeast"/>
        <w:rPr>
          <w:color w:val="282828"/>
          <w:sz w:val="26"/>
          <w:szCs w:val="26"/>
        </w:rPr>
      </w:pPr>
    </w:p>
    <w:p w14:paraId="0328CE7C" w14:textId="77777777" w:rsidR="00BB2B4A" w:rsidRDefault="00BB2B4A" w:rsidP="00D84E5F">
      <w:pPr>
        <w:pStyle w:val="NormalWeb"/>
        <w:shd w:val="clear" w:color="auto" w:fill="FFFFFF"/>
        <w:spacing w:line="480" w:lineRule="atLeast"/>
        <w:rPr>
          <w:color w:val="282828"/>
          <w:sz w:val="28"/>
          <w:szCs w:val="28"/>
        </w:rPr>
      </w:pPr>
    </w:p>
    <w:p w14:paraId="5F501CEB" w14:textId="32EB2CF7" w:rsidR="00D54D66" w:rsidRPr="00D54D66" w:rsidRDefault="00D54D66" w:rsidP="00D84E5F">
      <w:pPr>
        <w:pStyle w:val="NormalWeb"/>
        <w:shd w:val="clear" w:color="auto" w:fill="FFFFFF"/>
        <w:spacing w:line="480" w:lineRule="atLeast"/>
        <w:rPr>
          <w:color w:val="282828"/>
          <w:sz w:val="28"/>
          <w:szCs w:val="28"/>
        </w:rPr>
      </w:pPr>
      <w:r w:rsidRPr="00D54D66">
        <w:rPr>
          <w:color w:val="282828"/>
          <w:sz w:val="28"/>
          <w:szCs w:val="28"/>
        </w:rPr>
        <w:t xml:space="preserve">Sectors that give </w:t>
      </w:r>
      <w:r w:rsidRPr="00BB2B4A">
        <w:rPr>
          <w:b/>
          <w:bCs/>
          <w:color w:val="282828"/>
          <w:sz w:val="28"/>
          <w:szCs w:val="28"/>
        </w:rPr>
        <w:t>maximum benefits</w:t>
      </w:r>
      <w:r w:rsidRPr="00D54D66">
        <w:rPr>
          <w:color w:val="282828"/>
          <w:sz w:val="28"/>
          <w:szCs w:val="28"/>
        </w:rPr>
        <w:t xml:space="preserve"> are </w:t>
      </w:r>
      <w:r w:rsidRPr="00BB2B4A">
        <w:rPr>
          <w:i/>
          <w:iCs/>
          <w:color w:val="282828"/>
          <w:sz w:val="28"/>
          <w:szCs w:val="28"/>
        </w:rPr>
        <w:t>Consumer discretionary</w:t>
      </w:r>
      <w:r w:rsidRPr="00D54D66">
        <w:rPr>
          <w:color w:val="282828"/>
          <w:sz w:val="28"/>
          <w:szCs w:val="28"/>
        </w:rPr>
        <w:t xml:space="preserve"> and </w:t>
      </w:r>
      <w:r w:rsidRPr="00BB2B4A">
        <w:rPr>
          <w:i/>
          <w:iCs/>
          <w:color w:val="282828"/>
          <w:sz w:val="28"/>
          <w:szCs w:val="28"/>
        </w:rPr>
        <w:t xml:space="preserve">Technology </w:t>
      </w:r>
      <w:r w:rsidRPr="00D54D66">
        <w:rPr>
          <w:color w:val="282828"/>
          <w:sz w:val="28"/>
          <w:szCs w:val="28"/>
        </w:rPr>
        <w:t xml:space="preserve">followed by </w:t>
      </w:r>
      <w:r w:rsidRPr="00BB2B4A">
        <w:rPr>
          <w:i/>
          <w:iCs/>
          <w:color w:val="282828"/>
          <w:sz w:val="28"/>
          <w:szCs w:val="28"/>
        </w:rPr>
        <w:t>Healthcare</w:t>
      </w:r>
      <w:r w:rsidRPr="00D54D66">
        <w:rPr>
          <w:color w:val="282828"/>
          <w:sz w:val="28"/>
          <w:szCs w:val="28"/>
        </w:rPr>
        <w:t xml:space="preserve">, </w:t>
      </w:r>
      <w:r w:rsidRPr="00BB2B4A">
        <w:rPr>
          <w:i/>
          <w:iCs/>
          <w:color w:val="282828"/>
          <w:sz w:val="28"/>
          <w:szCs w:val="28"/>
        </w:rPr>
        <w:t>Communication services</w:t>
      </w:r>
      <w:r w:rsidRPr="00D54D66">
        <w:rPr>
          <w:color w:val="282828"/>
          <w:sz w:val="28"/>
          <w:szCs w:val="28"/>
        </w:rPr>
        <w:t xml:space="preserve">, and </w:t>
      </w:r>
      <w:r w:rsidRPr="00BB2B4A">
        <w:rPr>
          <w:i/>
          <w:iCs/>
          <w:color w:val="282828"/>
          <w:sz w:val="28"/>
          <w:szCs w:val="28"/>
        </w:rPr>
        <w:t>Consumer staples</w:t>
      </w:r>
      <w:r w:rsidRPr="00D54D66">
        <w:rPr>
          <w:color w:val="282828"/>
          <w:sz w:val="28"/>
          <w:szCs w:val="28"/>
        </w:rPr>
        <w:t xml:space="preserve">. </w:t>
      </w:r>
    </w:p>
    <w:p w14:paraId="7B4D70FB" w14:textId="77777777" w:rsidR="00BD3E92" w:rsidRDefault="00D84E5F" w:rsidP="00BB2B4A">
      <w:pPr>
        <w:pStyle w:val="NormalWeb"/>
        <w:shd w:val="clear" w:color="auto" w:fill="FFFFFF"/>
        <w:spacing w:line="480" w:lineRule="atLeast"/>
        <w:rPr>
          <w:color w:val="282828"/>
          <w:sz w:val="28"/>
          <w:szCs w:val="28"/>
        </w:rPr>
      </w:pPr>
      <w:r w:rsidRPr="00D54D66">
        <w:rPr>
          <w:color w:val="282828"/>
          <w:sz w:val="28"/>
          <w:szCs w:val="28"/>
        </w:rPr>
        <w:t xml:space="preserve">While the magnitude of the impact may vary from sector to sector, there are some sectors that have suffered the most and continue to suffer. </w:t>
      </w:r>
      <w:r w:rsidRPr="00BB2B4A">
        <w:rPr>
          <w:i/>
          <w:iCs/>
          <w:color w:val="282828"/>
          <w:sz w:val="28"/>
          <w:szCs w:val="28"/>
        </w:rPr>
        <w:t>Financials, Energy, Real estate, Materials</w:t>
      </w:r>
      <w:r w:rsidRPr="00D54D66">
        <w:rPr>
          <w:color w:val="282828"/>
          <w:sz w:val="28"/>
          <w:szCs w:val="28"/>
        </w:rPr>
        <w:t xml:space="preserve">, and </w:t>
      </w:r>
      <w:r w:rsidRPr="00BB2B4A">
        <w:rPr>
          <w:i/>
          <w:iCs/>
          <w:color w:val="282828"/>
          <w:sz w:val="28"/>
          <w:szCs w:val="28"/>
        </w:rPr>
        <w:t>Industrials</w:t>
      </w:r>
      <w:r w:rsidRPr="00D54D66">
        <w:rPr>
          <w:color w:val="282828"/>
          <w:sz w:val="28"/>
          <w:szCs w:val="28"/>
        </w:rPr>
        <w:t xml:space="preserve"> are the five sectors that are at the front among the sectors that are smarting under </w:t>
      </w:r>
      <w:r w:rsidRPr="00BB2B4A">
        <w:rPr>
          <w:b/>
          <w:bCs/>
          <w:color w:val="282828"/>
          <w:sz w:val="28"/>
          <w:szCs w:val="28"/>
        </w:rPr>
        <w:t>severe pain</w:t>
      </w:r>
      <w:r w:rsidRPr="00BB2B4A">
        <w:rPr>
          <w:i/>
          <w:iCs/>
          <w:color w:val="282828"/>
          <w:sz w:val="28"/>
          <w:szCs w:val="28"/>
        </w:rPr>
        <w:t xml:space="preserve"> now</w:t>
      </w:r>
      <w:r w:rsidRPr="00D54D66">
        <w:rPr>
          <w:color w:val="282828"/>
          <w:sz w:val="28"/>
          <w:szCs w:val="28"/>
        </w:rPr>
        <w:t>.</w:t>
      </w:r>
    </w:p>
    <w:p w14:paraId="7A8BDBC2" w14:textId="79137A72" w:rsidR="00AA6D19" w:rsidRPr="00BB2B4A" w:rsidRDefault="00BB2B4A" w:rsidP="00BB2B4A">
      <w:pPr>
        <w:pStyle w:val="NormalWeb"/>
        <w:shd w:val="clear" w:color="auto" w:fill="FFFFFF"/>
        <w:spacing w:line="480" w:lineRule="atLeast"/>
        <w:rPr>
          <w:color w:val="282828"/>
          <w:sz w:val="28"/>
          <w:szCs w:val="28"/>
        </w:rPr>
      </w:pPr>
      <w:r w:rsidRPr="00BB2B4A">
        <w:rPr>
          <w:b/>
          <w:bCs/>
          <w:sz w:val="28"/>
          <w:szCs w:val="28"/>
        </w:rPr>
        <w:lastRenderedPageBreak/>
        <w:t>Country’s investment in terms of sector</w:t>
      </w:r>
    </w:p>
    <w:p w14:paraId="5651D83C" w14:textId="5E1AE733" w:rsidR="00B24104" w:rsidRPr="004E280F" w:rsidRDefault="00BB2B4A" w:rsidP="00AA6D19">
      <w:pPr>
        <w:tabs>
          <w:tab w:val="left" w:pos="1965"/>
        </w:tabs>
        <w:rPr>
          <w:rFonts w:ascii="Times New Roman" w:hAnsi="Times New Roman" w:cs="Times New Roman"/>
          <w:sz w:val="28"/>
          <w:szCs w:val="28"/>
        </w:rPr>
      </w:pPr>
      <w:r w:rsidRPr="00BB2B4A">
        <w:rPr>
          <w:rFonts w:ascii="Times New Roman" w:hAnsi="Times New Roman" w:cs="Times New Roman"/>
          <w:b/>
          <w:bCs/>
          <w:noProof/>
          <w:sz w:val="28"/>
          <w:szCs w:val="28"/>
        </w:rPr>
        <w:drawing>
          <wp:anchor distT="0" distB="0" distL="114300" distR="114300" simplePos="0" relativeHeight="251673600" behindDoc="1" locked="0" layoutInCell="1" allowOverlap="1" wp14:anchorId="443051E4" wp14:editId="5EC92456">
            <wp:simplePos x="0" y="0"/>
            <wp:positionH relativeFrom="margin">
              <wp:posOffset>3199765</wp:posOffset>
            </wp:positionH>
            <wp:positionV relativeFrom="paragraph">
              <wp:posOffset>13970</wp:posOffset>
            </wp:positionV>
            <wp:extent cx="5575935" cy="2867025"/>
            <wp:effectExtent l="0" t="0" r="5715" b="9525"/>
            <wp:wrapTight wrapText="bothSides">
              <wp:wrapPolygon edited="0">
                <wp:start x="0" y="0"/>
                <wp:lineTo x="0" y="21528"/>
                <wp:lineTo x="21548" y="21528"/>
                <wp:lineTo x="21548"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tor- country wise.png"/>
                    <pic:cNvPicPr/>
                  </pic:nvPicPr>
                  <pic:blipFill>
                    <a:blip r:embed="rId15">
                      <a:extLst>
                        <a:ext uri="{28A0092B-C50C-407E-A947-70E740481C1C}">
                          <a14:useLocalDpi xmlns:a14="http://schemas.microsoft.com/office/drawing/2010/main" val="0"/>
                        </a:ext>
                      </a:extLst>
                    </a:blip>
                    <a:stretch>
                      <a:fillRect/>
                    </a:stretch>
                  </pic:blipFill>
                  <pic:spPr>
                    <a:xfrm>
                      <a:off x="0" y="0"/>
                      <a:ext cx="5575935" cy="2867025"/>
                    </a:xfrm>
                    <a:prstGeom prst="rect">
                      <a:avLst/>
                    </a:prstGeom>
                  </pic:spPr>
                </pic:pic>
              </a:graphicData>
            </a:graphic>
            <wp14:sizeRelH relativeFrom="margin">
              <wp14:pctWidth>0</wp14:pctWidth>
            </wp14:sizeRelH>
            <wp14:sizeRelV relativeFrom="margin">
              <wp14:pctHeight>0</wp14:pctHeight>
            </wp14:sizeRelV>
          </wp:anchor>
        </w:drawing>
      </w:r>
      <w:r w:rsidR="004E280F" w:rsidRPr="004E280F">
        <w:rPr>
          <w:rFonts w:ascii="Times New Roman" w:hAnsi="Times New Roman" w:cs="Times New Roman"/>
          <w:sz w:val="28"/>
          <w:szCs w:val="28"/>
        </w:rPr>
        <w:t>United States of America</w:t>
      </w:r>
      <w:r>
        <w:rPr>
          <w:rFonts w:ascii="Times New Roman" w:hAnsi="Times New Roman" w:cs="Times New Roman"/>
          <w:sz w:val="28"/>
          <w:szCs w:val="28"/>
        </w:rPr>
        <w:t xml:space="preserve"> </w:t>
      </w:r>
      <w:r w:rsidR="004E280F" w:rsidRPr="004E280F">
        <w:rPr>
          <w:rFonts w:ascii="Times New Roman" w:hAnsi="Times New Roman" w:cs="Times New Roman"/>
          <w:sz w:val="28"/>
          <w:szCs w:val="28"/>
        </w:rPr>
        <w:t xml:space="preserve">(US) has invested in 47 </w:t>
      </w:r>
      <w:r>
        <w:rPr>
          <w:rFonts w:ascii="Times New Roman" w:hAnsi="Times New Roman" w:cs="Times New Roman"/>
          <w:sz w:val="28"/>
          <w:szCs w:val="28"/>
        </w:rPr>
        <w:t>business</w:t>
      </w:r>
      <w:r w:rsidR="004E280F" w:rsidRPr="004E280F">
        <w:rPr>
          <w:rFonts w:ascii="Times New Roman" w:hAnsi="Times New Roman" w:cs="Times New Roman"/>
          <w:sz w:val="28"/>
          <w:szCs w:val="28"/>
        </w:rPr>
        <w:t xml:space="preserve"> followed by the 1</w:t>
      </w:r>
      <w:r w:rsidR="004E280F" w:rsidRPr="004E280F">
        <w:rPr>
          <w:rFonts w:ascii="Times New Roman" w:hAnsi="Times New Roman" w:cs="Times New Roman"/>
          <w:sz w:val="28"/>
          <w:szCs w:val="28"/>
          <w:vertAlign w:val="superscript"/>
        </w:rPr>
        <w:t>st</w:t>
      </w:r>
      <w:r w:rsidR="004E280F" w:rsidRPr="004E280F">
        <w:rPr>
          <w:rFonts w:ascii="Times New Roman" w:hAnsi="Times New Roman" w:cs="Times New Roman"/>
          <w:sz w:val="28"/>
          <w:szCs w:val="28"/>
        </w:rPr>
        <w:t xml:space="preserve"> highly populated country China invested in 23 </w:t>
      </w:r>
      <w:r>
        <w:rPr>
          <w:rFonts w:ascii="Times New Roman" w:hAnsi="Times New Roman" w:cs="Times New Roman"/>
          <w:sz w:val="28"/>
          <w:szCs w:val="28"/>
        </w:rPr>
        <w:t>business across various sectors</w:t>
      </w:r>
      <w:r w:rsidR="004E280F" w:rsidRPr="004E280F">
        <w:rPr>
          <w:rFonts w:ascii="Times New Roman" w:hAnsi="Times New Roman" w:cs="Times New Roman"/>
          <w:sz w:val="28"/>
          <w:szCs w:val="28"/>
        </w:rPr>
        <w:t xml:space="preserve">. Countries like India, Ireland, UK, Australia. Hong Kong, Denmark, Argentina, Germany, UAE, Sweden and Singapore has invested less than 2 </w:t>
      </w:r>
      <w:r>
        <w:rPr>
          <w:rFonts w:ascii="Times New Roman" w:hAnsi="Times New Roman" w:cs="Times New Roman"/>
          <w:sz w:val="28"/>
          <w:szCs w:val="28"/>
        </w:rPr>
        <w:t>business</w:t>
      </w:r>
      <w:r w:rsidR="004E280F" w:rsidRPr="004E280F">
        <w:rPr>
          <w:rFonts w:ascii="Times New Roman" w:hAnsi="Times New Roman" w:cs="Times New Roman"/>
          <w:sz w:val="28"/>
          <w:szCs w:val="28"/>
        </w:rPr>
        <w:t>.</w:t>
      </w:r>
    </w:p>
    <w:p w14:paraId="63F4739E" w14:textId="1EEC270D" w:rsidR="00AA6D19" w:rsidRDefault="00AA6D19" w:rsidP="00AA6D19">
      <w:pPr>
        <w:tabs>
          <w:tab w:val="left" w:pos="1965"/>
        </w:tabs>
      </w:pPr>
    </w:p>
    <w:p w14:paraId="250F0244" w14:textId="6009D781" w:rsidR="00AA6D19" w:rsidRDefault="00AA6D19" w:rsidP="00AA6D19">
      <w:pPr>
        <w:tabs>
          <w:tab w:val="left" w:pos="1965"/>
        </w:tabs>
      </w:pPr>
    </w:p>
    <w:p w14:paraId="03B899CD" w14:textId="52D1E1CF" w:rsidR="00AA6D19" w:rsidRDefault="00AA6D19" w:rsidP="00AA6D19">
      <w:pPr>
        <w:tabs>
          <w:tab w:val="left" w:pos="1965"/>
        </w:tabs>
      </w:pPr>
    </w:p>
    <w:p w14:paraId="08DD4AA4" w14:textId="2A8A0FEF" w:rsidR="00BD3E92" w:rsidRDefault="00BD3E92" w:rsidP="00347A58"/>
    <w:p w14:paraId="74B09FE3" w14:textId="0D9219C5" w:rsidR="00AA6D19" w:rsidRPr="00BD3E92" w:rsidRDefault="00BD3E92" w:rsidP="00347A58">
      <w:r>
        <w:rPr>
          <w:noProof/>
        </w:rPr>
        <w:drawing>
          <wp:anchor distT="0" distB="0" distL="114300" distR="114300" simplePos="0" relativeHeight="251675648" behindDoc="1" locked="0" layoutInCell="1" allowOverlap="1" wp14:anchorId="2CBDE75F" wp14:editId="38F35B28">
            <wp:simplePos x="0" y="0"/>
            <wp:positionH relativeFrom="margin">
              <wp:align>left</wp:align>
            </wp:positionH>
            <wp:positionV relativeFrom="paragraph">
              <wp:posOffset>9525</wp:posOffset>
            </wp:positionV>
            <wp:extent cx="5962650" cy="2571750"/>
            <wp:effectExtent l="0" t="0" r="0" b="0"/>
            <wp:wrapTight wrapText="bothSides">
              <wp:wrapPolygon edited="0">
                <wp:start x="0" y="0"/>
                <wp:lineTo x="0" y="21440"/>
                <wp:lineTo x="21531" y="21440"/>
                <wp:lineTo x="21531" y="0"/>
                <wp:lineTo x="0" y="0"/>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 and China.png"/>
                    <pic:cNvPicPr/>
                  </pic:nvPicPr>
                  <pic:blipFill>
                    <a:blip r:embed="rId16">
                      <a:extLst>
                        <a:ext uri="{28A0092B-C50C-407E-A947-70E740481C1C}">
                          <a14:useLocalDpi xmlns:a14="http://schemas.microsoft.com/office/drawing/2010/main" val="0"/>
                        </a:ext>
                      </a:extLst>
                    </a:blip>
                    <a:stretch>
                      <a:fillRect/>
                    </a:stretch>
                  </pic:blipFill>
                  <pic:spPr>
                    <a:xfrm>
                      <a:off x="0" y="0"/>
                      <a:ext cx="5962650" cy="2571750"/>
                    </a:xfrm>
                    <a:prstGeom prst="rect">
                      <a:avLst/>
                    </a:prstGeom>
                  </pic:spPr>
                </pic:pic>
              </a:graphicData>
            </a:graphic>
            <wp14:sizeRelH relativeFrom="margin">
              <wp14:pctWidth>0</wp14:pctWidth>
            </wp14:sizeRelH>
            <wp14:sizeRelV relativeFrom="margin">
              <wp14:pctHeight>0</wp14:pctHeight>
            </wp14:sizeRelV>
          </wp:anchor>
        </w:drawing>
      </w:r>
      <w:r w:rsidR="00347A58" w:rsidRPr="006C0D05">
        <w:rPr>
          <w:rFonts w:ascii="Times New Roman" w:hAnsi="Times New Roman" w:cs="Times New Roman"/>
          <w:noProof/>
          <w:sz w:val="28"/>
          <w:szCs w:val="28"/>
        </w:rPr>
        <w:t xml:space="preserve">US has invested nearly 884 $bn in </w:t>
      </w:r>
      <w:r w:rsidR="00347A58" w:rsidRPr="00BD3E92">
        <w:rPr>
          <w:rFonts w:ascii="Times New Roman" w:hAnsi="Times New Roman" w:cs="Times New Roman"/>
          <w:b/>
          <w:bCs/>
          <w:noProof/>
          <w:sz w:val="28"/>
          <w:szCs w:val="28"/>
        </w:rPr>
        <w:t>Technology</w:t>
      </w:r>
      <w:r w:rsidR="00347A58" w:rsidRPr="006C0D05">
        <w:rPr>
          <w:rFonts w:ascii="Times New Roman" w:hAnsi="Times New Roman" w:cs="Times New Roman"/>
          <w:noProof/>
          <w:sz w:val="28"/>
          <w:szCs w:val="28"/>
        </w:rPr>
        <w:t xml:space="preserve"> </w:t>
      </w:r>
      <w:r w:rsidR="00347A58" w:rsidRPr="006C0D05">
        <w:rPr>
          <w:rFonts w:ascii="Times New Roman" w:hAnsi="Times New Roman" w:cs="Times New Roman"/>
          <w:sz w:val="28"/>
          <w:szCs w:val="28"/>
        </w:rPr>
        <w:t xml:space="preserve">alone followed by </w:t>
      </w:r>
      <w:r w:rsidR="00347A58" w:rsidRPr="00BD3E92">
        <w:rPr>
          <w:rFonts w:ascii="Times New Roman" w:hAnsi="Times New Roman" w:cs="Times New Roman"/>
          <w:b/>
          <w:bCs/>
          <w:sz w:val="28"/>
          <w:szCs w:val="28"/>
        </w:rPr>
        <w:t>Consumer discretionary</w:t>
      </w:r>
      <w:r w:rsidR="00347A58" w:rsidRPr="006C0D05">
        <w:rPr>
          <w:rFonts w:ascii="Times New Roman" w:hAnsi="Times New Roman" w:cs="Times New Roman"/>
          <w:sz w:val="28"/>
          <w:szCs w:val="28"/>
        </w:rPr>
        <w:t xml:space="preserve"> (570 $bn), Communication services (289.8 $bn), Healthcare.(185.3 $bn). Very low investment in Real estate, Financials and Materials. </w:t>
      </w:r>
      <w:r w:rsidR="00AA6D19" w:rsidRPr="006C0D05">
        <w:rPr>
          <w:rFonts w:ascii="Times New Roman" w:hAnsi="Times New Roman" w:cs="Times New Roman"/>
          <w:sz w:val="28"/>
          <w:szCs w:val="28"/>
        </w:rPr>
        <w:tab/>
      </w:r>
    </w:p>
    <w:p w14:paraId="0B235390" w14:textId="4C66EA8A" w:rsidR="00D54D66" w:rsidRPr="006C0D05" w:rsidRDefault="00347A58" w:rsidP="006C0D05">
      <w:pPr>
        <w:tabs>
          <w:tab w:val="left" w:pos="1875"/>
        </w:tabs>
        <w:rPr>
          <w:rFonts w:ascii="Times New Roman" w:hAnsi="Times New Roman" w:cs="Times New Roman"/>
          <w:sz w:val="28"/>
          <w:szCs w:val="28"/>
        </w:rPr>
      </w:pPr>
      <w:r w:rsidRPr="006C0D05">
        <w:rPr>
          <w:rFonts w:ascii="Times New Roman" w:hAnsi="Times New Roman" w:cs="Times New Roman"/>
          <w:sz w:val="28"/>
          <w:szCs w:val="28"/>
        </w:rPr>
        <w:t xml:space="preserve">China has invested nearly 222 $bn in </w:t>
      </w:r>
      <w:r w:rsidRPr="00BD3E92">
        <w:rPr>
          <w:rFonts w:ascii="Times New Roman" w:hAnsi="Times New Roman" w:cs="Times New Roman"/>
          <w:b/>
          <w:bCs/>
          <w:sz w:val="28"/>
          <w:szCs w:val="28"/>
        </w:rPr>
        <w:t>Consumer discretionary</w:t>
      </w:r>
      <w:r w:rsidRPr="006C0D05">
        <w:rPr>
          <w:rFonts w:ascii="Times New Roman" w:hAnsi="Times New Roman" w:cs="Times New Roman"/>
          <w:sz w:val="28"/>
          <w:szCs w:val="28"/>
        </w:rPr>
        <w:t xml:space="preserve"> and 110.2 $bn for Communication services. Very low investment in Industries and Technology. </w:t>
      </w:r>
      <w:r w:rsidR="004E280F">
        <w:tab/>
      </w:r>
    </w:p>
    <w:p w14:paraId="6AEBF3FA" w14:textId="4F3AB3CA" w:rsidR="00D54D66" w:rsidRPr="00BD3E92" w:rsidRDefault="00BD3E92" w:rsidP="00D54D66">
      <w:pPr>
        <w:rPr>
          <w:rFonts w:ascii="Times New Roman" w:hAnsi="Times New Roman" w:cs="Times New Roman"/>
          <w:b/>
          <w:bCs/>
          <w:sz w:val="28"/>
          <w:szCs w:val="28"/>
        </w:rPr>
      </w:pPr>
      <w:r>
        <w:rPr>
          <w:rFonts w:ascii="Times New Roman" w:hAnsi="Times New Roman" w:cs="Times New Roman"/>
          <w:b/>
          <w:bCs/>
          <w:sz w:val="28"/>
          <w:szCs w:val="28"/>
        </w:rPr>
        <w:lastRenderedPageBreak/>
        <w:t>Country’s Vs M</w:t>
      </w:r>
      <w:r w:rsidRPr="00BD3E92">
        <w:rPr>
          <w:rFonts w:ascii="Times New Roman" w:hAnsi="Times New Roman" w:cs="Times New Roman"/>
          <w:b/>
          <w:bCs/>
          <w:sz w:val="28"/>
          <w:szCs w:val="28"/>
        </w:rPr>
        <w:t xml:space="preserve">arket capital added </w:t>
      </w:r>
      <w:r>
        <w:rPr>
          <w:rFonts w:ascii="Times New Roman" w:hAnsi="Times New Roman" w:cs="Times New Roman"/>
          <w:b/>
          <w:bCs/>
          <w:sz w:val="28"/>
          <w:szCs w:val="28"/>
        </w:rPr>
        <w:t>and</w:t>
      </w:r>
      <w:r w:rsidRPr="00BD3E92">
        <w:rPr>
          <w:rFonts w:ascii="Times New Roman" w:hAnsi="Times New Roman" w:cs="Times New Roman"/>
          <w:b/>
          <w:bCs/>
          <w:sz w:val="28"/>
          <w:szCs w:val="28"/>
        </w:rPr>
        <w:t xml:space="preserve"> </w:t>
      </w:r>
      <w:r>
        <w:rPr>
          <w:rFonts w:ascii="Times New Roman" w:hAnsi="Times New Roman" w:cs="Times New Roman"/>
          <w:b/>
          <w:bCs/>
          <w:sz w:val="28"/>
          <w:szCs w:val="28"/>
        </w:rPr>
        <w:t>C</w:t>
      </w:r>
      <w:r w:rsidRPr="00BD3E92">
        <w:rPr>
          <w:rFonts w:ascii="Times New Roman" w:hAnsi="Times New Roman" w:cs="Times New Roman"/>
          <w:b/>
          <w:bCs/>
          <w:sz w:val="28"/>
          <w:szCs w:val="28"/>
        </w:rPr>
        <w:t>hange</w:t>
      </w:r>
    </w:p>
    <w:p w14:paraId="6A79B796" w14:textId="2BCF249F" w:rsidR="00D54D66" w:rsidRPr="00D54D66" w:rsidRDefault="00D54D66" w:rsidP="00D54D66"/>
    <w:p w14:paraId="5E62433F" w14:textId="066A1F74" w:rsidR="00AA6D19" w:rsidRDefault="00AA6D19" w:rsidP="00AA6D19">
      <w:pPr>
        <w:tabs>
          <w:tab w:val="left" w:pos="1875"/>
        </w:tabs>
        <w:rPr>
          <w:noProof/>
        </w:rPr>
      </w:pPr>
      <w:r>
        <w:rPr>
          <w:noProof/>
        </w:rPr>
        <w:drawing>
          <wp:inline distT="0" distB="0" distL="0" distR="0" wp14:anchorId="00A381A1" wp14:editId="0463DEE1">
            <wp:extent cx="7925906" cy="39439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t cap added vs change.png"/>
                    <pic:cNvPicPr/>
                  </pic:nvPicPr>
                  <pic:blipFill>
                    <a:blip r:embed="rId17">
                      <a:extLst>
                        <a:ext uri="{28A0092B-C50C-407E-A947-70E740481C1C}">
                          <a14:useLocalDpi xmlns:a14="http://schemas.microsoft.com/office/drawing/2010/main" val="0"/>
                        </a:ext>
                      </a:extLst>
                    </a:blip>
                    <a:stretch>
                      <a:fillRect/>
                    </a:stretch>
                  </pic:blipFill>
                  <pic:spPr>
                    <a:xfrm>
                      <a:off x="0" y="0"/>
                      <a:ext cx="7925906" cy="3943900"/>
                    </a:xfrm>
                    <a:prstGeom prst="rect">
                      <a:avLst/>
                    </a:prstGeom>
                  </pic:spPr>
                </pic:pic>
              </a:graphicData>
            </a:graphic>
          </wp:inline>
        </w:drawing>
      </w:r>
    </w:p>
    <w:p w14:paraId="3C993C57" w14:textId="43E97C42" w:rsidR="00AA6D19" w:rsidRPr="00BD3E92" w:rsidRDefault="006C0D05" w:rsidP="00AA6D19">
      <w:pPr>
        <w:rPr>
          <w:rFonts w:ascii="Times New Roman" w:hAnsi="Times New Roman" w:cs="Times New Roman"/>
          <w:noProof/>
          <w:sz w:val="28"/>
          <w:szCs w:val="28"/>
        </w:rPr>
      </w:pPr>
      <w:r w:rsidRPr="00BD3E92">
        <w:rPr>
          <w:rFonts w:ascii="Times New Roman" w:hAnsi="Times New Roman" w:cs="Times New Roman"/>
          <w:noProof/>
          <w:sz w:val="28"/>
          <w:szCs w:val="28"/>
        </w:rPr>
        <w:t xml:space="preserve">Despite </w:t>
      </w:r>
      <w:r w:rsidR="00CB0B33" w:rsidRPr="00BD3E92">
        <w:rPr>
          <w:rFonts w:ascii="Times New Roman" w:hAnsi="Times New Roman" w:cs="Times New Roman"/>
          <w:noProof/>
          <w:sz w:val="28"/>
          <w:szCs w:val="28"/>
        </w:rPr>
        <w:t>the COVID 19 pandemic, t</w:t>
      </w:r>
      <w:r w:rsidRPr="00BD3E92">
        <w:rPr>
          <w:rFonts w:ascii="Times New Roman" w:hAnsi="Times New Roman" w:cs="Times New Roman"/>
          <w:noProof/>
          <w:sz w:val="28"/>
          <w:szCs w:val="28"/>
        </w:rPr>
        <w:t xml:space="preserve">here is a drastic change in the market capital of </w:t>
      </w:r>
      <w:r w:rsidRPr="00DC7D38">
        <w:rPr>
          <w:rFonts w:ascii="Times New Roman" w:hAnsi="Times New Roman" w:cs="Times New Roman"/>
          <w:b/>
          <w:bCs/>
          <w:noProof/>
          <w:sz w:val="28"/>
          <w:szCs w:val="28"/>
        </w:rPr>
        <w:t>US</w:t>
      </w:r>
      <w:r w:rsidR="00CB0B33" w:rsidRPr="00BD3E92">
        <w:rPr>
          <w:rFonts w:ascii="Times New Roman" w:hAnsi="Times New Roman" w:cs="Times New Roman"/>
          <w:noProof/>
          <w:sz w:val="28"/>
          <w:szCs w:val="28"/>
        </w:rPr>
        <w:t xml:space="preserve"> (3139.8 $bn). It is clearly visible this is because of Top companies like </w:t>
      </w:r>
      <w:r w:rsidR="00CB0B33" w:rsidRPr="00DC7D38">
        <w:rPr>
          <w:rFonts w:ascii="Times New Roman" w:hAnsi="Times New Roman" w:cs="Times New Roman"/>
          <w:i/>
          <w:iCs/>
          <w:noProof/>
          <w:sz w:val="28"/>
          <w:szCs w:val="28"/>
        </w:rPr>
        <w:t>Amazon, Microsoft, Apple, Tesla, Facebook, Alphabet</w:t>
      </w:r>
      <w:r w:rsidR="00CB0B33" w:rsidRPr="00BD3E92">
        <w:rPr>
          <w:rFonts w:ascii="Times New Roman" w:hAnsi="Times New Roman" w:cs="Times New Roman"/>
          <w:noProof/>
          <w:sz w:val="28"/>
          <w:szCs w:val="28"/>
        </w:rPr>
        <w:t xml:space="preserve">, </w:t>
      </w:r>
      <w:r w:rsidRPr="00BD3E92">
        <w:rPr>
          <w:rFonts w:ascii="Times New Roman" w:hAnsi="Times New Roman" w:cs="Times New Roman"/>
          <w:noProof/>
          <w:sz w:val="28"/>
          <w:szCs w:val="28"/>
        </w:rPr>
        <w:t xml:space="preserve">and </w:t>
      </w:r>
      <w:r w:rsidR="00CB0B33" w:rsidRPr="00DC7D38">
        <w:rPr>
          <w:rFonts w:ascii="Times New Roman" w:hAnsi="Times New Roman" w:cs="Times New Roman"/>
          <w:i/>
          <w:iCs/>
          <w:noProof/>
          <w:sz w:val="28"/>
          <w:szCs w:val="28"/>
        </w:rPr>
        <w:t>Paypal</w:t>
      </w:r>
      <w:r w:rsidR="00CB0B33" w:rsidRPr="00BD3E92">
        <w:rPr>
          <w:rFonts w:ascii="Times New Roman" w:hAnsi="Times New Roman" w:cs="Times New Roman"/>
          <w:noProof/>
          <w:sz w:val="28"/>
          <w:szCs w:val="28"/>
        </w:rPr>
        <w:t xml:space="preserve"> who leads the stock market are based on the United States of America. </w:t>
      </w:r>
    </w:p>
    <w:p w14:paraId="6F50C1F2" w14:textId="3901A38E" w:rsidR="00CE1110" w:rsidRPr="00BD3E92" w:rsidRDefault="00F6092A" w:rsidP="00AA6D19">
      <w:pPr>
        <w:rPr>
          <w:rFonts w:ascii="Times New Roman" w:hAnsi="Times New Roman" w:cs="Times New Roman"/>
          <w:noProof/>
          <w:sz w:val="28"/>
          <w:szCs w:val="28"/>
        </w:rPr>
      </w:pPr>
      <w:r w:rsidRPr="00DC7D38">
        <w:rPr>
          <w:rFonts w:ascii="Times New Roman" w:hAnsi="Times New Roman" w:cs="Times New Roman"/>
          <w:b/>
          <w:bCs/>
          <w:noProof/>
          <w:sz w:val="28"/>
          <w:szCs w:val="28"/>
        </w:rPr>
        <w:t>China’s</w:t>
      </w:r>
      <w:r w:rsidRPr="00BD3E92">
        <w:rPr>
          <w:rFonts w:ascii="Times New Roman" w:hAnsi="Times New Roman" w:cs="Times New Roman"/>
          <w:noProof/>
          <w:sz w:val="28"/>
          <w:szCs w:val="28"/>
        </w:rPr>
        <w:t xml:space="preserve"> </w:t>
      </w:r>
      <w:r w:rsidRPr="00DC7D38">
        <w:rPr>
          <w:rFonts w:ascii="Times New Roman" w:hAnsi="Times New Roman" w:cs="Times New Roman"/>
          <w:i/>
          <w:iCs/>
          <w:noProof/>
          <w:sz w:val="28"/>
          <w:szCs w:val="28"/>
        </w:rPr>
        <w:t>Tencent, GSX Techedu</w:t>
      </w:r>
      <w:r w:rsidRPr="00BD3E92">
        <w:rPr>
          <w:rFonts w:ascii="Times New Roman" w:hAnsi="Times New Roman" w:cs="Times New Roman"/>
          <w:noProof/>
          <w:sz w:val="28"/>
          <w:szCs w:val="28"/>
        </w:rPr>
        <w:t xml:space="preserve"> plays an vital role </w:t>
      </w:r>
      <w:r w:rsidR="00AC6BD1" w:rsidRPr="00BD3E92">
        <w:rPr>
          <w:rFonts w:ascii="Times New Roman" w:hAnsi="Times New Roman" w:cs="Times New Roman"/>
          <w:noProof/>
          <w:sz w:val="28"/>
          <w:szCs w:val="28"/>
        </w:rPr>
        <w:t>for their country’s capital.</w:t>
      </w:r>
    </w:p>
    <w:p w14:paraId="19E35C11" w14:textId="67CA0F6D" w:rsidR="00BD3E92" w:rsidRDefault="00AC6BD1" w:rsidP="00AA6D19">
      <w:pPr>
        <w:rPr>
          <w:rFonts w:ascii="Times New Roman" w:hAnsi="Times New Roman" w:cs="Times New Roman"/>
          <w:noProof/>
          <w:sz w:val="28"/>
          <w:szCs w:val="28"/>
        </w:rPr>
      </w:pPr>
      <w:r w:rsidRPr="00DC7D38">
        <w:rPr>
          <w:rFonts w:ascii="Times New Roman" w:hAnsi="Times New Roman" w:cs="Times New Roman"/>
          <w:b/>
          <w:bCs/>
          <w:noProof/>
          <w:sz w:val="28"/>
          <w:szCs w:val="28"/>
        </w:rPr>
        <w:t>UAE</w:t>
      </w:r>
      <w:r w:rsidRPr="00BD3E92">
        <w:rPr>
          <w:rFonts w:ascii="Times New Roman" w:hAnsi="Times New Roman" w:cs="Times New Roman"/>
          <w:noProof/>
          <w:sz w:val="28"/>
          <w:szCs w:val="28"/>
        </w:rPr>
        <w:t xml:space="preserve"> based Consumer Staples company </w:t>
      </w:r>
      <w:r w:rsidRPr="00DC7D38">
        <w:rPr>
          <w:rFonts w:ascii="Times New Roman" w:hAnsi="Times New Roman" w:cs="Times New Roman"/>
          <w:i/>
          <w:iCs/>
          <w:noProof/>
          <w:sz w:val="28"/>
          <w:szCs w:val="28"/>
        </w:rPr>
        <w:t>International Holdings</w:t>
      </w:r>
      <w:r w:rsidRPr="00BD3E92">
        <w:rPr>
          <w:rFonts w:ascii="Times New Roman" w:hAnsi="Times New Roman" w:cs="Times New Roman"/>
          <w:noProof/>
          <w:sz w:val="28"/>
          <w:szCs w:val="28"/>
        </w:rPr>
        <w:t xml:space="preserve"> has shown huge impact in market capital addition. Yes, from 15.6 $bn of the company’s market capital they added 12.6 $bn nearly 75% more than the capital. 408.7 $bn change in their market capital let’s the top giant companies backwards.</w:t>
      </w:r>
    </w:p>
    <w:p w14:paraId="44691EDF" w14:textId="6F78FDDF" w:rsidR="00AA6D19" w:rsidRPr="00DC7D38" w:rsidRDefault="00DC7D38" w:rsidP="00AA6D19">
      <w:pPr>
        <w:tabs>
          <w:tab w:val="left" w:pos="2205"/>
        </w:tabs>
        <w:rPr>
          <w:rFonts w:ascii="Times New Roman" w:hAnsi="Times New Roman" w:cs="Times New Roman"/>
          <w:b/>
          <w:bCs/>
          <w:sz w:val="28"/>
          <w:szCs w:val="28"/>
        </w:rPr>
      </w:pPr>
      <w:r w:rsidRPr="00DC7D38">
        <w:rPr>
          <w:rFonts w:ascii="Times New Roman" w:hAnsi="Times New Roman" w:cs="Times New Roman"/>
          <w:b/>
          <w:bCs/>
          <w:noProof/>
          <w:sz w:val="28"/>
          <w:szCs w:val="28"/>
        </w:rPr>
        <w:lastRenderedPageBreak/>
        <w:drawing>
          <wp:anchor distT="0" distB="0" distL="114300" distR="114300" simplePos="0" relativeHeight="251676672" behindDoc="0" locked="0" layoutInCell="1" allowOverlap="1" wp14:anchorId="15A44BBF" wp14:editId="61355312">
            <wp:simplePos x="0" y="0"/>
            <wp:positionH relativeFrom="margin">
              <wp:align>center</wp:align>
            </wp:positionH>
            <wp:positionV relativeFrom="paragraph">
              <wp:posOffset>480060</wp:posOffset>
            </wp:positionV>
            <wp:extent cx="8285480" cy="3848100"/>
            <wp:effectExtent l="0" t="0" r="1270" b="0"/>
            <wp:wrapSquare wrapText="bothSides"/>
            <wp:docPr id="21" name="Picture 21" descr="A picture containing screenshot, truck, train, driv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rket vs cap added vs change.png"/>
                    <pic:cNvPicPr/>
                  </pic:nvPicPr>
                  <pic:blipFill>
                    <a:blip r:embed="rId18">
                      <a:extLst>
                        <a:ext uri="{28A0092B-C50C-407E-A947-70E740481C1C}">
                          <a14:useLocalDpi xmlns:a14="http://schemas.microsoft.com/office/drawing/2010/main" val="0"/>
                        </a:ext>
                      </a:extLst>
                    </a:blip>
                    <a:stretch>
                      <a:fillRect/>
                    </a:stretch>
                  </pic:blipFill>
                  <pic:spPr>
                    <a:xfrm>
                      <a:off x="0" y="0"/>
                      <a:ext cx="8285480" cy="3848100"/>
                    </a:xfrm>
                    <a:prstGeom prst="rect">
                      <a:avLst/>
                    </a:prstGeom>
                  </pic:spPr>
                </pic:pic>
              </a:graphicData>
            </a:graphic>
            <wp14:sizeRelH relativeFrom="margin">
              <wp14:pctWidth>0</wp14:pctWidth>
            </wp14:sizeRelH>
            <wp14:sizeRelV relativeFrom="margin">
              <wp14:pctHeight>0</wp14:pctHeight>
            </wp14:sizeRelV>
          </wp:anchor>
        </w:drawing>
      </w:r>
      <w:r w:rsidRPr="00DC7D38">
        <w:rPr>
          <w:rFonts w:ascii="Times New Roman" w:hAnsi="Times New Roman" w:cs="Times New Roman"/>
          <w:b/>
          <w:bCs/>
          <w:sz w:val="28"/>
          <w:szCs w:val="28"/>
        </w:rPr>
        <w:t>SUMMARY</w:t>
      </w:r>
      <w:r w:rsidR="00AA6D19" w:rsidRPr="00DC7D38">
        <w:rPr>
          <w:rFonts w:ascii="Times New Roman" w:hAnsi="Times New Roman" w:cs="Times New Roman"/>
          <w:b/>
          <w:bCs/>
          <w:sz w:val="28"/>
          <w:szCs w:val="28"/>
        </w:rPr>
        <w:tab/>
      </w:r>
    </w:p>
    <w:p w14:paraId="76E7481D" w14:textId="312D7A83" w:rsidR="00AA6D19" w:rsidRDefault="00AA6D19" w:rsidP="00AA6D19">
      <w:pPr>
        <w:tabs>
          <w:tab w:val="left" w:pos="2205"/>
        </w:tabs>
      </w:pPr>
    </w:p>
    <w:p w14:paraId="1E73A3DD" w14:textId="146AE238" w:rsidR="00DC7D38" w:rsidRDefault="00DC7D38" w:rsidP="00DC7D38">
      <w:pPr>
        <w:rPr>
          <w:rFonts w:ascii="Arial" w:hAnsi="Arial" w:cs="Arial"/>
          <w:color w:val="111111"/>
          <w:sz w:val="26"/>
          <w:szCs w:val="26"/>
          <w:shd w:val="clear" w:color="auto" w:fill="FFFFFF"/>
        </w:rPr>
      </w:pPr>
    </w:p>
    <w:p w14:paraId="55C0CCDA" w14:textId="49A9D356" w:rsidR="00DC7D38" w:rsidRDefault="00640285" w:rsidP="00DC7D38">
      <w:pPr>
        <w:rPr>
          <w:rFonts w:ascii="Times New Roman" w:hAnsi="Times New Roman" w:cs="Times New Roman"/>
          <w:color w:val="111111"/>
          <w:sz w:val="28"/>
          <w:szCs w:val="28"/>
          <w:shd w:val="clear" w:color="auto" w:fill="FFFFFF"/>
        </w:rPr>
      </w:pPr>
      <w:r w:rsidRPr="00640285">
        <w:rPr>
          <w:rFonts w:ascii="Times New Roman" w:hAnsi="Times New Roman" w:cs="Times New Roman"/>
          <w:b/>
          <w:bCs/>
          <w:color w:val="111111"/>
          <w:sz w:val="28"/>
          <w:szCs w:val="28"/>
          <w:shd w:val="clear" w:color="auto" w:fill="FFFFFF"/>
        </w:rPr>
        <w:t>Consumer discretionary</w:t>
      </w:r>
      <w:r>
        <w:rPr>
          <w:rFonts w:ascii="Times New Roman" w:hAnsi="Times New Roman" w:cs="Times New Roman"/>
          <w:color w:val="111111"/>
          <w:sz w:val="28"/>
          <w:szCs w:val="28"/>
          <w:shd w:val="clear" w:color="auto" w:fill="FFFFFF"/>
        </w:rPr>
        <w:t xml:space="preserve"> companies like </w:t>
      </w:r>
      <w:r w:rsidR="00DC7D38" w:rsidRPr="00E10266">
        <w:rPr>
          <w:rFonts w:ascii="Times New Roman" w:hAnsi="Times New Roman" w:cs="Times New Roman"/>
          <w:color w:val="111111"/>
          <w:sz w:val="28"/>
          <w:szCs w:val="28"/>
          <w:shd w:val="clear" w:color="auto" w:fill="FFFFFF"/>
        </w:rPr>
        <w:t>IHC</w:t>
      </w:r>
      <w:r w:rsidR="000F4AB7" w:rsidRPr="00E10266">
        <w:rPr>
          <w:rFonts w:ascii="Times New Roman" w:hAnsi="Times New Roman" w:cs="Times New Roman"/>
          <w:color w:val="111111"/>
          <w:sz w:val="28"/>
          <w:szCs w:val="28"/>
          <w:shd w:val="clear" w:color="auto" w:fill="FFFFFF"/>
        </w:rPr>
        <w:t>, Amazon,</w:t>
      </w:r>
      <w:r w:rsidR="00DC7D38" w:rsidRPr="00E10266">
        <w:rPr>
          <w:rFonts w:ascii="Times New Roman" w:hAnsi="Times New Roman" w:cs="Times New Roman"/>
          <w:color w:val="111111"/>
          <w:sz w:val="28"/>
          <w:szCs w:val="28"/>
          <w:shd w:val="clear" w:color="auto" w:fill="FFFFFF"/>
        </w:rPr>
        <w:t xml:space="preserve"> </w:t>
      </w:r>
      <w:r w:rsidR="000F4AB7" w:rsidRPr="00E10266">
        <w:rPr>
          <w:rFonts w:ascii="Times New Roman" w:hAnsi="Times New Roman" w:cs="Times New Roman"/>
          <w:color w:val="000000"/>
          <w:sz w:val="28"/>
          <w:szCs w:val="28"/>
        </w:rPr>
        <w:t xml:space="preserve">GSX Techedu, Just Eat Takeaway, </w:t>
      </w:r>
      <w:r w:rsidR="000F4AB7" w:rsidRPr="00E10266">
        <w:rPr>
          <w:rFonts w:ascii="Times New Roman" w:hAnsi="Times New Roman" w:cs="Times New Roman"/>
          <w:color w:val="000000"/>
          <w:sz w:val="28"/>
          <w:szCs w:val="28"/>
        </w:rPr>
        <w:t xml:space="preserve">and </w:t>
      </w:r>
      <w:r w:rsidR="000F4AB7" w:rsidRPr="00E10266">
        <w:rPr>
          <w:rFonts w:ascii="Times New Roman" w:hAnsi="Times New Roman" w:cs="Times New Roman"/>
          <w:color w:val="000000"/>
          <w:sz w:val="28"/>
          <w:szCs w:val="28"/>
        </w:rPr>
        <w:t xml:space="preserve">Wayfair </w:t>
      </w:r>
      <w:r w:rsidR="00DC7D38" w:rsidRPr="00E10266">
        <w:rPr>
          <w:rFonts w:ascii="Times New Roman" w:hAnsi="Times New Roman" w:cs="Times New Roman"/>
          <w:color w:val="111111"/>
          <w:sz w:val="28"/>
          <w:szCs w:val="28"/>
          <w:shd w:val="clear" w:color="auto" w:fill="FFFFFF"/>
        </w:rPr>
        <w:t>produce and sell items considered essential for everyday use. These include household goods, food, beverages, hygiene products, and other items that individuals are either unwilling or unable to eliminate from their budgets even in times of financial trouble. As a result, the</w:t>
      </w:r>
      <w:r w:rsidR="000F4AB7" w:rsidRPr="00E10266">
        <w:rPr>
          <w:rFonts w:ascii="Times New Roman" w:hAnsi="Times New Roman" w:cs="Times New Roman"/>
          <w:color w:val="111111"/>
          <w:sz w:val="28"/>
          <w:szCs w:val="28"/>
          <w:shd w:val="clear" w:color="auto" w:fill="FFFFFF"/>
        </w:rPr>
        <w:t>se</w:t>
      </w:r>
      <w:r w:rsidR="00DC7D38" w:rsidRPr="00E10266">
        <w:rPr>
          <w:rFonts w:ascii="Times New Roman" w:hAnsi="Times New Roman" w:cs="Times New Roman"/>
          <w:color w:val="111111"/>
          <w:sz w:val="28"/>
          <w:szCs w:val="28"/>
          <w:shd w:val="clear" w:color="auto" w:fill="FFFFFF"/>
        </w:rPr>
        <w:t xml:space="preserve"> companies are viewed as non-cyclical and able to maintain stable growth regardless of the state of the economy. </w:t>
      </w:r>
      <w:bookmarkStart w:id="0" w:name="_GoBack"/>
      <w:bookmarkEnd w:id="0"/>
    </w:p>
    <w:p w14:paraId="4B22C635" w14:textId="77777777" w:rsidR="00E10266" w:rsidRPr="00E10266" w:rsidRDefault="00E10266" w:rsidP="00DC7D38">
      <w:pPr>
        <w:rPr>
          <w:rFonts w:ascii="Times New Roman" w:hAnsi="Times New Roman" w:cs="Times New Roman"/>
          <w:color w:val="111111"/>
          <w:sz w:val="28"/>
          <w:szCs w:val="28"/>
          <w:shd w:val="clear" w:color="auto" w:fill="FFFFFF"/>
        </w:rPr>
      </w:pPr>
    </w:p>
    <w:p w14:paraId="1DDBF866" w14:textId="44D48BDA" w:rsidR="000F4AB7" w:rsidRDefault="00E10266" w:rsidP="00DC7D38">
      <w:pPr>
        <w:rPr>
          <w:rFonts w:ascii="Times New Roman" w:hAnsi="Times New Roman" w:cs="Times New Roman"/>
          <w:noProof/>
          <w:sz w:val="28"/>
          <w:szCs w:val="28"/>
        </w:rPr>
      </w:pPr>
      <w:r w:rsidRPr="00E10266">
        <w:rPr>
          <w:rFonts w:ascii="Times New Roman" w:hAnsi="Times New Roman" w:cs="Times New Roman"/>
          <w:noProof/>
          <w:sz w:val="28"/>
          <w:szCs w:val="28"/>
        </w:rPr>
        <w:lastRenderedPageBreak/>
        <w:t xml:space="preserve">The so-called </w:t>
      </w:r>
      <w:r w:rsidRPr="00640285">
        <w:rPr>
          <w:rFonts w:ascii="Times New Roman" w:hAnsi="Times New Roman" w:cs="Times New Roman"/>
          <w:b/>
          <w:bCs/>
          <w:noProof/>
          <w:sz w:val="28"/>
          <w:szCs w:val="28"/>
        </w:rPr>
        <w:t>technology</w:t>
      </w:r>
      <w:r w:rsidRPr="00E10266">
        <w:rPr>
          <w:rFonts w:ascii="Times New Roman" w:hAnsi="Times New Roman" w:cs="Times New Roman"/>
          <w:noProof/>
          <w:sz w:val="28"/>
          <w:szCs w:val="28"/>
        </w:rPr>
        <w:t xml:space="preserve"> sector refers to companies involved in the researc</w:t>
      </w:r>
      <w:r w:rsidR="00875558">
        <w:rPr>
          <w:rFonts w:ascii="Times New Roman" w:hAnsi="Times New Roman" w:cs="Times New Roman"/>
          <w:noProof/>
          <w:sz w:val="28"/>
          <w:szCs w:val="28"/>
        </w:rPr>
        <w:t>h</w:t>
      </w:r>
      <w:r w:rsidRPr="00E10266">
        <w:rPr>
          <w:rFonts w:ascii="Times New Roman" w:hAnsi="Times New Roman" w:cs="Times New Roman"/>
          <w:noProof/>
          <w:sz w:val="28"/>
          <w:szCs w:val="28"/>
        </w:rPr>
        <w:t>, deve</w:t>
      </w:r>
      <w:r w:rsidR="00875558">
        <w:rPr>
          <w:rFonts w:ascii="Times New Roman" w:hAnsi="Times New Roman" w:cs="Times New Roman"/>
          <w:noProof/>
          <w:sz w:val="28"/>
          <w:szCs w:val="28"/>
        </w:rPr>
        <w:t>l</w:t>
      </w:r>
      <w:r w:rsidRPr="00E10266">
        <w:rPr>
          <w:rFonts w:ascii="Times New Roman" w:hAnsi="Times New Roman" w:cs="Times New Roman"/>
          <w:noProof/>
          <w:sz w:val="28"/>
          <w:szCs w:val="28"/>
        </w:rPr>
        <w:t>opment and/or distribution of technologically based goods and services.The effects of COVID-19  having a significant impact on the technology sector, affecting raw materials supply, disrupting the electronic value chain, and causing an inflati</w:t>
      </w:r>
      <w:r w:rsidR="00875558">
        <w:rPr>
          <w:rFonts w:ascii="Times New Roman" w:hAnsi="Times New Roman" w:cs="Times New Roman"/>
          <w:noProof/>
          <w:sz w:val="28"/>
          <w:szCs w:val="28"/>
        </w:rPr>
        <w:t>o</w:t>
      </w:r>
      <w:r w:rsidRPr="00E10266">
        <w:rPr>
          <w:rFonts w:ascii="Times New Roman" w:hAnsi="Times New Roman" w:cs="Times New Roman"/>
          <w:noProof/>
          <w:sz w:val="28"/>
          <w:szCs w:val="28"/>
        </w:rPr>
        <w:t>nary risk on products. Mor e</w:t>
      </w:r>
      <w:r w:rsidR="00875558">
        <w:rPr>
          <w:rFonts w:ascii="Times New Roman" w:hAnsi="Times New Roman" w:cs="Times New Roman"/>
          <w:noProof/>
          <w:sz w:val="28"/>
          <w:szCs w:val="28"/>
        </w:rPr>
        <w:t xml:space="preserve"> </w:t>
      </w:r>
      <w:r w:rsidRPr="00E10266">
        <w:rPr>
          <w:rFonts w:ascii="Times New Roman" w:hAnsi="Times New Roman" w:cs="Times New Roman"/>
          <w:noProof/>
          <w:sz w:val="28"/>
          <w:szCs w:val="28"/>
        </w:rPr>
        <w:t>positively, the disruption has caused an acceleration of remote working, and a rapid focus on evaluating and de-risking the ene-to-end value chain.</w:t>
      </w:r>
    </w:p>
    <w:p w14:paraId="32BE6096" w14:textId="33AB774B" w:rsidR="00AA450D" w:rsidRDefault="00AA450D" w:rsidP="00DC7D38">
      <w:pPr>
        <w:rPr>
          <w:rFonts w:ascii="Times New Roman" w:hAnsi="Times New Roman" w:cs="Times New Roman"/>
          <w:noProof/>
          <w:sz w:val="28"/>
          <w:szCs w:val="28"/>
        </w:rPr>
      </w:pPr>
      <w:r>
        <w:rPr>
          <w:rFonts w:ascii="Times New Roman" w:hAnsi="Times New Roman" w:cs="Times New Roman"/>
          <w:noProof/>
          <w:sz w:val="28"/>
          <w:szCs w:val="28"/>
        </w:rPr>
        <w:t xml:space="preserve">The use of </w:t>
      </w:r>
      <w:r w:rsidR="00640285">
        <w:rPr>
          <w:rFonts w:ascii="Times New Roman" w:hAnsi="Times New Roman" w:cs="Times New Roman"/>
          <w:b/>
          <w:bCs/>
          <w:noProof/>
          <w:sz w:val="28"/>
          <w:szCs w:val="28"/>
        </w:rPr>
        <w:t>c</w:t>
      </w:r>
      <w:r w:rsidR="00640285" w:rsidRPr="00640285">
        <w:rPr>
          <w:rFonts w:ascii="Times New Roman" w:hAnsi="Times New Roman" w:cs="Times New Roman"/>
          <w:b/>
          <w:bCs/>
          <w:noProof/>
          <w:sz w:val="28"/>
          <w:szCs w:val="28"/>
        </w:rPr>
        <w:t>ommunication</w:t>
      </w:r>
      <w:r w:rsidRPr="00640285">
        <w:rPr>
          <w:rFonts w:ascii="Times New Roman" w:hAnsi="Times New Roman" w:cs="Times New Roman"/>
          <w:b/>
          <w:bCs/>
          <w:noProof/>
          <w:sz w:val="28"/>
          <w:szCs w:val="28"/>
        </w:rPr>
        <w:t xml:space="preserve"> services</w:t>
      </w:r>
      <w:r>
        <w:rPr>
          <w:rFonts w:ascii="Times New Roman" w:hAnsi="Times New Roman" w:cs="Times New Roman"/>
          <w:noProof/>
          <w:sz w:val="28"/>
          <w:szCs w:val="28"/>
        </w:rPr>
        <w:t xml:space="preserve"> increases due either to nationwide lockdown or work-from-home policies. Our daily lives have required more time at home and more usage of data for work and leisure.</w:t>
      </w:r>
    </w:p>
    <w:p w14:paraId="5B420CD7" w14:textId="7E321A3B" w:rsidR="00AA450D" w:rsidRDefault="00AA450D" w:rsidP="00DC7D38">
      <w:pPr>
        <w:rPr>
          <w:rFonts w:ascii="Times New Roman" w:hAnsi="Times New Roman" w:cs="Times New Roman"/>
          <w:noProof/>
          <w:sz w:val="28"/>
          <w:szCs w:val="28"/>
        </w:rPr>
      </w:pPr>
      <w:r w:rsidRPr="00640285">
        <w:rPr>
          <w:rFonts w:ascii="Times New Roman" w:hAnsi="Times New Roman" w:cs="Times New Roman"/>
          <w:b/>
          <w:bCs/>
          <w:noProof/>
          <w:sz w:val="28"/>
          <w:szCs w:val="28"/>
        </w:rPr>
        <w:t>Health care</w:t>
      </w:r>
      <w:r w:rsidR="00875558">
        <w:rPr>
          <w:rFonts w:ascii="Times New Roman" w:hAnsi="Times New Roman" w:cs="Times New Roman"/>
          <w:noProof/>
          <w:sz w:val="28"/>
          <w:szCs w:val="28"/>
        </w:rPr>
        <w:t xml:space="preserve"> has become one of India’s largest sector, both in terms of revenue and employment and also it </w:t>
      </w:r>
      <w:r>
        <w:rPr>
          <w:rFonts w:ascii="Times New Roman" w:hAnsi="Times New Roman" w:cs="Times New Roman"/>
          <w:noProof/>
          <w:sz w:val="28"/>
          <w:szCs w:val="28"/>
        </w:rPr>
        <w:t xml:space="preserve">has been relatively immune from recessions. People get sick during both good and bad times, so demand for </w:t>
      </w:r>
      <w:r w:rsidR="00875558">
        <w:rPr>
          <w:rFonts w:ascii="Times New Roman" w:hAnsi="Times New Roman" w:cs="Times New Roman"/>
          <w:noProof/>
          <w:sz w:val="28"/>
          <w:szCs w:val="28"/>
        </w:rPr>
        <w:t xml:space="preserve">hospitals, medical devices, clinical trials, telemedicine, health insurance and medical equipment are </w:t>
      </w:r>
      <w:r>
        <w:rPr>
          <w:rFonts w:ascii="Times New Roman" w:hAnsi="Times New Roman" w:cs="Times New Roman"/>
          <w:noProof/>
          <w:sz w:val="28"/>
          <w:szCs w:val="28"/>
        </w:rPr>
        <w:t>relatively constant across the business cycle</w:t>
      </w:r>
      <w:r w:rsidR="00875558">
        <w:rPr>
          <w:rFonts w:ascii="Times New Roman" w:hAnsi="Times New Roman" w:cs="Times New Roman"/>
          <w:noProof/>
          <w:sz w:val="28"/>
          <w:szCs w:val="28"/>
        </w:rPr>
        <w:t>.</w:t>
      </w:r>
    </w:p>
    <w:p w14:paraId="5CF9C709" w14:textId="77777777" w:rsidR="00AA450D" w:rsidRPr="00E10266" w:rsidRDefault="00AA450D" w:rsidP="00DC7D38">
      <w:pPr>
        <w:rPr>
          <w:rFonts w:ascii="Times New Roman" w:hAnsi="Times New Roman" w:cs="Times New Roman"/>
          <w:noProof/>
          <w:sz w:val="28"/>
          <w:szCs w:val="28"/>
        </w:rPr>
      </w:pPr>
    </w:p>
    <w:p w14:paraId="547704BD" w14:textId="16329C1D" w:rsidR="00AA6D19" w:rsidRDefault="00AA6D19" w:rsidP="00AA6D19">
      <w:pPr>
        <w:tabs>
          <w:tab w:val="left" w:pos="2205"/>
        </w:tabs>
      </w:pPr>
    </w:p>
    <w:p w14:paraId="7BA8BFBA" w14:textId="71CEFD5D" w:rsidR="00C2525A" w:rsidRDefault="00C2525A" w:rsidP="00AA6D19">
      <w:pPr>
        <w:tabs>
          <w:tab w:val="left" w:pos="2205"/>
        </w:tabs>
      </w:pPr>
    </w:p>
    <w:p w14:paraId="38FD27E6" w14:textId="00B95689" w:rsidR="00C2525A" w:rsidRPr="00C2525A" w:rsidRDefault="00C2525A" w:rsidP="00C2525A"/>
    <w:p w14:paraId="3F3FDC19" w14:textId="5AAD7D11" w:rsidR="00C2525A" w:rsidRPr="00C2525A" w:rsidRDefault="00C2525A" w:rsidP="00C2525A"/>
    <w:p w14:paraId="5623E843" w14:textId="77777777" w:rsidR="00C2525A" w:rsidRPr="00C2525A" w:rsidRDefault="00C2525A" w:rsidP="00C2525A"/>
    <w:p w14:paraId="182DEA6D" w14:textId="68D3904C" w:rsidR="00C2525A" w:rsidRPr="00C2525A" w:rsidRDefault="00C2525A" w:rsidP="00C2525A"/>
    <w:p w14:paraId="3A92D727" w14:textId="77777777" w:rsidR="00C2525A" w:rsidRPr="00C2525A" w:rsidRDefault="00C2525A" w:rsidP="00C2525A"/>
    <w:p w14:paraId="07D365AF" w14:textId="32E120B7" w:rsidR="00C2525A" w:rsidRPr="00C2525A" w:rsidRDefault="00C2525A" w:rsidP="00C2525A"/>
    <w:p w14:paraId="527BB86B" w14:textId="6266DE0B" w:rsidR="00C2525A" w:rsidRPr="00C2525A" w:rsidRDefault="00C2525A" w:rsidP="00C2525A"/>
    <w:p w14:paraId="2081060A" w14:textId="3E6BF973" w:rsidR="00C2525A" w:rsidRPr="00C2525A" w:rsidRDefault="00C2525A" w:rsidP="00C2525A"/>
    <w:p w14:paraId="508F06E8" w14:textId="77777777" w:rsidR="00C2525A" w:rsidRPr="00C2525A" w:rsidRDefault="00C2525A" w:rsidP="00C2525A"/>
    <w:p w14:paraId="5DC25BFC" w14:textId="77777777" w:rsidR="00C2525A" w:rsidRPr="00C2525A" w:rsidRDefault="00C2525A" w:rsidP="00C2525A"/>
    <w:p w14:paraId="02808204" w14:textId="77777777" w:rsidR="00C2525A" w:rsidRPr="00C2525A" w:rsidRDefault="00C2525A" w:rsidP="00C2525A"/>
    <w:p w14:paraId="3D836641" w14:textId="77777777" w:rsidR="00C2525A" w:rsidRDefault="00C2525A" w:rsidP="00AA6D19">
      <w:pPr>
        <w:tabs>
          <w:tab w:val="left" w:pos="2205"/>
        </w:tabs>
      </w:pPr>
    </w:p>
    <w:p w14:paraId="374FACA1" w14:textId="77777777" w:rsidR="00C2525A" w:rsidRDefault="00C2525A" w:rsidP="00AA6D19">
      <w:pPr>
        <w:tabs>
          <w:tab w:val="left" w:pos="2205"/>
        </w:tabs>
      </w:pPr>
    </w:p>
    <w:p w14:paraId="41287E7E" w14:textId="74F6B376" w:rsidR="00AA6D19" w:rsidRPr="00AA6D19" w:rsidRDefault="00C2525A" w:rsidP="00AA6D19">
      <w:pPr>
        <w:tabs>
          <w:tab w:val="left" w:pos="2205"/>
        </w:tabs>
      </w:pPr>
      <w:r>
        <w:br w:type="textWrapping" w:clear="all"/>
      </w:r>
    </w:p>
    <w:sectPr w:rsidR="00AA6D19" w:rsidRPr="00AA6D19" w:rsidSect="00BD3E92">
      <w:headerReference w:type="default" r:id="rId19"/>
      <w:headerReference w:type="first" r:id="rId20"/>
      <w:pgSz w:w="16838" w:h="11906" w:orient="landscape"/>
      <w:pgMar w:top="0" w:right="1440" w:bottom="42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BED0D" w14:textId="77777777" w:rsidR="008911B0" w:rsidRDefault="008911B0" w:rsidP="00754606">
      <w:pPr>
        <w:spacing w:after="0" w:line="240" w:lineRule="auto"/>
      </w:pPr>
      <w:r>
        <w:separator/>
      </w:r>
    </w:p>
  </w:endnote>
  <w:endnote w:type="continuationSeparator" w:id="0">
    <w:p w14:paraId="1CB6473C" w14:textId="77777777" w:rsidR="008911B0" w:rsidRDefault="008911B0" w:rsidP="0075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8BEB2" w14:textId="77777777" w:rsidR="008911B0" w:rsidRDefault="008911B0" w:rsidP="00754606">
      <w:pPr>
        <w:spacing w:after="0" w:line="240" w:lineRule="auto"/>
      </w:pPr>
      <w:r>
        <w:separator/>
      </w:r>
    </w:p>
  </w:footnote>
  <w:footnote w:type="continuationSeparator" w:id="0">
    <w:p w14:paraId="7F4B25C4" w14:textId="77777777" w:rsidR="008911B0" w:rsidRDefault="008911B0" w:rsidP="00754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67FF" w14:textId="0059ACB1" w:rsidR="00754606" w:rsidRPr="00754606" w:rsidRDefault="00754606" w:rsidP="00754606">
    <w:pPr>
      <w:pStyle w:val="Header"/>
      <w:jc w:val="center"/>
      <w:rPr>
        <w:rFonts w:ascii="Times New Roman" w:hAnsi="Times New Roman" w:cs="Times New Roman"/>
        <w:sz w:val="40"/>
        <w:szCs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B338" w14:textId="349A5023" w:rsidR="00754606" w:rsidRPr="00AA6D19" w:rsidRDefault="00AA6D19" w:rsidP="00AA6D19">
    <w:pPr>
      <w:pStyle w:val="Header"/>
      <w:jc w:val="center"/>
      <w:rPr>
        <w:rFonts w:ascii="Times New Roman" w:hAnsi="Times New Roman" w:cs="Times New Roman"/>
        <w:sz w:val="40"/>
        <w:szCs w:val="40"/>
      </w:rPr>
    </w:pPr>
    <w:r w:rsidRPr="00AA6D19">
      <w:rPr>
        <w:rFonts w:ascii="Times New Roman" w:hAnsi="Times New Roman" w:cs="Times New Roman"/>
        <w:sz w:val="40"/>
        <w:szCs w:val="40"/>
      </w:rPr>
      <w:t xml:space="preserve">Market Capital </w:t>
    </w:r>
    <w:r w:rsidR="00C829EA">
      <w:rPr>
        <w:rFonts w:ascii="Times New Roman" w:hAnsi="Times New Roman" w:cs="Times New Roman"/>
        <w:sz w:val="40"/>
        <w:szCs w:val="40"/>
      </w:rPr>
      <w:t>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06"/>
    <w:rsid w:val="000F02CF"/>
    <w:rsid w:val="000F4AB7"/>
    <w:rsid w:val="00235A4A"/>
    <w:rsid w:val="00286A6B"/>
    <w:rsid w:val="00333A42"/>
    <w:rsid w:val="00347A58"/>
    <w:rsid w:val="00371F66"/>
    <w:rsid w:val="00415796"/>
    <w:rsid w:val="004E280F"/>
    <w:rsid w:val="00584AD3"/>
    <w:rsid w:val="00640285"/>
    <w:rsid w:val="00694AFE"/>
    <w:rsid w:val="006C0D05"/>
    <w:rsid w:val="006D5A92"/>
    <w:rsid w:val="00754606"/>
    <w:rsid w:val="007E2E92"/>
    <w:rsid w:val="00875558"/>
    <w:rsid w:val="008911B0"/>
    <w:rsid w:val="009B0440"/>
    <w:rsid w:val="00AA450D"/>
    <w:rsid w:val="00AA6D19"/>
    <w:rsid w:val="00AC6BD1"/>
    <w:rsid w:val="00AE46DF"/>
    <w:rsid w:val="00B24104"/>
    <w:rsid w:val="00B73A9A"/>
    <w:rsid w:val="00BB2B4A"/>
    <w:rsid w:val="00BD3E92"/>
    <w:rsid w:val="00C20850"/>
    <w:rsid w:val="00C2525A"/>
    <w:rsid w:val="00C829EA"/>
    <w:rsid w:val="00CA7FE3"/>
    <w:rsid w:val="00CB0B33"/>
    <w:rsid w:val="00CE1110"/>
    <w:rsid w:val="00D54D66"/>
    <w:rsid w:val="00D84E5F"/>
    <w:rsid w:val="00DC7D38"/>
    <w:rsid w:val="00DE0C4C"/>
    <w:rsid w:val="00E10266"/>
    <w:rsid w:val="00EF706F"/>
    <w:rsid w:val="00F6092A"/>
    <w:rsid w:val="00FF6B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1CC8"/>
  <w15:chartTrackingRefBased/>
  <w15:docId w15:val="{3242B74C-206D-48BA-A0C4-57175622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4606"/>
    <w:rPr>
      <w:color w:val="0000FF"/>
      <w:u w:val="single"/>
    </w:rPr>
  </w:style>
  <w:style w:type="paragraph" w:styleId="Header">
    <w:name w:val="header"/>
    <w:basedOn w:val="Normal"/>
    <w:link w:val="HeaderChar"/>
    <w:uiPriority w:val="99"/>
    <w:unhideWhenUsed/>
    <w:rsid w:val="0075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606"/>
  </w:style>
  <w:style w:type="paragraph" w:styleId="Footer">
    <w:name w:val="footer"/>
    <w:basedOn w:val="Normal"/>
    <w:link w:val="FooterChar"/>
    <w:uiPriority w:val="99"/>
    <w:unhideWhenUsed/>
    <w:rsid w:val="0075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606"/>
  </w:style>
  <w:style w:type="character" w:customStyle="1" w:styleId="ticker-green">
    <w:name w:val="ticker-green"/>
    <w:basedOn w:val="DefaultParagraphFont"/>
    <w:rsid w:val="00C20850"/>
  </w:style>
  <w:style w:type="paragraph" w:styleId="NormalWeb">
    <w:name w:val="Normal (Web)"/>
    <w:basedOn w:val="Normal"/>
    <w:uiPriority w:val="99"/>
    <w:unhideWhenUsed/>
    <w:rsid w:val="00D84E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72427">
      <w:bodyDiv w:val="1"/>
      <w:marLeft w:val="0"/>
      <w:marRight w:val="0"/>
      <w:marTop w:val="0"/>
      <w:marBottom w:val="0"/>
      <w:divBdr>
        <w:top w:val="none" w:sz="0" w:space="0" w:color="auto"/>
        <w:left w:val="none" w:sz="0" w:space="0" w:color="auto"/>
        <w:bottom w:val="none" w:sz="0" w:space="0" w:color="auto"/>
        <w:right w:val="none" w:sz="0" w:space="0" w:color="auto"/>
      </w:divBdr>
      <w:divsChild>
        <w:div w:id="987438623">
          <w:marLeft w:val="0"/>
          <w:marRight w:val="0"/>
          <w:marTop w:val="0"/>
          <w:marBottom w:val="0"/>
          <w:divBdr>
            <w:top w:val="none" w:sz="0" w:space="0" w:color="auto"/>
            <w:left w:val="none" w:sz="0" w:space="0" w:color="auto"/>
            <w:bottom w:val="none" w:sz="0" w:space="0" w:color="auto"/>
            <w:right w:val="none" w:sz="0" w:space="0" w:color="auto"/>
          </w:divBdr>
        </w:div>
      </w:divsChild>
    </w:div>
    <w:div w:id="173784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aram\Downloads\companies_market_ca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ram\Downloads\companies_market_ca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aram\Downloads\companies_market_cap.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tx1">
                    <a:lumMod val="65000"/>
                    <a:lumOff val="35000"/>
                  </a:schemeClr>
                </a:solidFill>
                <a:latin typeface="+mn-lt"/>
                <a:ea typeface="+mn-ea"/>
                <a:cs typeface="+mn-cs"/>
              </a:defRPr>
            </a:pPr>
            <a:r>
              <a:rPr lang="en-US" sz="1400" b="0" cap="none"/>
              <a:t>Market cap added</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Sheet4!$F$1</c:f>
              <c:strCache>
                <c:ptCount val="1"/>
                <c:pt idx="0">
                  <c:v>Market cap added</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204-4B11-BB58-9890CE49AA85}"/>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204-4B11-BB58-9890CE49AA85}"/>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204-4B11-BB58-9890CE49AA85}"/>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9204-4B11-BB58-9890CE49AA85}"/>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9204-4B11-BB58-9890CE49AA85}"/>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9204-4B11-BB58-9890CE49AA85}"/>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9204-4B11-BB58-9890CE49AA85}"/>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9204-4B11-BB58-9890CE49AA85}"/>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9204-4B11-BB58-9890CE49AA85}"/>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9204-4B11-BB58-9890CE49AA85}"/>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9204-4B11-BB58-9890CE49AA85}"/>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9204-4B11-BB58-9890CE49AA85}"/>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9204-4B11-BB58-9890CE49AA85}"/>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9204-4B11-BB58-9890CE49AA85}"/>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9204-4B11-BB58-9890CE49AA85}"/>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9204-4B11-BB58-9890CE49AA85}"/>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9204-4B11-BB58-9890CE49AA85}"/>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9204-4B11-BB58-9890CE49AA85}"/>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9204-4B11-BB58-9890CE49AA85}"/>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3-9204-4B11-BB58-9890CE49AA85}"/>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Sheet4!$B$2:$B$101</c:f>
              <c:strCache>
                <c:ptCount val="10"/>
                <c:pt idx="0">
                  <c:v>T-Mobile US</c:v>
                </c:pt>
                <c:pt idx="1">
                  <c:v>PayPal</c:v>
                </c:pt>
                <c:pt idx="2">
                  <c:v>Alphabet</c:v>
                </c:pt>
                <c:pt idx="3">
                  <c:v>Nvidia</c:v>
                </c:pt>
                <c:pt idx="4">
                  <c:v>Facebook</c:v>
                </c:pt>
                <c:pt idx="5">
                  <c:v>Tencent</c:v>
                </c:pt>
                <c:pt idx="6">
                  <c:v>Tesla</c:v>
                </c:pt>
                <c:pt idx="7">
                  <c:v>Apple</c:v>
                </c:pt>
                <c:pt idx="8">
                  <c:v>Microsoft</c:v>
                </c:pt>
                <c:pt idx="9">
                  <c:v>Amazon</c:v>
                </c:pt>
              </c:strCache>
            </c:strRef>
          </c:cat>
          <c:val>
            <c:numRef>
              <c:f>Sheet4!$F$2:$F$101</c:f>
              <c:numCache>
                <c:formatCode>General</c:formatCode>
                <c:ptCount val="10"/>
                <c:pt idx="0">
                  <c:v>59.7</c:v>
                </c:pt>
                <c:pt idx="1">
                  <c:v>65.400000000000006</c:v>
                </c:pt>
                <c:pt idx="2">
                  <c:v>68.099999999999994</c:v>
                </c:pt>
                <c:pt idx="3">
                  <c:v>83.3</c:v>
                </c:pt>
                <c:pt idx="4">
                  <c:v>85.7</c:v>
                </c:pt>
                <c:pt idx="5">
                  <c:v>93.1</c:v>
                </c:pt>
                <c:pt idx="6">
                  <c:v>108.4</c:v>
                </c:pt>
                <c:pt idx="7">
                  <c:v>219.1</c:v>
                </c:pt>
                <c:pt idx="8">
                  <c:v>269.89999999999998</c:v>
                </c:pt>
                <c:pt idx="9">
                  <c:v>401.1</c:v>
                </c:pt>
              </c:numCache>
            </c:numRef>
          </c:val>
          <c:extLst>
            <c:ext xmlns:c16="http://schemas.microsoft.com/office/drawing/2014/chart" uri="{C3380CC4-5D6E-409C-BE32-E72D297353CC}">
              <c16:uniqueId val="{00000014-9204-4B11-BB58-9890CE49AA85}"/>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baseline="0">
                <a:solidFill>
                  <a:schemeClr val="tx1">
                    <a:lumMod val="65000"/>
                    <a:lumOff val="35000"/>
                  </a:schemeClr>
                </a:solidFill>
                <a:latin typeface="+mn-lt"/>
                <a:ea typeface="+mn-ea"/>
                <a:cs typeface="+mn-cs"/>
              </a:defRPr>
            </a:pPr>
            <a:r>
              <a:rPr lang="en-US" sz="1200" b="0" cap="none">
                <a:latin typeface="Times New Roman" panose="02020603050405020304" pitchFamily="18" charset="0"/>
                <a:cs typeface="Times New Roman" panose="02020603050405020304" pitchFamily="18" charset="0"/>
              </a:rPr>
              <a:t>Change</a:t>
            </a:r>
          </a:p>
        </c:rich>
      </c:tx>
      <c:overlay val="0"/>
      <c:spPr>
        <a:noFill/>
        <a:ln>
          <a:noFill/>
        </a:ln>
        <a:effectLst/>
      </c:spPr>
      <c:txPr>
        <a:bodyPr rot="0" spcFirstLastPara="1" vertOverflow="ellipsis" vert="horz" wrap="square" anchor="ctr" anchorCtr="1"/>
        <a:lstStyle/>
        <a:p>
          <a:pPr>
            <a:defRPr sz="1200" b="0" i="0" u="none" strike="noStrike" kern="1200" cap="none"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Sheet5!$G$1</c:f>
              <c:strCache>
                <c:ptCount val="1"/>
                <c:pt idx="0">
                  <c:v>Change</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F5DF-435C-8ED3-4E1A95300409}"/>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F5DF-435C-8ED3-4E1A95300409}"/>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F5DF-435C-8ED3-4E1A95300409}"/>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F5DF-435C-8ED3-4E1A95300409}"/>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F5DF-435C-8ED3-4E1A95300409}"/>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F5DF-435C-8ED3-4E1A95300409}"/>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F5DF-435C-8ED3-4E1A95300409}"/>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F5DF-435C-8ED3-4E1A95300409}"/>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F5DF-435C-8ED3-4E1A95300409}"/>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F5DF-435C-8ED3-4E1A95300409}"/>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5DF-435C-8ED3-4E1A95300409}"/>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5DF-435C-8ED3-4E1A95300409}"/>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5DF-435C-8ED3-4E1A95300409}"/>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F5DF-435C-8ED3-4E1A95300409}"/>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F5DF-435C-8ED3-4E1A95300409}"/>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F5DF-435C-8ED3-4E1A95300409}"/>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F5DF-435C-8ED3-4E1A95300409}"/>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F5DF-435C-8ED3-4E1A95300409}"/>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F5DF-435C-8ED3-4E1A95300409}"/>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3-F5DF-435C-8ED3-4E1A95300409}"/>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Sheet5!$B$2:$B$101</c:f>
              <c:strCache>
                <c:ptCount val="10"/>
                <c:pt idx="0">
                  <c:v>Wayfair</c:v>
                </c:pt>
                <c:pt idx="1">
                  <c:v>Teladoc Health</c:v>
                </c:pt>
                <c:pt idx="2">
                  <c:v>Tencent</c:v>
                </c:pt>
                <c:pt idx="3">
                  <c:v>Tesla</c:v>
                </c:pt>
                <c:pt idx="4">
                  <c:v>Just Eat Takeaway</c:v>
                </c:pt>
                <c:pt idx="5">
                  <c:v>GSX Techedu</c:v>
                </c:pt>
                <c:pt idx="6">
                  <c:v>Apple</c:v>
                </c:pt>
                <c:pt idx="7">
                  <c:v>Microsoft</c:v>
                </c:pt>
                <c:pt idx="8">
                  <c:v>Amazon</c:v>
                </c:pt>
                <c:pt idx="9">
                  <c:v>International Holdings</c:v>
                </c:pt>
              </c:strCache>
            </c:strRef>
          </c:cat>
          <c:val>
            <c:numRef>
              <c:f>Sheet5!$G$2:$G$101</c:f>
              <c:numCache>
                <c:formatCode>General</c:formatCode>
                <c:ptCount val="10"/>
                <c:pt idx="0">
                  <c:v>128.1</c:v>
                </c:pt>
                <c:pt idx="1">
                  <c:v>136</c:v>
                </c:pt>
                <c:pt idx="2">
                  <c:v>143.80000000000001</c:v>
                </c:pt>
                <c:pt idx="3">
                  <c:v>145.30000000000001</c:v>
                </c:pt>
                <c:pt idx="4">
                  <c:v>159.80000000000001</c:v>
                </c:pt>
                <c:pt idx="5">
                  <c:v>160.1</c:v>
                </c:pt>
                <c:pt idx="6">
                  <c:v>171.1</c:v>
                </c:pt>
                <c:pt idx="7">
                  <c:v>255.1</c:v>
                </c:pt>
                <c:pt idx="8">
                  <c:v>277.60000000000002</c:v>
                </c:pt>
                <c:pt idx="9">
                  <c:v>408.7</c:v>
                </c:pt>
              </c:numCache>
            </c:numRef>
          </c:val>
          <c:extLst>
            <c:ext xmlns:c16="http://schemas.microsoft.com/office/drawing/2014/chart" uri="{C3380CC4-5D6E-409C-BE32-E72D297353CC}">
              <c16:uniqueId val="{00000014-F5DF-435C-8ED3-4E1A95300409}"/>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[companies_market_cap.xlsx]sector_wise_change!PivotTable8</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Percentage of change in sector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57150" dist="19050" dir="5400000" algn="ctr" rotWithShape="0">
              <a:srgbClr val="000000">
                <a:alpha val="63000"/>
              </a:srgbClr>
            </a:outerShdw>
          </a:effectLst>
        </c:spPr>
        <c:marker>
          <c:spPr>
            <a:solidFill>
              <a:schemeClr val="accent1"/>
            </a:solidFill>
            <a:ln w="6350" cap="flat" cmpd="sng" algn="ctr">
              <a:solidFill>
                <a:schemeClr val="accent1"/>
              </a:solidFill>
              <a:prstDash val="solid"/>
              <a:round/>
            </a:ln>
            <a:effectLst>
              <a:outerShdw blurRad="57150" dist="19050" dir="5400000" algn="ctr" rotWithShape="0">
                <a:srgbClr val="000000">
                  <a:alpha val="63000"/>
                </a:srgbClr>
              </a:outerShdw>
            </a:effectLst>
          </c:spPr>
        </c:marker>
        <c:dLbl>
          <c:idx val="0"/>
          <c:dLblPos val="bestFit"/>
          <c:showLegendKey val="0"/>
          <c:showVal val="0"/>
          <c:showCatName val="1"/>
          <c:showSerName val="0"/>
          <c:showPercent val="0"/>
          <c:showBubbleSize val="0"/>
          <c:extLst>
            <c:ext xmlns:c15="http://schemas.microsoft.com/office/drawing/2012/chart" uri="{CE6537A1-D6FC-4f65-9D91-7224C49458BB}"/>
          </c:extLst>
        </c:dLbl>
      </c:pivotFmt>
      <c:pivotFmt>
        <c:idx val="1"/>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5"/>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6"/>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7"/>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8"/>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9"/>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0"/>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1"/>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outerShdw blurRad="57150" dist="19050" dir="5400000" algn="ctr" rotWithShape="0">
              <a:srgbClr val="000000">
                <a:alpha val="63000"/>
              </a:srgbClr>
            </a:outerShdw>
          </a:effectLst>
        </c:spPr>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14"/>
        <c:spPr>
          <a:solidFill>
            <a:schemeClr val="accent1"/>
          </a:solidFill>
          <a:ln>
            <a:noFill/>
          </a:ln>
          <a:effectLst>
            <a:outerShdw blurRad="57150" dist="19050" dir="5400000" algn="ctr" rotWithShape="0">
              <a:srgbClr val="000000">
                <a:alpha val="63000"/>
              </a:srgbClr>
            </a:outerShdw>
          </a:effectLst>
        </c:spPr>
      </c:pivotFmt>
      <c:pivotFmt>
        <c:idx val="15"/>
        <c:spPr>
          <a:solidFill>
            <a:schemeClr val="accent1"/>
          </a:solidFill>
          <a:ln>
            <a:noFill/>
          </a:ln>
          <a:effectLst>
            <a:outerShdw blurRad="57150" dist="19050" dir="5400000" algn="ctr" rotWithShape="0">
              <a:srgbClr val="000000">
                <a:alpha val="63000"/>
              </a:srgbClr>
            </a:outerShdw>
          </a:effectLst>
        </c:spPr>
      </c:pivotFmt>
      <c:pivotFmt>
        <c:idx val="16"/>
        <c:spPr>
          <a:solidFill>
            <a:schemeClr val="accent1"/>
          </a:solidFill>
          <a:ln>
            <a:noFill/>
          </a:ln>
          <a:effectLst>
            <a:outerShdw blurRad="57150" dist="19050" dir="5400000" algn="ctr" rotWithShape="0">
              <a:srgbClr val="000000">
                <a:alpha val="63000"/>
              </a:srgbClr>
            </a:outerShdw>
          </a:effectLst>
        </c:spPr>
      </c:pivotFmt>
      <c:pivotFmt>
        <c:idx val="17"/>
        <c:spPr>
          <a:solidFill>
            <a:schemeClr val="accent1"/>
          </a:solidFill>
          <a:ln>
            <a:noFill/>
          </a:ln>
          <a:effectLst>
            <a:outerShdw blurRad="57150" dist="19050" dir="5400000" algn="ctr" rotWithShape="0">
              <a:srgbClr val="000000">
                <a:alpha val="63000"/>
              </a:srgbClr>
            </a:outerShdw>
          </a:effectLst>
        </c:spPr>
      </c:pivotFmt>
      <c:pivotFmt>
        <c:idx val="18"/>
        <c:spPr>
          <a:solidFill>
            <a:schemeClr val="accent1"/>
          </a:solidFill>
          <a:ln>
            <a:noFill/>
          </a:ln>
          <a:effectLst>
            <a:outerShdw blurRad="57150" dist="19050" dir="5400000" algn="ctr" rotWithShape="0">
              <a:srgbClr val="000000">
                <a:alpha val="63000"/>
              </a:srgbClr>
            </a:outerShdw>
          </a:effectLst>
        </c:spPr>
      </c:pivotFmt>
      <c:pivotFmt>
        <c:idx val="19"/>
        <c:spPr>
          <a:solidFill>
            <a:schemeClr val="accent1"/>
          </a:solidFill>
          <a:ln>
            <a:noFill/>
          </a:ln>
          <a:effectLst>
            <a:outerShdw blurRad="57150" dist="19050" dir="5400000" algn="ctr" rotWithShape="0">
              <a:srgbClr val="000000">
                <a:alpha val="63000"/>
              </a:srgbClr>
            </a:outerShdw>
          </a:effectLst>
        </c:spPr>
      </c:pivotFmt>
      <c:pivotFmt>
        <c:idx val="20"/>
        <c:spPr>
          <a:solidFill>
            <a:schemeClr val="accent1"/>
          </a:solidFill>
          <a:ln>
            <a:noFill/>
          </a:ln>
          <a:effectLst>
            <a:outerShdw blurRad="57150" dist="19050" dir="5400000" algn="ctr" rotWithShape="0">
              <a:srgbClr val="000000">
                <a:alpha val="63000"/>
              </a:srgbClr>
            </a:outerShdw>
          </a:effectLst>
        </c:spPr>
      </c:pivotFmt>
      <c:pivotFmt>
        <c:idx val="21"/>
        <c:spPr>
          <a:solidFill>
            <a:schemeClr val="accent1"/>
          </a:solidFill>
          <a:ln>
            <a:noFill/>
          </a:ln>
          <a:effectLst>
            <a:outerShdw blurRad="57150" dist="19050" dir="5400000" algn="ctr" rotWithShape="0">
              <a:srgbClr val="000000">
                <a:alpha val="63000"/>
              </a:srgbClr>
            </a:outerShdw>
          </a:effectLst>
        </c:spPr>
      </c:pivotFmt>
      <c:pivotFmt>
        <c:idx val="22"/>
        <c:spPr>
          <a:solidFill>
            <a:schemeClr val="accent1"/>
          </a:solidFill>
          <a:ln>
            <a:noFill/>
          </a:ln>
          <a:effectLst>
            <a:outerShdw blurRad="57150" dist="19050" dir="5400000" algn="ctr" rotWithShape="0">
              <a:srgbClr val="000000">
                <a:alpha val="63000"/>
              </a:srgbClr>
            </a:outerShdw>
          </a:effectLst>
        </c:spPr>
      </c:pivotFmt>
      <c:pivotFmt>
        <c:idx val="23"/>
        <c:spPr>
          <a:solidFill>
            <a:schemeClr val="accent1"/>
          </a:solidFill>
          <a:ln>
            <a:noFill/>
          </a:ln>
          <a:effectLst>
            <a:outerShdw blurRad="57150" dist="19050" dir="5400000" algn="ctr" rotWithShape="0">
              <a:srgbClr val="000000">
                <a:alpha val="63000"/>
              </a:srgbClr>
            </a:outerShdw>
          </a:effectLst>
        </c:spPr>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25"/>
        <c:spPr>
          <a:solidFill>
            <a:schemeClr val="accent1"/>
          </a:solidFill>
          <a:ln>
            <a:noFill/>
          </a:ln>
          <a:effectLst>
            <a:outerShdw blurRad="57150" dist="19050" dir="5400000" algn="ctr" rotWithShape="0">
              <a:srgbClr val="000000">
                <a:alpha val="63000"/>
              </a:srgbClr>
            </a:outerShdw>
          </a:effectLst>
        </c:spPr>
      </c:pivotFmt>
      <c:pivotFmt>
        <c:idx val="26"/>
        <c:spPr>
          <a:solidFill>
            <a:schemeClr val="accent1"/>
          </a:solidFill>
          <a:ln>
            <a:noFill/>
          </a:ln>
          <a:effectLst>
            <a:outerShdw blurRad="57150" dist="19050" dir="5400000" algn="ctr" rotWithShape="0">
              <a:srgbClr val="000000">
                <a:alpha val="63000"/>
              </a:srgbClr>
            </a:outerShdw>
          </a:effectLst>
        </c:spPr>
      </c:pivotFmt>
      <c:pivotFmt>
        <c:idx val="27"/>
        <c:spPr>
          <a:solidFill>
            <a:schemeClr val="accent1"/>
          </a:solidFill>
          <a:ln>
            <a:noFill/>
          </a:ln>
          <a:effectLst>
            <a:outerShdw blurRad="57150" dist="19050" dir="5400000" algn="ctr" rotWithShape="0">
              <a:srgbClr val="000000">
                <a:alpha val="63000"/>
              </a:srgbClr>
            </a:outerShdw>
          </a:effectLst>
        </c:spPr>
      </c:pivotFmt>
      <c:pivotFmt>
        <c:idx val="28"/>
        <c:spPr>
          <a:solidFill>
            <a:schemeClr val="accent1"/>
          </a:solidFill>
          <a:ln>
            <a:noFill/>
          </a:ln>
          <a:effectLst>
            <a:outerShdw blurRad="57150" dist="19050" dir="5400000" algn="ctr" rotWithShape="0">
              <a:srgbClr val="000000">
                <a:alpha val="63000"/>
              </a:srgbClr>
            </a:outerShdw>
          </a:effectLst>
        </c:spPr>
      </c:pivotFmt>
      <c:pivotFmt>
        <c:idx val="29"/>
        <c:spPr>
          <a:solidFill>
            <a:schemeClr val="accent1"/>
          </a:solidFill>
          <a:ln>
            <a:noFill/>
          </a:ln>
          <a:effectLst>
            <a:outerShdw blurRad="57150" dist="19050" dir="5400000" algn="ctr" rotWithShape="0">
              <a:srgbClr val="000000">
                <a:alpha val="63000"/>
              </a:srgbClr>
            </a:outerShdw>
          </a:effectLst>
        </c:spPr>
      </c:pivotFmt>
      <c:pivotFmt>
        <c:idx val="30"/>
        <c:spPr>
          <a:solidFill>
            <a:schemeClr val="accent1"/>
          </a:solidFill>
          <a:ln>
            <a:noFill/>
          </a:ln>
          <a:effectLst>
            <a:outerShdw blurRad="57150" dist="19050" dir="5400000" algn="ctr" rotWithShape="0">
              <a:srgbClr val="000000">
                <a:alpha val="63000"/>
              </a:srgbClr>
            </a:outerShdw>
          </a:effectLst>
        </c:spPr>
      </c:pivotFmt>
      <c:pivotFmt>
        <c:idx val="31"/>
        <c:spPr>
          <a:solidFill>
            <a:schemeClr val="accent1"/>
          </a:solidFill>
          <a:ln>
            <a:noFill/>
          </a:ln>
          <a:effectLst>
            <a:outerShdw blurRad="57150" dist="19050" dir="5400000" algn="ctr" rotWithShape="0">
              <a:srgbClr val="000000">
                <a:alpha val="63000"/>
              </a:srgbClr>
            </a:outerShdw>
          </a:effectLst>
        </c:spPr>
      </c:pivotFmt>
      <c:pivotFmt>
        <c:idx val="32"/>
        <c:spPr>
          <a:solidFill>
            <a:schemeClr val="accent1"/>
          </a:solidFill>
          <a:ln>
            <a:noFill/>
          </a:ln>
          <a:effectLst>
            <a:outerShdw blurRad="57150" dist="19050" dir="5400000" algn="ctr" rotWithShape="0">
              <a:srgbClr val="000000">
                <a:alpha val="63000"/>
              </a:srgbClr>
            </a:outerShdw>
          </a:effectLst>
        </c:spPr>
      </c:pivotFmt>
      <c:pivotFmt>
        <c:idx val="33"/>
        <c:spPr>
          <a:solidFill>
            <a:schemeClr val="accent1"/>
          </a:solidFill>
          <a:ln>
            <a:noFill/>
          </a:ln>
          <a:effectLst>
            <a:outerShdw blurRad="57150" dist="19050" dir="5400000" algn="ctr" rotWithShape="0">
              <a:srgbClr val="000000">
                <a:alpha val="63000"/>
              </a:srgbClr>
            </a:outerShdw>
          </a:effectLst>
        </c:spPr>
      </c:pivotFmt>
      <c:pivotFmt>
        <c:idx val="34"/>
        <c:spPr>
          <a:solidFill>
            <a:schemeClr val="accent1"/>
          </a:solidFill>
          <a:ln>
            <a:noFill/>
          </a:ln>
          <a:effectLst>
            <a:outerShdw blurRad="57150" dist="19050" dir="5400000" algn="ctr" rotWithShape="0">
              <a:srgbClr val="000000">
                <a:alpha val="63000"/>
              </a:srgbClr>
            </a:outerShdw>
          </a:effectLst>
        </c:spPr>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Lst>
        </c:dLbl>
      </c:pivotFmt>
      <c:pivotFmt>
        <c:idx val="36"/>
        <c:spPr>
          <a:solidFill>
            <a:schemeClr val="accent1"/>
          </a:solidFill>
          <a:ln>
            <a:noFill/>
          </a:ln>
          <a:effectLst>
            <a:outerShdw blurRad="57150" dist="19050" dir="5400000" algn="ctr" rotWithShape="0">
              <a:srgbClr val="000000">
                <a:alpha val="63000"/>
              </a:srgbClr>
            </a:outerShdw>
          </a:effectLst>
        </c:spPr>
      </c:pivotFmt>
      <c:pivotFmt>
        <c:idx val="37"/>
        <c:spPr>
          <a:solidFill>
            <a:schemeClr val="accent1"/>
          </a:solidFill>
          <a:ln>
            <a:noFill/>
          </a:ln>
          <a:effectLst>
            <a:outerShdw blurRad="57150" dist="19050" dir="5400000" algn="ctr" rotWithShape="0">
              <a:srgbClr val="000000">
                <a:alpha val="63000"/>
              </a:srgbClr>
            </a:outerShdw>
          </a:effectLst>
        </c:spPr>
      </c:pivotFmt>
      <c:pivotFmt>
        <c:idx val="38"/>
        <c:spPr>
          <a:solidFill>
            <a:schemeClr val="accent1"/>
          </a:solidFill>
          <a:ln>
            <a:noFill/>
          </a:ln>
          <a:effectLst>
            <a:outerShdw blurRad="57150" dist="19050" dir="5400000" algn="ctr" rotWithShape="0">
              <a:srgbClr val="000000">
                <a:alpha val="63000"/>
              </a:srgbClr>
            </a:outerShdw>
          </a:effectLst>
        </c:spPr>
      </c:pivotFmt>
      <c:pivotFmt>
        <c:idx val="39"/>
        <c:spPr>
          <a:solidFill>
            <a:schemeClr val="accent1"/>
          </a:solidFill>
          <a:ln>
            <a:noFill/>
          </a:ln>
          <a:effectLst>
            <a:outerShdw blurRad="57150" dist="19050" dir="5400000" algn="ctr" rotWithShape="0">
              <a:srgbClr val="000000">
                <a:alpha val="63000"/>
              </a:srgbClr>
            </a:outerShdw>
          </a:effectLst>
        </c:spPr>
      </c:pivotFmt>
      <c:pivotFmt>
        <c:idx val="40"/>
        <c:spPr>
          <a:solidFill>
            <a:schemeClr val="accent1"/>
          </a:solidFill>
          <a:ln>
            <a:noFill/>
          </a:ln>
          <a:effectLst>
            <a:outerShdw blurRad="57150" dist="19050" dir="5400000" algn="ctr" rotWithShape="0">
              <a:srgbClr val="000000">
                <a:alpha val="63000"/>
              </a:srgbClr>
            </a:outerShdw>
          </a:effectLst>
        </c:spPr>
      </c:pivotFmt>
      <c:pivotFmt>
        <c:idx val="41"/>
        <c:spPr>
          <a:solidFill>
            <a:schemeClr val="accent1"/>
          </a:solidFill>
          <a:ln>
            <a:noFill/>
          </a:ln>
          <a:effectLst>
            <a:outerShdw blurRad="57150" dist="19050" dir="5400000" algn="ctr" rotWithShape="0">
              <a:srgbClr val="000000">
                <a:alpha val="63000"/>
              </a:srgbClr>
            </a:outerShdw>
          </a:effectLst>
        </c:spPr>
      </c:pivotFmt>
      <c:pivotFmt>
        <c:idx val="42"/>
        <c:spPr>
          <a:solidFill>
            <a:schemeClr val="accent1"/>
          </a:solidFill>
          <a:ln>
            <a:noFill/>
          </a:ln>
          <a:effectLst>
            <a:outerShdw blurRad="57150" dist="19050" dir="5400000" algn="ctr" rotWithShape="0">
              <a:srgbClr val="000000">
                <a:alpha val="63000"/>
              </a:srgbClr>
            </a:outerShdw>
          </a:effectLst>
        </c:spPr>
      </c:pivotFmt>
      <c:pivotFmt>
        <c:idx val="43"/>
        <c:spPr>
          <a:solidFill>
            <a:schemeClr val="accent1"/>
          </a:solidFill>
          <a:ln>
            <a:noFill/>
          </a:ln>
          <a:effectLst>
            <a:outerShdw blurRad="57150" dist="19050" dir="5400000" algn="ctr" rotWithShape="0">
              <a:srgbClr val="000000">
                <a:alpha val="63000"/>
              </a:srgbClr>
            </a:outerShdw>
          </a:effectLst>
        </c:spPr>
      </c:pivotFmt>
      <c:pivotFmt>
        <c:idx val="44"/>
        <c:spPr>
          <a:solidFill>
            <a:schemeClr val="accent1"/>
          </a:solidFill>
          <a:ln>
            <a:noFill/>
          </a:ln>
          <a:effectLst>
            <a:outerShdw blurRad="57150" dist="19050" dir="5400000" algn="ctr" rotWithShape="0">
              <a:srgbClr val="000000">
                <a:alpha val="63000"/>
              </a:srgbClr>
            </a:outerShdw>
          </a:effectLst>
        </c:spPr>
      </c:pivotFmt>
      <c:pivotFmt>
        <c:idx val="45"/>
        <c:spPr>
          <a:solidFill>
            <a:schemeClr val="accent1"/>
          </a:solidFill>
          <a:ln>
            <a:noFill/>
          </a:ln>
          <a:effectLst>
            <a:outerShdw blurRad="57150" dist="19050" dir="5400000" algn="ctr" rotWithShape="0">
              <a:srgbClr val="000000">
                <a:alpha val="63000"/>
              </a:srgbClr>
            </a:outerShdw>
          </a:effectLst>
        </c:spPr>
      </c:pivotFmt>
    </c:pivotFmts>
    <c:plotArea>
      <c:layout/>
      <c:pieChart>
        <c:varyColors val="1"/>
        <c:ser>
          <c:idx val="0"/>
          <c:order val="0"/>
          <c:tx>
            <c:strRef>
              <c:f>sector_wise_change!$B$1</c:f>
              <c:strCache>
                <c:ptCount val="1"/>
                <c:pt idx="0">
                  <c:v>Total</c:v>
                </c:pt>
              </c:strCache>
            </c:strRef>
          </c:tx>
          <c:dPt>
            <c:idx val="0"/>
            <c:bubble3D val="0"/>
            <c:spPr>
              <a:solidFill>
                <a:schemeClr val="accent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47D-43DC-B505-5F2032FE40CF}"/>
              </c:ext>
            </c:extLst>
          </c:dPt>
          <c:dPt>
            <c:idx val="1"/>
            <c:bubble3D val="0"/>
            <c:spPr>
              <a:solidFill>
                <a:schemeClr val="accent2"/>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47D-43DC-B505-5F2032FE40CF}"/>
              </c:ext>
            </c:extLst>
          </c:dPt>
          <c:dPt>
            <c:idx val="2"/>
            <c:bubble3D val="0"/>
            <c:spPr>
              <a:solidFill>
                <a:schemeClr val="accent3"/>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347D-43DC-B505-5F2032FE40CF}"/>
              </c:ext>
            </c:extLst>
          </c:dPt>
          <c:dPt>
            <c:idx val="3"/>
            <c:bubble3D val="0"/>
            <c:spPr>
              <a:solidFill>
                <a:schemeClr val="accent4"/>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347D-43DC-B505-5F2032FE40CF}"/>
              </c:ext>
            </c:extLst>
          </c:dPt>
          <c:dPt>
            <c:idx val="4"/>
            <c:bubble3D val="0"/>
            <c:spPr>
              <a:solidFill>
                <a:schemeClr val="accent5"/>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347D-43DC-B505-5F2032FE40CF}"/>
              </c:ext>
            </c:extLst>
          </c:dPt>
          <c:dPt>
            <c:idx val="5"/>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347D-43DC-B505-5F2032FE40CF}"/>
              </c:ext>
            </c:extLst>
          </c:dPt>
          <c:dPt>
            <c:idx val="6"/>
            <c:bubble3D val="0"/>
            <c:spPr>
              <a:solidFill>
                <a:schemeClr val="accent1">
                  <a:lumMod val="6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347D-43DC-B505-5F2032FE40CF}"/>
              </c:ext>
            </c:extLst>
          </c:dPt>
          <c:dPt>
            <c:idx val="7"/>
            <c:bubble3D val="0"/>
            <c:spPr>
              <a:solidFill>
                <a:schemeClr val="accent2">
                  <a:lumMod val="6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347D-43DC-B505-5F2032FE40CF}"/>
              </c:ext>
            </c:extLst>
          </c:dPt>
          <c:dPt>
            <c:idx val="8"/>
            <c:bubble3D val="0"/>
            <c:spPr>
              <a:solidFill>
                <a:schemeClr val="accent3">
                  <a:lumMod val="6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347D-43DC-B505-5F2032FE40CF}"/>
              </c:ext>
            </c:extLst>
          </c:dPt>
          <c:dPt>
            <c:idx val="9"/>
            <c:bubble3D val="0"/>
            <c:spPr>
              <a:solidFill>
                <a:schemeClr val="accent4">
                  <a:lumMod val="6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347D-43DC-B505-5F2032FE40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prstDash val="solid"/>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sector_wise_change!$A$2:$A$12</c:f>
              <c:strCache>
                <c:ptCount val="10"/>
                <c:pt idx="0">
                  <c:v>Communication services</c:v>
                </c:pt>
                <c:pt idx="1">
                  <c:v>Consumer discretionary</c:v>
                </c:pt>
                <c:pt idx="2">
                  <c:v>Consumer staples</c:v>
                </c:pt>
                <c:pt idx="3">
                  <c:v>Energy</c:v>
                </c:pt>
                <c:pt idx="4">
                  <c:v>Financials</c:v>
                </c:pt>
                <c:pt idx="5">
                  <c:v>Healthcare</c:v>
                </c:pt>
                <c:pt idx="6">
                  <c:v>Industrials</c:v>
                </c:pt>
                <c:pt idx="7">
                  <c:v>Materials</c:v>
                </c:pt>
                <c:pt idx="8">
                  <c:v>Real estate</c:v>
                </c:pt>
                <c:pt idx="9">
                  <c:v>Technology</c:v>
                </c:pt>
              </c:strCache>
            </c:strRef>
          </c:cat>
          <c:val>
            <c:numRef>
              <c:f>sector_wise_change!$B$2:$B$12</c:f>
              <c:numCache>
                <c:formatCode>General</c:formatCode>
                <c:ptCount val="10"/>
                <c:pt idx="0">
                  <c:v>745.69999999999993</c:v>
                </c:pt>
                <c:pt idx="1">
                  <c:v>1723.1999999999998</c:v>
                </c:pt>
                <c:pt idx="2">
                  <c:v>562.09999999999991</c:v>
                </c:pt>
                <c:pt idx="3">
                  <c:v>7.2</c:v>
                </c:pt>
                <c:pt idx="4">
                  <c:v>17.8</c:v>
                </c:pt>
                <c:pt idx="5">
                  <c:v>1017.1999999999998</c:v>
                </c:pt>
                <c:pt idx="6">
                  <c:v>121.4</c:v>
                </c:pt>
                <c:pt idx="7">
                  <c:v>102.3</c:v>
                </c:pt>
                <c:pt idx="8">
                  <c:v>126.4</c:v>
                </c:pt>
                <c:pt idx="9">
                  <c:v>1516.2</c:v>
                </c:pt>
              </c:numCache>
            </c:numRef>
          </c:val>
          <c:extLst>
            <c:ext xmlns:c16="http://schemas.microsoft.com/office/drawing/2014/chart" uri="{C3380CC4-5D6E-409C-BE32-E72D297353CC}">
              <c16:uniqueId val="{00000014-347D-43DC-B505-5F2032FE40C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7">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10</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Ramaswamy Ramakrishnan</dc:creator>
  <cp:keywords/>
  <dc:description/>
  <cp:lastModifiedBy>Ramaswamy Ramakrishnan</cp:lastModifiedBy>
  <cp:revision>6</cp:revision>
  <dcterms:created xsi:type="dcterms:W3CDTF">2020-08-06T16:17:00Z</dcterms:created>
  <dcterms:modified xsi:type="dcterms:W3CDTF">2020-08-07T14:24:00Z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2020-08-06T16:17:58Z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912b1687-927d-4355-9fbe-0000d43b1c1e</vt:lpwstr>
  </property>
  <property fmtid="{D5CDD505-2E9C-101B-9397-08002B2CF9AE}" pid="8" name="MSIP_Label_4b5591f2-6b23-403d-aa5f-b6d577f5e572_ContentBits">
    <vt:lpwstr>0</vt:lpwstr>
  </property>
</Properties>
</file>