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Figures and Tables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1. HTE system diagram for the entire network. Gray dotted lines indicate components removed for Operation Mercury intervention case (Mo). Black indicates base case (M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), orange is the technological intervention case (M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), blue is the market intervention case (M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), and red is the legal intervention case (M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943600" cy="4519295"/>
            <wp:effectExtent b="0" l="0" r="0" t="0"/>
            <wp:docPr id="19922286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1. Components used in constructing HTE matrix. Asterisks indicate components not present in base matrix but added in intervention matrices (see Table 2). 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1558"/>
        <w:gridCol w:w="1559"/>
        <w:gridCol w:w="3117"/>
        <w:tblGridChange w:id="0">
          <w:tblGrid>
            <w:gridCol w:w="3116"/>
            <w:gridCol w:w="1558"/>
            <w:gridCol w:w="1559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Human Components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Technical Components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Environmental Components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H1. ASGM miners (low mechanized)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H2. ASGM miners (highly mechanized)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H3. Lowland Indigenous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H4. Highland indigenous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H5. Other community members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H6. Hg supply chain participants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H7. Gold processors 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H8. Gold buyers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H9. Faraway population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*H10. Certified gold buyers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T1. Interoceanic highway 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T2. Lower level mechanized mining equipment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T3. Higher level mechanized mining equipment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T4. Ore (gold-containing)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T5. Mercury used in ASGM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T6. Large-scale gold processing equipment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T7. Amalgam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T8. Field-based amalgam separation technology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T9. Shop-based amalgam processing equipment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*T10. Mercury capture devices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T11. Gold (commercial)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*T12. Field-based mercury-free separation technology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*T13. Certified gold (commercial)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E1. Madre de Dios River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E2. Lower elevation mining sites inside and outside the corridor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E3. Higher elevation mining sites inside and outside the corridor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E4. Mining sites in High Amazon 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E5. Ecosystems in and near mining sites 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E6. Faraway ecosystems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E7. Atmosphere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Institutional Components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Knowledge Components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I1.*Minamata Convention on Mercury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I2. Mercury markets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I3. Gold Markets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I4. Norms and customs surrounding mining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I5. Partnership agreements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I6. South America Infrastructure Initiative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I7. *Formalized mining laws and regulations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I8. *Clean gold certification criteria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K1. Gold extraction techniques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K2. Health impacts from mercury exposure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K3. Health protection techniques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K4. Mercury concentrations in the environment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K5. Environmental impacts from mercury discharges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*K6. Mercury-free mining practices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*K7. Low-mercury mining practices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2. List of interventions analyzed using the HTE framework.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1"/>
        <w:gridCol w:w="2594"/>
        <w:gridCol w:w="3036"/>
        <w:gridCol w:w="2659"/>
        <w:tblGridChange w:id="0">
          <w:tblGrid>
            <w:gridCol w:w="1061"/>
            <w:gridCol w:w="2594"/>
            <w:gridCol w:w="3036"/>
            <w:gridCol w:w="2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Intervention category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(intervener)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Matrix representation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case - no intervention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Base case representation of ASGM system in Madre de Dios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Physical disruption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 Mercury (Peru government)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Removal of component “Mining sites in La Pampa” (E3)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Technology-focused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 and dissemination of mercury capture devices, mercury-free mining methods and locally-targeted capacity building (Outside experts)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technical components (T10 and T12), knowledge components (K6 and K7), and associated interactions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Market-based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 gold certification (standard authority)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 upon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added new institutional component (certification standard); new technical component (certified gold); new human components (certified gold buyers)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Minamata Convention (Conference of Parties); Formalization of miners (Peru government)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 upon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added new institutional component “Minamata Convention”; New institutional component reflecting formalized mining laws; additional interactions reflecting Minamata provisions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3: Analyzed pathways and components relevant to sustainability aspects</w:t>
      </w:r>
    </w:p>
    <w:tbl>
      <w:tblPr>
        <w:tblStyle w:val="Table3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5"/>
        <w:gridCol w:w="3150"/>
        <w:tblGridChange w:id="0">
          <w:tblGrid>
            <w:gridCol w:w="6115"/>
            <w:gridCol w:w="3150"/>
          </w:tblGrid>
        </w:tblGridChange>
      </w:tblGrid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Selection of analyzed pathways and components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Sustainability aspects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Pathways between H1/H2 (ASGM miners) and gold buyers (H8/*H10); pathways influencing and centrality measures of gold (T11)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Livelihood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ability to earn income and maintain livelihoods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Pathways influencing (H3/H4) Indigenous peoples and (H5) other community members; pathways influencing and centrality measures of H1/H2/H3/H4/H5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Societal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impacts on non-mining populations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Pathways between mercury used in ASGM (T5) and faraway ecosystems (E6); Pathways influencing and centrality measures of ecosystems in and near mining sites (E5), centrality measures of mercury used in ASGM (T5)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Environmental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local and long-range impacts on ecosystems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2. Change in centrality measures under Operation Mercury.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529455"/>
            <wp:effectExtent b="0" l="0" r="0" t="0"/>
            <wp:docPr descr="A graph of different colored lines&#10;&#10;Description automatically generated" id="1992228618" name="image5.png"/>
            <a:graphic>
              <a:graphicData uri="http://schemas.openxmlformats.org/drawingml/2006/picture">
                <pic:pic>
                  <pic:nvPicPr>
                    <pic:cNvPr descr="A graph of different colored lines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3. Change in Centrality for Combined Technology-Market-Legal Interventions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224020"/>
            <wp:effectExtent b="0" l="0" r="0" t="0"/>
            <wp:docPr descr="A graph of a number of bars&#10;&#10;Description automatically generated with medium confidence" id="1992228617" name="image1.png"/>
            <a:graphic>
              <a:graphicData uri="http://schemas.openxmlformats.org/drawingml/2006/picture">
                <pic:pic>
                  <pic:nvPicPr>
                    <pic:cNvPr descr="A graph of a number of bars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4. Change in centrality for intervention cases.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Information: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S1: Quantitative measures for selected nodes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case.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values indicated in red. </w:t>
      </w:r>
    </w:p>
    <w:tbl>
      <w:tblPr>
        <w:tblStyle w:val="Table4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1218"/>
        <w:gridCol w:w="1750"/>
        <w:gridCol w:w="1297"/>
        <w:gridCol w:w="1630"/>
        <w:tblGridChange w:id="0">
          <w:tblGrid>
            <w:gridCol w:w="1585"/>
            <w:gridCol w:w="1218"/>
            <w:gridCol w:w="1750"/>
            <w:gridCol w:w="1297"/>
            <w:gridCol w:w="16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Degree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Betweenness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upstream nodes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downstream nodes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0.310345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0.144191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0.073686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0.038342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0.022989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0.149815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0.241379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0.093103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0.027094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0.37931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0.2047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0.068966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0.027094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S2: Quantitative measures for selected nodes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operation Hg intervention.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values indicated in red. </w:t>
      </w:r>
    </w:p>
    <w:tbl>
      <w:tblPr>
        <w:tblStyle w:val="Table5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1218"/>
        <w:gridCol w:w="1750"/>
        <w:gridCol w:w="1297"/>
        <w:gridCol w:w="1630"/>
        <w:tblGridChange w:id="0">
          <w:tblGrid>
            <w:gridCol w:w="1585"/>
            <w:gridCol w:w="1218"/>
            <w:gridCol w:w="1750"/>
            <w:gridCol w:w="1297"/>
            <w:gridCol w:w="16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Degree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Betweenness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upstream nodes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downstream nodes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0.321429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0.134921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0.285714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0.075463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0.214286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0.039859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0.178571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0.023369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0.178571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0.141777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0.096781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0.178571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0.027778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0.357143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0.196759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0.071429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0.027778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S3: Quantitative measures for selected nodes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technology intervention (network M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values indicated in 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1218"/>
        <w:gridCol w:w="1750"/>
        <w:gridCol w:w="1297"/>
        <w:gridCol w:w="1630"/>
        <w:tblGridChange w:id="0">
          <w:tblGrid>
            <w:gridCol w:w="1585"/>
            <w:gridCol w:w="1218"/>
            <w:gridCol w:w="1750"/>
            <w:gridCol w:w="1297"/>
            <w:gridCol w:w="16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Degree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Betweenness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upstream nodes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downstream nodes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0.344828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0.180357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0.074507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0.038342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0.023912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0.154454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0.136084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0.029557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0.37931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0.207081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0.068966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0.028325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S4: Quantitative measures for selected nodes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market-based+technology intervention.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values indicated in red.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1218"/>
        <w:gridCol w:w="1750"/>
        <w:gridCol w:w="1297"/>
        <w:gridCol w:w="1630"/>
        <w:tblGridChange w:id="0">
          <w:tblGrid>
            <w:gridCol w:w="1585"/>
            <w:gridCol w:w="1218"/>
            <w:gridCol w:w="1750"/>
            <w:gridCol w:w="1297"/>
            <w:gridCol w:w="16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Degree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Betweenness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upstream nodes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downstream nodes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0.37931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0.217303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0.074507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0.038342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0.023912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0.171695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0.145936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0.029557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0.37931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0.219397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0.068966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0.028325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S5: Quantitative measures for selected nodes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legal/market/tech intervention.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values indicated in red.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5"/>
        <w:gridCol w:w="1218"/>
        <w:gridCol w:w="1750"/>
        <w:gridCol w:w="1297"/>
        <w:gridCol w:w="1630"/>
        <w:tblGridChange w:id="0">
          <w:tblGrid>
            <w:gridCol w:w="1585"/>
            <w:gridCol w:w="1218"/>
            <w:gridCol w:w="1750"/>
            <w:gridCol w:w="1297"/>
            <w:gridCol w:w="16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Degree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Betweenness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upstream nodes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 of downstream nodes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0.413793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0.217303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0.074507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0.206897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0.038342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0.023912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0.172414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0.171695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0.275862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0.145936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0.241379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0.029557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0.37931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0.219397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0000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Helvetica Neue" w:cs="Helvetica Neue" w:eastAsia="Helvetica Neue" w:hAnsi="Helvetica Neue"/>
                <w:b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0.068966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0.028325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S6. Number of simple paths between pairs of nodes under each intervention (% change)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080"/>
        <w:gridCol w:w="720"/>
        <w:gridCol w:w="1451"/>
        <w:gridCol w:w="1249"/>
        <w:gridCol w:w="1440"/>
        <w:gridCol w:w="1890"/>
        <w:tblGridChange w:id="0">
          <w:tblGrid>
            <w:gridCol w:w="1435"/>
            <w:gridCol w:w="1080"/>
            <w:gridCol w:w="720"/>
            <w:gridCol w:w="1451"/>
            <w:gridCol w:w="1249"/>
            <w:gridCol w:w="144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Operation Hg (% change from base)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Tech (% change from base)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Tech+Market (% change from tech)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Tech+Market+Legal (% change from market)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Livelihood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149(-26%)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378(89%)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379(0%)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1177(211%)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183(-22%)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572(143%)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611(7%)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2415(295%)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Societal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132(-25%)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214(22%)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214(0%)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378(77%)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113(-29%)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213(33%)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213(0%)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453(113%)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36(-25%)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62(29%)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62(0%)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122(97%)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73(-30%)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206(96%)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206(0%)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516(150%)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161(-30%)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457(99%)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457(0%)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1175(157%)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77(-31%)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246(122%)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246(0%)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672(173%)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156(-25%)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280(35%)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280(0%)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536(91%)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73(-29%)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170(65%)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170(0%)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402(136%)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42(-22%)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80(48%)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80(0%)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176(120%)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Environmental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59(-28%)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107(30%)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107(0%)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227(112%)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117(-26%)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291(83%)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291(0%)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823(183%)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19(-17%)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23(0%)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23(0%)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31(35%)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17(-19%)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51(143%)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51(0%)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143(180%)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E5</w:t>
            </w: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3(0%)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7(133%)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7(0%)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0"/>
                <w:szCs w:val="20"/>
                <w:rtl w:val="0"/>
              </w:rPr>
              <w:t xml:space="preserve">19(171%)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S1. Centrality change for technical interventions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4735830"/>
            <wp:effectExtent b="0" l="0" r="0" t="0"/>
            <wp:docPr descr="A graph of different colored lines&#10;&#10;Description automatically generated" id="1992228620" name="image3.png"/>
            <a:graphic>
              <a:graphicData uri="http://schemas.openxmlformats.org/drawingml/2006/picture">
                <pic:pic>
                  <pic:nvPicPr>
                    <pic:cNvPr descr="A graph of different colored lines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S2. Market interventions centrality change (change in centrality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73882" cy="3856927"/>
            <wp:effectExtent b="0" l="0" r="0" t="0"/>
            <wp:docPr descr="A graph of a graph with numbers and lines&#10;&#10;Description automatically generated with medium confidence" id="1992228619" name="image2.png"/>
            <a:graphic>
              <a:graphicData uri="http://schemas.openxmlformats.org/drawingml/2006/picture">
                <pic:pic>
                  <pic:nvPicPr>
                    <pic:cNvPr descr="A graph of a graph with numbers and lines&#10;&#10;Description automatically generated with medium confidenc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882" cy="385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S3. Legal interventions centrality change (change in centrality 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-M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61287" cy="3583242"/>
            <wp:effectExtent b="0" l="0" r="0" t="0"/>
            <wp:docPr descr="A graph with blue and orange lines&#10;&#10;Description automatically generated" id="1992228615" name="image6.png"/>
            <a:graphic>
              <a:graphicData uri="http://schemas.openxmlformats.org/drawingml/2006/picture">
                <pic:pic>
                  <pic:nvPicPr>
                    <pic:cNvPr descr="A graph with blue and orange lines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287" cy="358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36A5A"/>
  </w:style>
  <w:style w:type="paragraph" w:styleId="Heading1">
    <w:name w:val="heading 1"/>
    <w:basedOn w:val="Normal"/>
    <w:next w:val="Normal"/>
    <w:link w:val="Heading1Char"/>
    <w:uiPriority w:val="9"/>
    <w:qFormat w:val="1"/>
    <w:rsid w:val="003C49E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C49E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C49E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C49E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C49E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C49E4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C49E4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C49E4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C49E4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C49E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C49E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C49E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C49E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C49E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C49E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C49E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C49E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C49E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C49E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49E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C49E4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49E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C49E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C49E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C49E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C49E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C49E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49E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C49E4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3C49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u21TcyUjBJNnPSqKO5AGxy6tg==">CgMxLjA4AHIhMWtEbFI1ai1RbXdDLVkxTGlUNDUxVXd5cnZNdnZnejh6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2025-02-24T04:33:00Z</dcterms:created>
  <dc:creator>Noelle Eckley Selin</dc:creator>
</cp:coreProperties>
</file>