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sz w:val="28"/>
          <w:szCs w:val="28"/>
        </w:rPr>
        <w:t xml:space="preserve">RESPONSE TO REQUEST FOR EVIDENCE</w:t>
      </w:r>
    </w:p>
    <w:p>
      <w:pPr>
        <w:spacing w:after="60"/>
        <w:jc w:val="center"/>
      </w:pPr>
      <w:r>
        <w:rPr>
          <w:rFonts w:ascii="Calibri" w:cs="Calibri" w:eastAsia="Calibri" w:hAnsi="Calibri"/>
          <w:b/>
          <w:bCs/>
          <w:sz w:val="24"/>
          <w:szCs w:val="24"/>
        </w:rPr>
        <w:t xml:space="preserve">Form I-140, Immigrant Petition for Alien Worker</w:t>
      </w:r>
    </w:p>
    <w:p>
      <w:pPr>
        <w:spacing w:after="60"/>
        <w:jc w:val="center"/>
      </w:pPr>
      <w:r>
        <w:rPr>
          <w:rFonts w:ascii="Calibri" w:cs="Calibri" w:eastAsia="Calibri" w:hAnsi="Calibri"/>
          <w:sz w:val="22"/>
          <w:szCs w:val="22"/>
        </w:rPr>
        <w:t xml:space="preserve">EB-2 Member of the Professions Holding an Advanced Degree, with National Interest Waiver</w:t>
      </w:r>
    </w:p>
    <w:p>
      <w:pPr>
        <w:spacing w:after="60"/>
        <w:jc w:val="center"/>
      </w:pPr>
      <w:r>
        <w:rPr>
          <w:rFonts w:ascii="Calibri" w:cs="Calibri" w:eastAsia="Calibri" w:hAnsi="Calibri"/>
          <w:sz w:val="22"/>
          <w:szCs w:val="22"/>
        </w:rPr>
        <w:t xml:space="preserve">INA § 203(b)(2)(B)(i); 8 C.F.R. § 204.5(k)</w:t>
      </w:r>
    </w:p>
    <w:p>
      <w:pPr>
        <w:spacing w:after="120" w:line="264"/>
        <w:jc w:val="both"/>
      </w:pPr>
    </w:p>
    <w:p>
      <w:pPr>
        <w:keepNext/>
        <w:spacing w:after="80" w:before="160"/>
      </w:pPr>
      <w:r>
        <w:rPr>
          <w:rFonts w:ascii="Calibri" w:cs="Calibri" w:eastAsia="Calibri" w:hAnsi="Calibri"/>
          <w:b/>
          <w:bCs/>
          <w:sz w:val="21"/>
          <w:szCs w:val="21"/>
        </w:rPr>
        <w:t xml:space="preserve">Table 1. Case identification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95"/>
        <w:gridCol w:w="6365"/>
      </w:tblGrid>
      <w:tr>
        <w:trPr>
          <w:cantSplit/>
          <w:tblHeader/>
        </w:trPr>
        <w:tc>
          <w:tcPr>
            <w:tcW w:type="dxa" w:w="299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b/>
                <w:bCs/>
                <w:sz w:val="19"/>
                <w:szCs w:val="19"/>
              </w:rPr>
              <w:t xml:space="preserve">Item</w:t>
            </w:r>
          </w:p>
        </w:tc>
        <w:tc>
          <w:tcPr>
            <w:tcW w:type="dxa" w:w="636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b/>
                <w:bCs/>
                <w:sz w:val="19"/>
                <w:szCs w:val="19"/>
              </w:rPr>
              <w:t xml:space="preserve">Detail</w:t>
            </w:r>
          </w:p>
        </w:tc>
      </w:tr>
      <w:tr>
        <w:trPr>
          <w:cantSplit/>
          <w:tblHeader w:val="false"/>
        </w:trPr>
        <w:tc>
          <w:tcPr>
            <w:tcW w:type="dxa" w:w="299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Petitioner and Beneficiary</w:t>
            </w:r>
          </w:p>
        </w:tc>
        <w:tc>
          <w:tcPr>
            <w:tcW w:type="dxa" w:w="636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Abidemi Adeleye Alabi (self-petitioner, pro se)</w:t>
            </w:r>
          </w:p>
        </w:tc>
      </w:tr>
      <w:tr>
        <w:trPr>
          <w:cantSplit/>
          <w:tblHeader w:val="false"/>
        </w:trPr>
        <w:tc>
          <w:tcPr>
            <w:tcW w:type="dxa" w:w="299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Receipt Number</w:t>
            </w:r>
          </w:p>
        </w:tc>
        <w:tc>
          <w:tcPr>
            <w:tcW w:type="dxa" w:w="636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IOE0937870789</w:t>
            </w:r>
          </w:p>
        </w:tc>
      </w:tr>
      <w:tr>
        <w:trPr>
          <w:cantSplit/>
          <w:tblHeader w:val="false"/>
        </w:trPr>
        <w:tc>
          <w:tcPr>
            <w:tcW w:type="dxa" w:w="299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A-Number</w:t>
            </w:r>
          </w:p>
        </w:tc>
        <w:tc>
          <w:tcPr>
            <w:tcW w:type="dxa" w:w="636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A141-562-205</w:t>
            </w:r>
          </w:p>
        </w:tc>
      </w:tr>
      <w:tr>
        <w:trPr>
          <w:cantSplit/>
          <w:tblHeader w:val="false"/>
        </w:trPr>
        <w:tc>
          <w:tcPr>
            <w:tcW w:type="dxa" w:w="299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Priority Date</w:t>
            </w:r>
          </w:p>
        </w:tc>
        <w:tc>
          <w:tcPr>
            <w:tcW w:type="dxa" w:w="636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August 4, 2026</w:t>
            </w:r>
          </w:p>
        </w:tc>
      </w:tr>
      <w:tr>
        <w:trPr>
          <w:cantSplit/>
          <w:tblHeader w:val="false"/>
        </w:trPr>
        <w:tc>
          <w:tcPr>
            <w:tcW w:type="dxa" w:w="299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Request for Evidence issued</w:t>
            </w:r>
          </w:p>
        </w:tc>
        <w:tc>
          <w:tcPr>
            <w:tcW w:type="dxa" w:w="636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October 5, 2026, Texas Service Center (Carrie M. Selby, Associate Director, Service Center Operations), Premium Processing</w:t>
            </w:r>
          </w:p>
        </w:tc>
      </w:tr>
      <w:tr>
        <w:trPr>
          <w:cantSplit/>
          <w:tblHeader w:val="false"/>
        </w:trPr>
        <w:tc>
          <w:tcPr>
            <w:tcW w:type="dxa" w:w="299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Response due</w:t>
            </w:r>
          </w:p>
        </w:tc>
        <w:tc>
          <w:tcPr>
            <w:tcW w:type="dxa" w:w="636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November 9, 2026</w:t>
            </w:r>
          </w:p>
        </w:tc>
      </w:tr>
      <w:tr>
        <w:trPr>
          <w:cantSplit/>
          <w:tblHeader w:val="false"/>
        </w:trPr>
        <w:tc>
          <w:tcPr>
            <w:tcW w:type="dxa" w:w="299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Response date</w:t>
            </w:r>
          </w:p>
        </w:tc>
        <w:tc>
          <w:tcPr>
            <w:tcW w:type="dxa" w:w="636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October 12, 2026</w:t>
            </w:r>
          </w:p>
        </w:tc>
      </w:tr>
      <w:tr>
        <w:trPr>
          <w:cantSplit/>
          <w:tblHeader w:val="false"/>
        </w:trPr>
        <w:tc>
          <w:tcPr>
            <w:tcW w:type="dxa" w:w="299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Submitted to</w:t>
            </w:r>
          </w:p>
        </w:tc>
        <w:tc>
          <w:tcPr>
            <w:tcW w:type="dxa" w:w="636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USCIS/TSC, ATTN: RFE/NOID/NOIR/NOIT, 6046 N Belt Line Rd STE 140, Irving, TX 75038-0014</w:t>
            </w:r>
          </w:p>
        </w:tc>
      </w:tr>
    </w:tbl>
    <w:p>
      <w:pPr>
        <w:spacing w:after="80"/>
      </w:pPr>
    </w:p>
    <w:p>
      <w:pPr>
        <w:spacing w:after="120" w:line="264"/>
        <w:jc w:val="both"/>
      </w:pPr>
      <w:r>
        <w:rPr>
          <w:rFonts w:ascii="Calibri" w:cs="Calibri" w:eastAsia="Calibri" w:hAnsi="Calibri"/>
          <w:sz w:val="22"/>
          <w:szCs w:val="22"/>
        </w:rPr>
        <w:t xml:space="preserve">Table 1 identifies the case. The original Request for Evidence and its Premium Processing coversheet are placed on top of this response, as the Notice directs, and a copy is reproduced at </w:t>
      </w:r>
      <w:r>
        <w:rPr>
          <w:rFonts w:ascii="Calibri" w:cs="Calibri" w:eastAsia="Calibri" w:hAnsi="Calibri"/>
          <w:b/>
          <w:bCs/>
          <w:color w:val="FF0000"/>
          <w:sz w:val="22"/>
          <w:szCs w:val="22"/>
        </w:rPr>
        <w:t xml:space="preserve">Exhibit RFE-1</w:t>
      </w:r>
      <w:r>
        <w:rPr>
          <w:rFonts w:ascii="Calibri" w:cs="Calibri" w:eastAsia="Calibri" w:hAnsi="Calibri"/>
          <w:sz w:val="22"/>
          <w:szCs w:val="22"/>
        </w:rPr>
        <w:t xml:space="preserve">. All of the requested evidence is submitted together in this single response, in accordance with 8 C.F.R. § 103.2(b)(8)(iv) and (b)(11). As the Notice instructs, evidence already submitted with the petition is not resubmitted; it is cited by its original petition exhibit number, and new evidence is numbered RFE-1 onward.</w:t>
      </w:r>
    </w:p>
    <w:p>
      <w:pPr>
        <w:spacing w:after="120" w:before="200"/>
      </w:pPr>
      <w:r>
        <w:rPr>
          <w:rFonts w:ascii="Calibri" w:cs="Calibri" w:eastAsia="Calibri" w:hAnsi="Calibri"/>
          <w:b/>
          <w:bCs/>
          <w:color w:val="1F3864"/>
          <w:sz w:val="26"/>
          <w:szCs w:val="26"/>
        </w:rPr>
        <w:t xml:space="preserve">Table of Contents</w:t>
      </w:r>
    </w:p>
    <w:p>
      <w:pPr>
        <w:tabs>
          <w:tab w:val="right" w:pos="9360" w:leader="dot"/>
        </w:tabs>
        <w:spacing w:after="50"/>
        <w:ind w:left="0"/>
      </w:pPr>
      <w:r>
        <w:rPr>
          <w:rFonts w:ascii="Calibri" w:cs="Calibri" w:eastAsia="Calibri" w:hAnsi="Calibri"/>
          <w:b/>
          <w:bCs/>
          <w:sz w:val="21"/>
          <w:szCs w:val="21"/>
        </w:rPr>
        <w:t xml:space="preserve">I. Introduction and Summary of Response</w:t>
      </w:r>
      <w:r>
        <w:rPr>
          <w:rFonts w:ascii="Calibri" w:cs="Calibri" w:eastAsia="Calibri" w:hAnsi="Calibri"/>
          <w:sz w:val="21"/>
          <w:szCs w:val="21"/>
        </w:rPr>
        <w:t xml:space="preserve">	3</w:t>
      </w:r>
    </w:p>
    <w:p>
      <w:pPr>
        <w:tabs>
          <w:tab w:val="right" w:pos="9360" w:leader="dot"/>
        </w:tabs>
        <w:spacing w:after="50"/>
        <w:ind w:left="0"/>
      </w:pPr>
      <w:r>
        <w:rPr>
          <w:rFonts w:ascii="Calibri" w:cs="Calibri" w:eastAsia="Calibri" w:hAnsi="Calibri"/>
          <w:b/>
          <w:bCs/>
          <w:sz w:val="21"/>
          <w:szCs w:val="21"/>
        </w:rPr>
        <w:t xml:space="preserve">II. What the Notice Found, and Where Each Finding Is Answered</w:t>
      </w:r>
      <w:r>
        <w:rPr>
          <w:rFonts w:ascii="Calibri" w:cs="Calibri" w:eastAsia="Calibri" w:hAnsi="Calibri"/>
          <w:sz w:val="21"/>
          <w:szCs w:val="21"/>
        </w:rPr>
        <w:t xml:space="preserve">	4</w:t>
      </w:r>
    </w:p>
    <w:p>
      <w:pPr>
        <w:tabs>
          <w:tab w:val="right" w:pos="9360" w:leader="dot"/>
        </w:tabs>
        <w:spacing w:after="50"/>
        <w:ind w:left="0"/>
      </w:pPr>
      <w:r>
        <w:rPr>
          <w:rFonts w:ascii="Calibri" w:cs="Calibri" w:eastAsia="Calibri" w:hAnsi="Calibri"/>
          <w:b/>
          <w:bCs/>
          <w:sz w:val="21"/>
          <w:szCs w:val="21"/>
        </w:rPr>
        <w:t xml:space="preserve">III. WHAT: The Proposed Endeavor, Its Projects and Its Objectives</w:t>
      </w:r>
      <w:r>
        <w:rPr>
          <w:rFonts w:ascii="Calibri" w:cs="Calibri" w:eastAsia="Calibri" w:hAnsi="Calibri"/>
          <w:sz w:val="21"/>
          <w:szCs w:val="21"/>
        </w:rPr>
        <w:t xml:space="preserve">	8</w:t>
      </w:r>
    </w:p>
    <w:p>
      <w:pPr>
        <w:tabs>
          <w:tab w:val="right" w:pos="9360" w:leader="dot"/>
        </w:tabs>
        <w:spacing w:after="20"/>
        <w:ind w:left="400"/>
      </w:pPr>
      <w:r>
        <w:rPr>
          <w:rFonts w:ascii="Calibri" w:cs="Calibri" w:eastAsia="Calibri" w:hAnsi="Calibri"/>
          <w:b w:val="false"/>
          <w:bCs w:val="false"/>
          <w:sz w:val="19"/>
          <w:szCs w:val="19"/>
        </w:rPr>
        <w:t xml:space="preserve">A. The endeavor defined, and the problem it addresses</w:t>
      </w:r>
      <w:r>
        <w:rPr>
          <w:rFonts w:ascii="Calibri" w:cs="Calibri" w:eastAsia="Calibri" w:hAnsi="Calibri"/>
          <w:sz w:val="19"/>
          <w:szCs w:val="19"/>
        </w:rPr>
        <w:t xml:space="preserve">	8</w:t>
      </w:r>
    </w:p>
    <w:p>
      <w:pPr>
        <w:tabs>
          <w:tab w:val="right" w:pos="9360" w:leader="dot"/>
        </w:tabs>
        <w:spacing w:after="20"/>
        <w:ind w:left="400"/>
      </w:pPr>
      <w:r>
        <w:rPr>
          <w:rFonts w:ascii="Calibri" w:cs="Calibri" w:eastAsia="Calibri" w:hAnsi="Calibri"/>
          <w:b w:val="false"/>
          <w:bCs w:val="false"/>
          <w:sz w:val="19"/>
          <w:szCs w:val="19"/>
        </w:rPr>
        <w:t xml:space="preserve">B. What will be done in the United States, and through which entity</w:t>
      </w:r>
      <w:r>
        <w:rPr>
          <w:rFonts w:ascii="Calibri" w:cs="Calibri" w:eastAsia="Calibri" w:hAnsi="Calibri"/>
          <w:sz w:val="19"/>
          <w:szCs w:val="19"/>
        </w:rPr>
        <w:t xml:space="preserve">	9</w:t>
      </w:r>
    </w:p>
    <w:p>
      <w:pPr>
        <w:tabs>
          <w:tab w:val="right" w:pos="9360" w:leader="dot"/>
        </w:tabs>
        <w:spacing w:after="20"/>
        <w:ind w:left="400"/>
      </w:pPr>
      <w:r>
        <w:rPr>
          <w:rFonts w:ascii="Calibri" w:cs="Calibri" w:eastAsia="Calibri" w:hAnsi="Calibri"/>
          <w:b w:val="false"/>
          <w:bCs w:val="false"/>
          <w:sz w:val="19"/>
          <w:szCs w:val="19"/>
        </w:rPr>
        <w:t xml:space="preserve">C. The three research projects and the research questions</w:t>
      </w:r>
      <w:r>
        <w:rPr>
          <w:rFonts w:ascii="Calibri" w:cs="Calibri" w:eastAsia="Calibri" w:hAnsi="Calibri"/>
          <w:sz w:val="19"/>
          <w:szCs w:val="19"/>
        </w:rPr>
        <w:t xml:space="preserve">	9</w:t>
      </w:r>
    </w:p>
    <w:p>
      <w:pPr>
        <w:tabs>
          <w:tab w:val="right" w:pos="9360" w:leader="dot"/>
        </w:tabs>
        <w:spacing w:after="20"/>
        <w:ind w:left="400"/>
      </w:pPr>
      <w:r>
        <w:rPr>
          <w:rFonts w:ascii="Calibri" w:cs="Calibri" w:eastAsia="Calibri" w:hAnsi="Calibri"/>
          <w:b w:val="false"/>
          <w:bCs w:val="false"/>
          <w:sz w:val="19"/>
          <w:szCs w:val="19"/>
        </w:rPr>
        <w:t xml:space="preserve">D. Objectives and how success is measured</w:t>
      </w:r>
      <w:r>
        <w:rPr>
          <w:rFonts w:ascii="Calibri" w:cs="Calibri" w:eastAsia="Calibri" w:hAnsi="Calibri"/>
          <w:sz w:val="19"/>
          <w:szCs w:val="19"/>
        </w:rPr>
        <w:t xml:space="preserve">	12</w:t>
      </w:r>
    </w:p>
    <w:p>
      <w:pPr>
        <w:tabs>
          <w:tab w:val="right" w:pos="9360" w:leader="dot"/>
        </w:tabs>
        <w:spacing w:after="20"/>
        <w:ind w:left="400"/>
      </w:pPr>
      <w:r>
        <w:rPr>
          <w:rFonts w:ascii="Calibri" w:cs="Calibri" w:eastAsia="Calibri" w:hAnsi="Calibri"/>
          <w:b w:val="false"/>
          <w:bCs w:val="false"/>
          <w:sz w:val="19"/>
          <w:szCs w:val="19"/>
        </w:rPr>
        <w:t xml:space="preserve">E. How the endeavor operates in practice: a worked example</w:t>
      </w:r>
      <w:r>
        <w:rPr>
          <w:rFonts w:ascii="Calibri" w:cs="Calibri" w:eastAsia="Calibri" w:hAnsi="Calibri"/>
          <w:sz w:val="19"/>
          <w:szCs w:val="19"/>
        </w:rPr>
        <w:t xml:space="preserve">	12</w:t>
      </w:r>
    </w:p>
    <w:p>
      <w:pPr>
        <w:tabs>
          <w:tab w:val="right" w:pos="9360" w:leader="dot"/>
        </w:tabs>
        <w:spacing w:after="20"/>
        <w:ind w:left="400"/>
      </w:pPr>
      <w:r>
        <w:rPr>
          <w:rFonts w:ascii="Calibri" w:cs="Calibri" w:eastAsia="Calibri" w:hAnsi="Calibri"/>
          <w:b w:val="false"/>
          <w:bCs w:val="false"/>
          <w:sz w:val="19"/>
          <w:szCs w:val="19"/>
        </w:rPr>
        <w:t xml:space="preserve">F. How this specification relates to the petition as filed</w:t>
      </w:r>
      <w:r>
        <w:rPr>
          <w:rFonts w:ascii="Calibri" w:cs="Calibri" w:eastAsia="Calibri" w:hAnsi="Calibri"/>
          <w:sz w:val="19"/>
          <w:szCs w:val="19"/>
        </w:rPr>
        <w:t xml:space="preserve">	13</w:t>
      </w:r>
    </w:p>
    <w:p>
      <w:pPr>
        <w:tabs>
          <w:tab w:val="right" w:pos="9360" w:leader="dot"/>
        </w:tabs>
        <w:spacing w:after="50"/>
        <w:ind w:left="0"/>
      </w:pPr>
      <w:r>
        <w:rPr>
          <w:rFonts w:ascii="Calibri" w:cs="Calibri" w:eastAsia="Calibri" w:hAnsi="Calibri"/>
          <w:b/>
          <w:bCs/>
          <w:sz w:val="21"/>
          <w:szCs w:val="21"/>
        </w:rPr>
        <w:t xml:space="preserve">IV. HOW: Techniques, Methods, Resources, Funding and Implementation</w:t>
      </w:r>
      <w:r>
        <w:rPr>
          <w:rFonts w:ascii="Calibri" w:cs="Calibri" w:eastAsia="Calibri" w:hAnsi="Calibri"/>
          <w:sz w:val="21"/>
          <w:szCs w:val="21"/>
        </w:rPr>
        <w:t xml:space="preserve">	14</w:t>
      </w:r>
    </w:p>
    <w:p>
      <w:pPr>
        <w:tabs>
          <w:tab w:val="right" w:pos="9360" w:leader="dot"/>
        </w:tabs>
        <w:spacing w:after="20"/>
        <w:ind w:left="400"/>
      </w:pPr>
      <w:r>
        <w:rPr>
          <w:rFonts w:ascii="Calibri" w:cs="Calibri" w:eastAsia="Calibri" w:hAnsi="Calibri"/>
          <w:b w:val="false"/>
          <w:bCs w:val="false"/>
          <w:sz w:val="19"/>
          <w:szCs w:val="19"/>
        </w:rPr>
        <w:t xml:space="preserve">A. Techniques and methodology, project by project</w:t>
      </w:r>
      <w:r>
        <w:rPr>
          <w:rFonts w:ascii="Calibri" w:cs="Calibri" w:eastAsia="Calibri" w:hAnsi="Calibri"/>
          <w:sz w:val="19"/>
          <w:szCs w:val="19"/>
        </w:rPr>
        <w:t xml:space="preserve">	14</w:t>
      </w:r>
    </w:p>
    <w:p>
      <w:pPr>
        <w:tabs>
          <w:tab w:val="right" w:pos="9360" w:leader="dot"/>
        </w:tabs>
        <w:spacing w:after="20"/>
        <w:ind w:left="400"/>
      </w:pPr>
      <w:r>
        <w:rPr>
          <w:rFonts w:ascii="Calibri" w:cs="Calibri" w:eastAsia="Calibri" w:hAnsi="Calibri"/>
          <w:b w:val="false"/>
          <w:bCs w:val="false"/>
          <w:sz w:val="19"/>
          <w:szCs w:val="19"/>
        </w:rPr>
        <w:t xml:space="preserve">B. How the work is carried out in practice: the 36-month schedule</w:t>
      </w:r>
      <w:r>
        <w:rPr>
          <w:rFonts w:ascii="Calibri" w:cs="Calibri" w:eastAsia="Calibri" w:hAnsi="Calibri"/>
          <w:sz w:val="19"/>
          <w:szCs w:val="19"/>
        </w:rPr>
        <w:t xml:space="preserve">	15</w:t>
      </w:r>
    </w:p>
    <w:p>
      <w:pPr>
        <w:tabs>
          <w:tab w:val="right" w:pos="9360" w:leader="dot"/>
        </w:tabs>
        <w:spacing w:after="20"/>
        <w:ind w:left="400"/>
      </w:pPr>
      <w:r>
        <w:rPr>
          <w:rFonts w:ascii="Calibri" w:cs="Calibri" w:eastAsia="Calibri" w:hAnsi="Calibri"/>
          <w:b w:val="false"/>
          <w:bCs w:val="false"/>
          <w:sz w:val="19"/>
          <w:szCs w:val="19"/>
        </w:rPr>
        <w:t xml:space="preserve">C. Resources required</w:t>
      </w:r>
      <w:r>
        <w:rPr>
          <w:rFonts w:ascii="Calibri" w:cs="Calibri" w:eastAsia="Calibri" w:hAnsi="Calibri"/>
          <w:sz w:val="19"/>
          <w:szCs w:val="19"/>
        </w:rPr>
        <w:t xml:space="preserve">	16</w:t>
      </w:r>
    </w:p>
    <w:p>
      <w:pPr>
        <w:tabs>
          <w:tab w:val="right" w:pos="9360" w:leader="dot"/>
        </w:tabs>
        <w:spacing w:after="20"/>
        <w:ind w:left="400"/>
      </w:pPr>
      <w:r>
        <w:rPr>
          <w:rFonts w:ascii="Calibri" w:cs="Calibri" w:eastAsia="Calibri" w:hAnsi="Calibri"/>
          <w:b w:val="false"/>
          <w:bCs w:val="false"/>
          <w:sz w:val="19"/>
          <w:szCs w:val="19"/>
        </w:rPr>
        <w:t xml:space="preserve">D. How the work will be funded, including living expenses</w:t>
      </w:r>
      <w:r>
        <w:rPr>
          <w:rFonts w:ascii="Calibri" w:cs="Calibri" w:eastAsia="Calibri" w:hAnsi="Calibri"/>
          <w:sz w:val="19"/>
          <w:szCs w:val="19"/>
        </w:rPr>
        <w:t xml:space="preserve">	17</w:t>
      </w:r>
    </w:p>
    <w:p>
      <w:pPr>
        <w:tabs>
          <w:tab w:val="right" w:pos="9360" w:leader="dot"/>
        </w:tabs>
        <w:spacing w:after="20"/>
        <w:ind w:left="400"/>
      </w:pPr>
      <w:r>
        <w:rPr>
          <w:rFonts w:ascii="Calibri" w:cs="Calibri" w:eastAsia="Calibri" w:hAnsi="Calibri"/>
          <w:b w:val="false"/>
          <w:bCs w:val="false"/>
          <w:sz w:val="19"/>
          <w:szCs w:val="19"/>
        </w:rPr>
        <w:t xml:space="preserve">E. Research environment, collaboration and mechanisms</w:t>
      </w:r>
      <w:r>
        <w:rPr>
          <w:rFonts w:ascii="Calibri" w:cs="Calibri" w:eastAsia="Calibri" w:hAnsi="Calibri"/>
          <w:sz w:val="19"/>
          <w:szCs w:val="19"/>
        </w:rPr>
        <w:t xml:space="preserve">	18</w:t>
      </w:r>
    </w:p>
    <w:p>
      <w:pPr>
        <w:tabs>
          <w:tab w:val="right" w:pos="9360" w:leader="dot"/>
        </w:tabs>
        <w:spacing w:after="20"/>
        <w:ind w:left="400"/>
      </w:pPr>
      <w:r>
        <w:rPr>
          <w:rFonts w:ascii="Calibri" w:cs="Calibri" w:eastAsia="Calibri" w:hAnsi="Calibri"/>
          <w:b w:val="false"/>
          <w:bCs w:val="false"/>
          <w:sz w:val="19"/>
          <w:szCs w:val="19"/>
        </w:rPr>
        <w:t xml:space="preserve">F. Risks and how the plan absorbs them</w:t>
      </w:r>
      <w:r>
        <w:rPr>
          <w:rFonts w:ascii="Calibri" w:cs="Calibri" w:eastAsia="Calibri" w:hAnsi="Calibri"/>
          <w:sz w:val="19"/>
          <w:szCs w:val="19"/>
        </w:rPr>
        <w:t xml:space="preserve">	18</w:t>
      </w:r>
    </w:p>
    <w:p>
      <w:pPr>
        <w:tabs>
          <w:tab w:val="right" w:pos="9360" w:leader="dot"/>
        </w:tabs>
        <w:spacing w:after="20"/>
        <w:ind w:left="400"/>
      </w:pPr>
      <w:r>
        <w:rPr>
          <w:rFonts w:ascii="Calibri" w:cs="Calibri" w:eastAsia="Calibri" w:hAnsi="Calibri"/>
          <w:b w:val="false"/>
          <w:bCs w:val="false"/>
          <w:sz w:val="19"/>
          <w:szCs w:val="19"/>
        </w:rPr>
        <w:t xml:space="preserve">G. Allocation of my working time</w:t>
      </w:r>
      <w:r>
        <w:rPr>
          <w:rFonts w:ascii="Calibri" w:cs="Calibri" w:eastAsia="Calibri" w:hAnsi="Calibri"/>
          <w:sz w:val="19"/>
          <w:szCs w:val="19"/>
        </w:rPr>
        <w:t xml:space="preserve">	19</w:t>
      </w:r>
    </w:p>
    <w:p>
      <w:pPr>
        <w:tabs>
          <w:tab w:val="right" w:pos="9360" w:leader="dot"/>
        </w:tabs>
        <w:spacing w:after="20"/>
        <w:ind w:left="400"/>
      </w:pPr>
      <w:r>
        <w:rPr>
          <w:rFonts w:ascii="Calibri" w:cs="Calibri" w:eastAsia="Calibri" w:hAnsi="Calibri"/>
          <w:b w:val="false"/>
          <w:bCs w:val="false"/>
          <w:sz w:val="19"/>
          <w:szCs w:val="19"/>
        </w:rPr>
        <w:t xml:space="preserve">H. What the endeavor adds to methods already in use in the United States</w:t>
      </w:r>
      <w:r>
        <w:rPr>
          <w:rFonts w:ascii="Calibri" w:cs="Calibri" w:eastAsia="Calibri" w:hAnsi="Calibri"/>
          <w:sz w:val="19"/>
          <w:szCs w:val="19"/>
        </w:rPr>
        <w:t xml:space="preserve">	19</w:t>
      </w:r>
    </w:p>
    <w:p>
      <w:pPr>
        <w:tabs>
          <w:tab w:val="right" w:pos="9360" w:leader="dot"/>
        </w:tabs>
        <w:spacing w:after="20"/>
        <w:ind w:left="400"/>
      </w:pPr>
      <w:r>
        <w:rPr>
          <w:rFonts w:ascii="Calibri" w:cs="Calibri" w:eastAsia="Calibri" w:hAnsi="Calibri"/>
          <w:b w:val="false"/>
          <w:bCs w:val="false"/>
          <w:sz w:val="19"/>
          <w:szCs w:val="19"/>
        </w:rPr>
        <w:t xml:space="preserve">I. Legal, safety and research-integrity safeguards</w:t>
      </w:r>
      <w:r>
        <w:rPr>
          <w:rFonts w:ascii="Calibri" w:cs="Calibri" w:eastAsia="Calibri" w:hAnsi="Calibri"/>
          <w:sz w:val="19"/>
          <w:szCs w:val="19"/>
        </w:rPr>
        <w:t xml:space="preserve">	20</w:t>
      </w:r>
    </w:p>
    <w:p>
      <w:pPr>
        <w:tabs>
          <w:tab w:val="right" w:pos="9360" w:leader="dot"/>
        </w:tabs>
        <w:spacing w:after="20"/>
        <w:ind w:left="400"/>
      </w:pPr>
      <w:r>
        <w:rPr>
          <w:rFonts w:ascii="Calibri" w:cs="Calibri" w:eastAsia="Calibri" w:hAnsi="Calibri"/>
          <w:b w:val="false"/>
          <w:bCs w:val="false"/>
          <w:sz w:val="19"/>
          <w:szCs w:val="19"/>
        </w:rPr>
        <w:t xml:space="preserve">J. Data management and reproducibility</w:t>
      </w:r>
      <w:r>
        <w:rPr>
          <w:rFonts w:ascii="Calibri" w:cs="Calibri" w:eastAsia="Calibri" w:hAnsi="Calibri"/>
          <w:sz w:val="19"/>
          <w:szCs w:val="19"/>
        </w:rPr>
        <w:t xml:space="preserve">	20</w:t>
      </w:r>
    </w:p>
    <w:p>
      <w:pPr>
        <w:tabs>
          <w:tab w:val="right" w:pos="9360" w:leader="dot"/>
        </w:tabs>
        <w:spacing w:after="20"/>
        <w:ind w:left="400"/>
      </w:pPr>
      <w:r>
        <w:rPr>
          <w:rFonts w:ascii="Calibri" w:cs="Calibri" w:eastAsia="Calibri" w:hAnsi="Calibri"/>
          <w:b w:val="false"/>
          <w:bCs w:val="false"/>
          <w:sz w:val="19"/>
          <w:szCs w:val="19"/>
        </w:rPr>
        <w:t xml:space="preserve">K. After the first 36 months</w:t>
      </w:r>
      <w:r>
        <w:rPr>
          <w:rFonts w:ascii="Calibri" w:cs="Calibri" w:eastAsia="Calibri" w:hAnsi="Calibri"/>
          <w:sz w:val="19"/>
          <w:szCs w:val="19"/>
        </w:rPr>
        <w:t xml:space="preserve">	20</w:t>
      </w:r>
    </w:p>
    <w:p>
      <w:pPr>
        <w:tabs>
          <w:tab w:val="right" w:pos="9360" w:leader="dot"/>
        </w:tabs>
        <w:spacing w:after="50"/>
        <w:ind w:left="0"/>
      </w:pPr>
      <w:r>
        <w:rPr>
          <w:rFonts w:ascii="Calibri" w:cs="Calibri" w:eastAsia="Calibri" w:hAnsi="Calibri"/>
          <w:b/>
          <w:bCs/>
          <w:sz w:val="21"/>
          <w:szCs w:val="21"/>
        </w:rPr>
        <w:t xml:space="preserve">V. Prong One: Substantial Merit and National Importance</w:t>
      </w:r>
      <w:r>
        <w:rPr>
          <w:rFonts w:ascii="Calibri" w:cs="Calibri" w:eastAsia="Calibri" w:hAnsi="Calibri"/>
          <w:sz w:val="21"/>
          <w:szCs w:val="21"/>
        </w:rPr>
        <w:t xml:space="preserve">	21</w:t>
      </w:r>
    </w:p>
    <w:p>
      <w:pPr>
        <w:tabs>
          <w:tab w:val="right" w:pos="9360" w:leader="dot"/>
        </w:tabs>
        <w:spacing w:after="20"/>
        <w:ind w:left="400"/>
      </w:pPr>
      <w:r>
        <w:rPr>
          <w:rFonts w:ascii="Calibri" w:cs="Calibri" w:eastAsia="Calibri" w:hAnsi="Calibri"/>
          <w:b w:val="false"/>
          <w:bCs w:val="false"/>
          <w:sz w:val="19"/>
          <w:szCs w:val="19"/>
        </w:rPr>
        <w:t xml:space="preserve">A. Substantial merit</w:t>
      </w:r>
      <w:r>
        <w:rPr>
          <w:rFonts w:ascii="Calibri" w:cs="Calibri" w:eastAsia="Calibri" w:hAnsi="Calibri"/>
          <w:sz w:val="19"/>
          <w:szCs w:val="19"/>
        </w:rPr>
        <w:t xml:space="preserve">	21</w:t>
      </w:r>
    </w:p>
    <w:p>
      <w:pPr>
        <w:tabs>
          <w:tab w:val="right" w:pos="9360" w:leader="dot"/>
        </w:tabs>
        <w:spacing w:after="20"/>
        <w:ind w:left="400"/>
      </w:pPr>
      <w:r>
        <w:rPr>
          <w:rFonts w:ascii="Calibri" w:cs="Calibri" w:eastAsia="Calibri" w:hAnsi="Calibri"/>
          <w:b w:val="false"/>
          <w:bCs w:val="false"/>
          <w:sz w:val="19"/>
          <w:szCs w:val="19"/>
        </w:rPr>
        <w:t xml:space="preserve">B. National importance: the endeavor's prospective impact, limb by limb</w:t>
      </w:r>
      <w:r>
        <w:rPr>
          <w:rFonts w:ascii="Calibri" w:cs="Calibri" w:eastAsia="Calibri" w:hAnsi="Calibri"/>
          <w:sz w:val="19"/>
          <w:szCs w:val="19"/>
        </w:rPr>
        <w:t xml:space="preserve">	21</w:t>
      </w:r>
    </w:p>
    <w:p>
      <w:pPr>
        <w:tabs>
          <w:tab w:val="right" w:pos="9360" w:leader="dot"/>
        </w:tabs>
        <w:spacing w:after="20"/>
        <w:ind w:left="400"/>
      </w:pPr>
      <w:r>
        <w:rPr>
          <w:rFonts w:ascii="Calibri" w:cs="Calibri" w:eastAsia="Calibri" w:hAnsi="Calibri"/>
          <w:b w:val="false"/>
          <w:bCs w:val="false"/>
          <w:sz w:val="19"/>
          <w:szCs w:val="19"/>
        </w:rPr>
        <w:t xml:space="preserve">C. Impact beyond a single employer, organization or client</w:t>
      </w:r>
      <w:r>
        <w:rPr>
          <w:rFonts w:ascii="Calibri" w:cs="Calibri" w:eastAsia="Calibri" w:hAnsi="Calibri"/>
          <w:sz w:val="19"/>
          <w:szCs w:val="19"/>
        </w:rPr>
        <w:t xml:space="preserve">	30</w:t>
      </w:r>
    </w:p>
    <w:p>
      <w:pPr>
        <w:tabs>
          <w:tab w:val="right" w:pos="9360" w:leader="dot"/>
        </w:tabs>
        <w:spacing w:after="20"/>
        <w:ind w:left="400"/>
      </w:pPr>
      <w:r>
        <w:rPr>
          <w:rFonts w:ascii="Calibri" w:cs="Calibri" w:eastAsia="Calibri" w:hAnsi="Calibri"/>
          <w:b w:val="false"/>
          <w:bCs w:val="false"/>
          <w:sz w:val="19"/>
          <w:szCs w:val="19"/>
        </w:rPr>
        <w:t xml:space="preserve">D. How knowledge will be shared and disseminated</w:t>
      </w:r>
      <w:r>
        <w:rPr>
          <w:rFonts w:ascii="Calibri" w:cs="Calibri" w:eastAsia="Calibri" w:hAnsi="Calibri"/>
          <w:sz w:val="19"/>
          <w:szCs w:val="19"/>
        </w:rPr>
        <w:t xml:space="preserve">	31</w:t>
      </w:r>
    </w:p>
    <w:p>
      <w:pPr>
        <w:tabs>
          <w:tab w:val="right" w:pos="9360" w:leader="dot"/>
        </w:tabs>
        <w:spacing w:after="20"/>
        <w:ind w:left="400"/>
      </w:pPr>
      <w:r>
        <w:rPr>
          <w:rFonts w:ascii="Calibri" w:cs="Calibri" w:eastAsia="Calibri" w:hAnsi="Calibri"/>
          <w:b w:val="false"/>
          <w:bCs w:val="false"/>
          <w:sz w:val="19"/>
          <w:szCs w:val="19"/>
        </w:rPr>
        <w:t xml:space="preserve">E. Contribution broader than the duties of a normal job</w:t>
      </w:r>
      <w:r>
        <w:rPr>
          <w:rFonts w:ascii="Calibri" w:cs="Calibri" w:eastAsia="Calibri" w:hAnsi="Calibri"/>
          <w:sz w:val="19"/>
          <w:szCs w:val="19"/>
        </w:rPr>
        <w:t xml:space="preserve">	33</w:t>
      </w:r>
    </w:p>
    <w:p>
      <w:pPr>
        <w:tabs>
          <w:tab w:val="right" w:pos="9360" w:leader="dot"/>
        </w:tabs>
        <w:spacing w:after="20"/>
        <w:ind w:left="400"/>
      </w:pPr>
      <w:r>
        <w:rPr>
          <w:rFonts w:ascii="Calibri" w:cs="Calibri" w:eastAsia="Calibri" w:hAnsi="Calibri"/>
          <w:b w:val="false"/>
          <w:bCs w:val="false"/>
          <w:sz w:val="19"/>
          <w:szCs w:val="19"/>
        </w:rPr>
        <w:t xml:space="preserve">F. The record as a whole on the first prong</w:t>
      </w:r>
      <w:r>
        <w:rPr>
          <w:rFonts w:ascii="Calibri" w:cs="Calibri" w:eastAsia="Calibri" w:hAnsi="Calibri"/>
          <w:sz w:val="19"/>
          <w:szCs w:val="19"/>
        </w:rPr>
        <w:t xml:space="preserve">	33</w:t>
      </w:r>
    </w:p>
    <w:p>
      <w:pPr>
        <w:tabs>
          <w:tab w:val="right" w:pos="9360" w:leader="dot"/>
        </w:tabs>
        <w:spacing w:after="20"/>
        <w:ind w:left="400"/>
      </w:pPr>
      <w:r>
        <w:rPr>
          <w:rFonts w:ascii="Calibri" w:cs="Calibri" w:eastAsia="Calibri" w:hAnsi="Calibri"/>
          <w:b w:val="false"/>
          <w:bCs w:val="false"/>
          <w:sz w:val="19"/>
          <w:szCs w:val="19"/>
        </w:rPr>
        <w:t xml:space="preserve">G. The Notice's other observations on the first prong</w:t>
      </w:r>
      <w:r>
        <w:rPr>
          <w:rFonts w:ascii="Calibri" w:cs="Calibri" w:eastAsia="Calibri" w:hAnsi="Calibri"/>
          <w:sz w:val="19"/>
          <w:szCs w:val="19"/>
        </w:rPr>
        <w:t xml:space="preserve">	33</w:t>
      </w:r>
    </w:p>
    <w:p>
      <w:pPr>
        <w:tabs>
          <w:tab w:val="right" w:pos="9360" w:leader="dot"/>
        </w:tabs>
        <w:spacing w:after="50"/>
        <w:ind w:left="0"/>
      </w:pPr>
      <w:r>
        <w:rPr>
          <w:rFonts w:ascii="Calibri" w:cs="Calibri" w:eastAsia="Calibri" w:hAnsi="Calibri"/>
          <w:b/>
          <w:bCs/>
          <w:sz w:val="21"/>
          <w:szCs w:val="21"/>
        </w:rPr>
        <w:t xml:space="preserve">VI. Prong Two: I Am Well Positioned to Advance the Proposed Endeavor</w:t>
      </w:r>
      <w:r>
        <w:rPr>
          <w:rFonts w:ascii="Calibri" w:cs="Calibri" w:eastAsia="Calibri" w:hAnsi="Calibri"/>
          <w:sz w:val="21"/>
          <w:szCs w:val="21"/>
        </w:rPr>
        <w:t xml:space="preserve">	33</w:t>
      </w:r>
    </w:p>
    <w:p>
      <w:pPr>
        <w:tabs>
          <w:tab w:val="right" w:pos="9360" w:leader="dot"/>
        </w:tabs>
        <w:spacing w:after="20"/>
        <w:ind w:left="400"/>
      </w:pPr>
      <w:r>
        <w:rPr>
          <w:rFonts w:ascii="Calibri" w:cs="Calibri" w:eastAsia="Calibri" w:hAnsi="Calibri"/>
          <w:b w:val="false"/>
          <w:bCs w:val="false"/>
          <w:sz w:val="19"/>
          <w:szCs w:val="19"/>
        </w:rPr>
        <w:t xml:space="preserve">A. Education, skills and knowledge</w:t>
      </w:r>
      <w:r>
        <w:rPr>
          <w:rFonts w:ascii="Calibri" w:cs="Calibri" w:eastAsia="Calibri" w:hAnsi="Calibri"/>
          <w:sz w:val="19"/>
          <w:szCs w:val="19"/>
        </w:rPr>
        <w:t xml:space="preserve">	34</w:t>
      </w:r>
    </w:p>
    <w:p>
      <w:pPr>
        <w:tabs>
          <w:tab w:val="right" w:pos="9360" w:leader="dot"/>
        </w:tabs>
        <w:spacing w:after="20"/>
        <w:ind w:left="400"/>
      </w:pPr>
      <w:r>
        <w:rPr>
          <w:rFonts w:ascii="Calibri" w:cs="Calibri" w:eastAsia="Calibri" w:hAnsi="Calibri"/>
          <w:b w:val="false"/>
          <w:bCs w:val="false"/>
          <w:sz w:val="19"/>
          <w:szCs w:val="19"/>
        </w:rPr>
        <w:t xml:space="preserve">B. Through which entity, and on whose resources</w:t>
      </w:r>
      <w:r>
        <w:rPr>
          <w:rFonts w:ascii="Calibri" w:cs="Calibri" w:eastAsia="Calibri" w:hAnsi="Calibri"/>
          <w:sz w:val="19"/>
          <w:szCs w:val="19"/>
        </w:rPr>
        <w:t xml:space="preserve">	34</w:t>
      </w:r>
    </w:p>
    <w:p>
      <w:pPr>
        <w:tabs>
          <w:tab w:val="right" w:pos="9360" w:leader="dot"/>
        </w:tabs>
        <w:spacing w:after="20"/>
        <w:ind w:left="400"/>
      </w:pPr>
      <w:r>
        <w:rPr>
          <w:rFonts w:ascii="Calibri" w:cs="Calibri" w:eastAsia="Calibri" w:hAnsi="Calibri"/>
          <w:b w:val="false"/>
          <w:bCs w:val="false"/>
          <w:sz w:val="19"/>
          <w:szCs w:val="19"/>
        </w:rPr>
        <w:t xml:space="preserve">C. Record of success in related or similar efforts</w:t>
      </w:r>
      <w:r>
        <w:rPr>
          <w:rFonts w:ascii="Calibri" w:cs="Calibri" w:eastAsia="Calibri" w:hAnsi="Calibri"/>
          <w:sz w:val="19"/>
          <w:szCs w:val="19"/>
        </w:rPr>
        <w:t xml:space="preserve">	34</w:t>
      </w:r>
    </w:p>
    <w:p>
      <w:pPr>
        <w:tabs>
          <w:tab w:val="right" w:pos="9360" w:leader="dot"/>
        </w:tabs>
        <w:spacing w:after="20"/>
        <w:ind w:left="400"/>
      </w:pPr>
      <w:r>
        <w:rPr>
          <w:rFonts w:ascii="Calibri" w:cs="Calibri" w:eastAsia="Calibri" w:hAnsi="Calibri"/>
          <w:b w:val="false"/>
          <w:bCs w:val="false"/>
          <w:sz w:val="19"/>
          <w:szCs w:val="19"/>
        </w:rPr>
        <w:t xml:space="preserve">D. Ongoing research activity</w:t>
      </w:r>
      <w:r>
        <w:rPr>
          <w:rFonts w:ascii="Calibri" w:cs="Calibri" w:eastAsia="Calibri" w:hAnsi="Calibri"/>
          <w:sz w:val="19"/>
          <w:szCs w:val="19"/>
        </w:rPr>
        <w:t xml:space="preserve">	36</w:t>
      </w:r>
    </w:p>
    <w:p>
      <w:pPr>
        <w:tabs>
          <w:tab w:val="right" w:pos="9360" w:leader="dot"/>
        </w:tabs>
        <w:spacing w:after="20"/>
        <w:ind w:left="400"/>
      </w:pPr>
      <w:r>
        <w:rPr>
          <w:rFonts w:ascii="Calibri" w:cs="Calibri" w:eastAsia="Calibri" w:hAnsi="Calibri"/>
          <w:b w:val="false"/>
          <w:bCs w:val="false"/>
          <w:sz w:val="19"/>
          <w:szCs w:val="19"/>
        </w:rPr>
        <w:t xml:space="preserve">E. Progress toward the proposed endeavor</w:t>
      </w:r>
      <w:r>
        <w:rPr>
          <w:rFonts w:ascii="Calibri" w:cs="Calibri" w:eastAsia="Calibri" w:hAnsi="Calibri"/>
          <w:sz w:val="19"/>
          <w:szCs w:val="19"/>
        </w:rPr>
        <w:t xml:space="preserve">	37</w:t>
      </w:r>
    </w:p>
    <w:p>
      <w:pPr>
        <w:tabs>
          <w:tab w:val="right" w:pos="9360" w:leader="dot"/>
        </w:tabs>
        <w:spacing w:after="20"/>
        <w:ind w:left="400"/>
      </w:pPr>
      <w:r>
        <w:rPr>
          <w:rFonts w:ascii="Calibri" w:cs="Calibri" w:eastAsia="Calibri" w:hAnsi="Calibri"/>
          <w:b w:val="false"/>
          <w:bCs w:val="false"/>
          <w:sz w:val="19"/>
          <w:szCs w:val="19"/>
        </w:rPr>
        <w:t xml:space="preserve">F. The letters, and what each establishes</w:t>
      </w:r>
      <w:r>
        <w:rPr>
          <w:rFonts w:ascii="Calibri" w:cs="Calibri" w:eastAsia="Calibri" w:hAnsi="Calibri"/>
          <w:sz w:val="19"/>
          <w:szCs w:val="19"/>
        </w:rPr>
        <w:t xml:space="preserve">	39</w:t>
      </w:r>
    </w:p>
    <w:p>
      <w:pPr>
        <w:tabs>
          <w:tab w:val="right" w:pos="9360" w:leader="dot"/>
        </w:tabs>
        <w:spacing w:after="20"/>
        <w:ind w:left="400"/>
      </w:pPr>
      <w:r>
        <w:rPr>
          <w:rFonts w:ascii="Calibri" w:cs="Calibri" w:eastAsia="Calibri" w:hAnsi="Calibri"/>
          <w:b w:val="false"/>
          <w:bCs w:val="false"/>
          <w:sz w:val="19"/>
          <w:szCs w:val="19"/>
        </w:rPr>
        <w:t xml:space="preserve">G. Interest of relevant parties</w:t>
      </w:r>
      <w:r>
        <w:rPr>
          <w:rFonts w:ascii="Calibri" w:cs="Calibri" w:eastAsia="Calibri" w:hAnsi="Calibri"/>
          <w:sz w:val="19"/>
          <w:szCs w:val="19"/>
        </w:rPr>
        <w:t xml:space="preserve">	40</w:t>
      </w:r>
    </w:p>
    <w:p>
      <w:pPr>
        <w:tabs>
          <w:tab w:val="right" w:pos="9360" w:leader="dot"/>
        </w:tabs>
        <w:spacing w:after="20"/>
        <w:ind w:left="400"/>
      </w:pPr>
      <w:r>
        <w:rPr>
          <w:rFonts w:ascii="Calibri" w:cs="Calibri" w:eastAsia="Calibri" w:hAnsi="Calibri"/>
          <w:b w:val="false"/>
          <w:bCs w:val="false"/>
          <w:sz w:val="19"/>
          <w:szCs w:val="19"/>
        </w:rPr>
        <w:t xml:space="preserve">H. Model or plan for future activities</w:t>
      </w:r>
      <w:r>
        <w:rPr>
          <w:rFonts w:ascii="Calibri" w:cs="Calibri" w:eastAsia="Calibri" w:hAnsi="Calibri"/>
          <w:sz w:val="19"/>
          <w:szCs w:val="19"/>
        </w:rPr>
        <w:t xml:space="preserve">	40</w:t>
      </w:r>
    </w:p>
    <w:p>
      <w:pPr>
        <w:tabs>
          <w:tab w:val="right" w:pos="9360" w:leader="dot"/>
        </w:tabs>
        <w:spacing w:after="20"/>
        <w:ind w:left="400"/>
      </w:pPr>
      <w:r>
        <w:rPr>
          <w:rFonts w:ascii="Calibri" w:cs="Calibri" w:eastAsia="Calibri" w:hAnsi="Calibri"/>
          <w:b w:val="false"/>
          <w:bCs w:val="false"/>
          <w:sz w:val="19"/>
          <w:szCs w:val="19"/>
        </w:rPr>
        <w:t xml:space="preserve">I. The Notice's remaining observations on the second prong</w:t>
      </w:r>
      <w:r>
        <w:rPr>
          <w:rFonts w:ascii="Calibri" w:cs="Calibri" w:eastAsia="Calibri" w:hAnsi="Calibri"/>
          <w:sz w:val="19"/>
          <w:szCs w:val="19"/>
        </w:rPr>
        <w:t xml:space="preserve">	40</w:t>
      </w:r>
    </w:p>
    <w:p>
      <w:pPr>
        <w:tabs>
          <w:tab w:val="right" w:pos="9360" w:leader="dot"/>
        </w:tabs>
        <w:spacing w:after="20"/>
        <w:ind w:left="400"/>
      </w:pPr>
      <w:r>
        <w:rPr>
          <w:rFonts w:ascii="Calibri" w:cs="Calibri" w:eastAsia="Calibri" w:hAnsi="Calibri"/>
          <w:b w:val="false"/>
          <w:bCs w:val="false"/>
          <w:sz w:val="19"/>
          <w:szCs w:val="19"/>
        </w:rPr>
        <w:t xml:space="preserve">J. How my qualifications map onto each project</w:t>
      </w:r>
      <w:r>
        <w:rPr>
          <w:rFonts w:ascii="Calibri" w:cs="Calibri" w:eastAsia="Calibri" w:hAnsi="Calibri"/>
          <w:sz w:val="19"/>
          <w:szCs w:val="19"/>
        </w:rPr>
        <w:t xml:space="preserve">	43</w:t>
      </w:r>
    </w:p>
    <w:p>
      <w:pPr>
        <w:tabs>
          <w:tab w:val="right" w:pos="9360" w:leader="dot"/>
        </w:tabs>
        <w:spacing w:after="20"/>
        <w:ind w:left="400"/>
      </w:pPr>
      <w:r>
        <w:rPr>
          <w:rFonts w:ascii="Calibri" w:cs="Calibri" w:eastAsia="Calibri" w:hAnsi="Calibri"/>
          <w:b w:val="false"/>
          <w:bCs w:val="false"/>
          <w:sz w:val="19"/>
          <w:szCs w:val="19"/>
        </w:rPr>
        <w:t xml:space="preserve">K. Independent and self-citations</w:t>
      </w:r>
      <w:r>
        <w:rPr>
          <w:rFonts w:ascii="Calibri" w:cs="Calibri" w:eastAsia="Calibri" w:hAnsi="Calibri"/>
          <w:sz w:val="19"/>
          <w:szCs w:val="19"/>
        </w:rPr>
        <w:t xml:space="preserve">	43</w:t>
      </w:r>
    </w:p>
    <w:p>
      <w:pPr>
        <w:tabs>
          <w:tab w:val="right" w:pos="9360" w:leader="dot"/>
        </w:tabs>
        <w:spacing w:after="50"/>
        <w:ind w:left="0"/>
      </w:pPr>
      <w:r>
        <w:rPr>
          <w:rFonts w:ascii="Calibri" w:cs="Calibri" w:eastAsia="Calibri" w:hAnsi="Calibri"/>
          <w:b/>
          <w:bCs/>
          <w:sz w:val="21"/>
          <w:szCs w:val="21"/>
        </w:rPr>
        <w:t xml:space="preserve">VII. Prong Three: On Balance, Waiving the Job Offer and Labor Certification Benefits the United States</w:t>
      </w:r>
      <w:r>
        <w:rPr>
          <w:rFonts w:ascii="Calibri" w:cs="Calibri" w:eastAsia="Calibri" w:hAnsi="Calibri"/>
          <w:sz w:val="21"/>
          <w:szCs w:val="21"/>
        </w:rPr>
        <w:t xml:space="preserve">	50</w:t>
      </w:r>
    </w:p>
    <w:p>
      <w:pPr>
        <w:tabs>
          <w:tab w:val="right" w:pos="9360" w:leader="dot"/>
        </w:tabs>
        <w:spacing w:after="20"/>
        <w:ind w:left="400"/>
      </w:pPr>
      <w:r>
        <w:rPr>
          <w:rFonts w:ascii="Calibri" w:cs="Calibri" w:eastAsia="Calibri" w:hAnsi="Calibri"/>
          <w:b w:val="false"/>
          <w:bCs w:val="false"/>
          <w:sz w:val="19"/>
          <w:szCs w:val="19"/>
        </w:rPr>
        <w:t xml:space="preserve">A. A labor certification describes a job, and this endeavor is not a job</w:t>
      </w:r>
      <w:r>
        <w:rPr>
          <w:rFonts w:ascii="Calibri" w:cs="Calibri" w:eastAsia="Calibri" w:hAnsi="Calibri"/>
          <w:sz w:val="19"/>
          <w:szCs w:val="19"/>
        </w:rPr>
        <w:t xml:space="preserve">	51</w:t>
      </w:r>
    </w:p>
    <w:p>
      <w:pPr>
        <w:tabs>
          <w:tab w:val="right" w:pos="9360" w:leader="dot"/>
        </w:tabs>
        <w:spacing w:after="20"/>
        <w:ind w:left="400"/>
      </w:pPr>
      <w:r>
        <w:rPr>
          <w:rFonts w:ascii="Calibri" w:cs="Calibri" w:eastAsia="Calibri" w:hAnsi="Calibri"/>
          <w:b w:val="false"/>
          <w:bCs w:val="false"/>
          <w:sz w:val="19"/>
          <w:szCs w:val="19"/>
        </w:rPr>
        <w:t xml:space="preserve">B. The United States benefits even if qualified U.S. workers are available</w:t>
      </w:r>
      <w:r>
        <w:rPr>
          <w:rFonts w:ascii="Calibri" w:cs="Calibri" w:eastAsia="Calibri" w:hAnsi="Calibri"/>
          <w:sz w:val="19"/>
          <w:szCs w:val="19"/>
        </w:rPr>
        <w:t xml:space="preserve">	51</w:t>
      </w:r>
    </w:p>
    <w:p>
      <w:pPr>
        <w:tabs>
          <w:tab w:val="right" w:pos="9360" w:leader="dot"/>
        </w:tabs>
        <w:spacing w:after="20"/>
        <w:ind w:left="400"/>
      </w:pPr>
      <w:r>
        <w:rPr>
          <w:rFonts w:ascii="Calibri" w:cs="Calibri" w:eastAsia="Calibri" w:hAnsi="Calibri"/>
          <w:b w:val="false"/>
          <w:bCs w:val="false"/>
          <w:sz w:val="19"/>
          <w:szCs w:val="19"/>
        </w:rPr>
        <w:t xml:space="preserve">C. The national interest is sufficiently urgent</w:t>
      </w:r>
      <w:r>
        <w:rPr>
          <w:rFonts w:ascii="Calibri" w:cs="Calibri" w:eastAsia="Calibri" w:hAnsi="Calibri"/>
          <w:sz w:val="19"/>
          <w:szCs w:val="19"/>
        </w:rPr>
        <w:t xml:space="preserve">	51</w:t>
      </w:r>
    </w:p>
    <w:p>
      <w:pPr>
        <w:tabs>
          <w:tab w:val="right" w:pos="9360" w:leader="dot"/>
        </w:tabs>
        <w:spacing w:after="20"/>
        <w:ind w:left="400"/>
      </w:pPr>
      <w:r>
        <w:rPr>
          <w:rFonts w:ascii="Calibri" w:cs="Calibri" w:eastAsia="Calibri" w:hAnsi="Calibri"/>
          <w:b w:val="false"/>
          <w:bCs w:val="false"/>
          <w:sz w:val="19"/>
          <w:szCs w:val="19"/>
        </w:rPr>
        <w:t xml:space="preserve">D. Potential creation of jobs</w:t>
      </w:r>
      <w:r>
        <w:rPr>
          <w:rFonts w:ascii="Calibri" w:cs="Calibri" w:eastAsia="Calibri" w:hAnsi="Calibri"/>
          <w:sz w:val="19"/>
          <w:szCs w:val="19"/>
        </w:rPr>
        <w:t xml:space="preserve">	52</w:t>
      </w:r>
    </w:p>
    <w:p>
      <w:pPr>
        <w:tabs>
          <w:tab w:val="right" w:pos="9360" w:leader="dot"/>
        </w:tabs>
        <w:spacing w:after="20"/>
        <w:ind w:left="400"/>
      </w:pPr>
      <w:r>
        <w:rPr>
          <w:rFonts w:ascii="Calibri" w:cs="Calibri" w:eastAsia="Calibri" w:hAnsi="Calibri"/>
          <w:b w:val="false"/>
          <w:bCs w:val="false"/>
          <w:sz w:val="19"/>
          <w:szCs w:val="19"/>
        </w:rPr>
        <w:t xml:space="preserve">E. The endeavor does not adversely affect U.S. workers</w:t>
      </w:r>
      <w:r>
        <w:rPr>
          <w:rFonts w:ascii="Calibri" w:cs="Calibri" w:eastAsia="Calibri" w:hAnsi="Calibri"/>
          <w:sz w:val="19"/>
          <w:szCs w:val="19"/>
        </w:rPr>
        <w:t xml:space="preserve">	52</w:t>
      </w:r>
    </w:p>
    <w:p>
      <w:pPr>
        <w:tabs>
          <w:tab w:val="right" w:pos="9360" w:leader="dot"/>
        </w:tabs>
        <w:spacing w:after="20"/>
        <w:ind w:left="400"/>
      </w:pPr>
      <w:r>
        <w:rPr>
          <w:rFonts w:ascii="Calibri" w:cs="Calibri" w:eastAsia="Calibri" w:hAnsi="Calibri"/>
          <w:b w:val="false"/>
          <w:bCs w:val="false"/>
          <w:sz w:val="19"/>
          <w:szCs w:val="19"/>
        </w:rPr>
        <w:t xml:space="preserve">F. The Notice's specific third-prong findings</w:t>
      </w:r>
      <w:r>
        <w:rPr>
          <w:rFonts w:ascii="Calibri" w:cs="Calibri" w:eastAsia="Calibri" w:hAnsi="Calibri"/>
          <w:sz w:val="19"/>
          <w:szCs w:val="19"/>
        </w:rPr>
        <w:t xml:space="preserve">	52</w:t>
      </w:r>
    </w:p>
    <w:p>
      <w:pPr>
        <w:tabs>
          <w:tab w:val="right" w:pos="9360" w:leader="dot"/>
        </w:tabs>
        <w:spacing w:after="20"/>
        <w:ind w:left="400"/>
      </w:pPr>
      <w:r>
        <w:rPr>
          <w:rFonts w:ascii="Calibri" w:cs="Calibri" w:eastAsia="Calibri" w:hAnsi="Calibri"/>
          <w:b w:val="false"/>
          <w:bCs w:val="false"/>
          <w:sz w:val="19"/>
          <w:szCs w:val="19"/>
        </w:rPr>
        <w:t xml:space="preserve">G. The balance</w:t>
      </w:r>
      <w:r>
        <w:rPr>
          <w:rFonts w:ascii="Calibri" w:cs="Calibri" w:eastAsia="Calibri" w:hAnsi="Calibri"/>
          <w:sz w:val="19"/>
          <w:szCs w:val="19"/>
        </w:rPr>
        <w:t xml:space="preserve">	52</w:t>
      </w:r>
    </w:p>
    <w:p>
      <w:pPr>
        <w:tabs>
          <w:tab w:val="right" w:pos="9360" w:leader="dot"/>
        </w:tabs>
        <w:spacing w:after="50"/>
        <w:ind w:left="0"/>
      </w:pPr>
      <w:r>
        <w:rPr>
          <w:rFonts w:ascii="Calibri" w:cs="Calibri" w:eastAsia="Calibri" w:hAnsi="Calibri"/>
          <w:b/>
          <w:bCs/>
          <w:sz w:val="21"/>
          <w:szCs w:val="21"/>
        </w:rPr>
        <w:t xml:space="preserve">VIII. Conclusion</w:t>
      </w:r>
      <w:r>
        <w:rPr>
          <w:rFonts w:ascii="Calibri" w:cs="Calibri" w:eastAsia="Calibri" w:hAnsi="Calibri"/>
          <w:sz w:val="21"/>
          <w:szCs w:val="21"/>
        </w:rPr>
        <w:t xml:space="preserve">	53</w:t>
      </w:r>
    </w:p>
    <w:p>
      <w:pPr>
        <w:tabs>
          <w:tab w:val="right" w:pos="9360" w:leader="dot"/>
        </w:tabs>
        <w:spacing w:after="50"/>
        <w:ind w:left="0"/>
      </w:pPr>
      <w:r>
        <w:rPr>
          <w:rFonts w:ascii="Calibri" w:cs="Calibri" w:eastAsia="Calibri" w:hAnsi="Calibri"/>
          <w:b/>
          <w:bCs/>
          <w:sz w:val="21"/>
          <w:szCs w:val="21"/>
        </w:rPr>
        <w:t xml:space="preserve">Index of Exhibits</w:t>
      </w:r>
      <w:r>
        <w:rPr>
          <w:rFonts w:ascii="Calibri" w:cs="Calibri" w:eastAsia="Calibri" w:hAnsi="Calibri"/>
          <w:sz w:val="21"/>
          <w:szCs w:val="21"/>
        </w:rPr>
        <w:t xml:space="preserve">	54</w:t>
      </w:r>
    </w:p>
    <w:p>
      <w:pPr>
        <w:tabs>
          <w:tab w:val="right" w:pos="9360" w:leader="dot"/>
        </w:tabs>
        <w:spacing w:after="50"/>
        <w:ind w:left="0"/>
      </w:pPr>
      <w:r>
        <w:rPr>
          <w:rFonts w:ascii="Calibri" w:cs="Calibri" w:eastAsia="Calibri" w:hAnsi="Calibri"/>
          <w:b/>
          <w:bCs/>
          <w:sz w:val="21"/>
          <w:szCs w:val="21"/>
        </w:rPr>
        <w:t xml:space="preserve">Table of Legal Authorities</w:t>
      </w:r>
      <w:r>
        <w:rPr>
          <w:rFonts w:ascii="Calibri" w:cs="Calibri" w:eastAsia="Calibri" w:hAnsi="Calibri"/>
          <w:sz w:val="21"/>
          <w:szCs w:val="21"/>
        </w:rPr>
        <w:t xml:space="preserve">	57</w:t>
      </w:r>
    </w:p>
    <w:p>
      <w:r>
        <w:br w:type="page"/>
      </w:r>
    </w:p>
    <w:p>
      <w:pPr>
        <w:pStyle w:val="Heading1"/>
        <w:keepNext/>
        <w:spacing w:after="140" w:before="280"/>
      </w:pPr>
      <w:r>
        <w:rPr>
          <w:rFonts w:ascii="Calibri" w:cs="Calibri" w:eastAsia="Calibri" w:hAnsi="Calibri"/>
          <w:b/>
          <w:bCs/>
          <w:color w:val="1F3864"/>
          <w:sz w:val="26"/>
          <w:szCs w:val="26"/>
        </w:rPr>
        <w:t xml:space="preserve">I. Introduction and Summary of Response</w:t>
      </w:r>
    </w:p>
    <w:p>
      <w:pPr>
        <w:spacing w:after="120" w:line="264"/>
        <w:jc w:val="both"/>
      </w:pPr>
      <w:r>
        <w:rPr>
          <w:rFonts w:ascii="Calibri" w:cs="Calibri" w:eastAsia="Calibri" w:hAnsi="Calibri"/>
          <w:sz w:val="22"/>
          <w:szCs w:val="22"/>
        </w:rPr>
        <w:t xml:space="preserve">I am the petitioner and beneficiary of this petition. I hold a Master of Science in Information Technology with a cybersecurity concentration from the University of Texas at San Antonio (2024), a Postgraduate Certificate in Cyber Security awarded with merit by the University of Essex (2024), and a Bachelor of Technology in Computer Science from Ladoke Akintola University of Technology. I am a Certified Information Systems Security Professional. I submit this response to the Request for Evidence dated October 5, 2026 (the Notice).</w:t>
      </w:r>
    </w:p>
    <w:p>
      <w:pPr>
        <w:spacing w:after="120" w:line="264"/>
        <w:jc w:val="both"/>
      </w:pPr>
      <w:r>
        <w:rPr>
          <w:rFonts w:ascii="Calibri" w:cs="Calibri" w:eastAsia="Calibri" w:hAnsi="Calibri"/>
          <w:sz w:val="22"/>
          <w:szCs w:val="22"/>
        </w:rPr>
        <w:t xml:space="preserve">The Notice finds that I qualify for the underlying classification. It states that "the beneficiary has established that she is a member of the professions holding an advanced degree." The remaining issue is the national interest waiver under </w:t>
      </w:r>
      <w:r>
        <w:rPr>
          <w:rFonts w:ascii="Calibri" w:cs="Calibri" w:eastAsia="Calibri" w:hAnsi="Calibri"/>
          <w:i/>
          <w:iCs/>
          <w:sz w:val="22"/>
          <w:szCs w:val="22"/>
        </w:rPr>
        <w:t xml:space="preserve">Matter of Dhanasar</w:t>
      </w:r>
      <w:r>
        <w:rPr>
          <w:rFonts w:ascii="Calibri" w:cs="Calibri" w:eastAsia="Calibri" w:hAnsi="Calibri"/>
          <w:sz w:val="22"/>
          <w:szCs w:val="22"/>
        </w:rPr>
        <w:t xml:space="preserve">, 26 I&amp;N Dec. 884 (AAO 2016). The Notice also records that "USCIS agrees being an Information Security Analyst has substantial merit." This response therefore addresses national importance under the first prong, and the second and third prongs in full.</w:t>
      </w:r>
    </w:p>
    <w:p>
      <w:pPr>
        <w:spacing w:after="120" w:line="264"/>
        <w:jc w:val="both"/>
      </w:pPr>
      <w:r>
        <w:rPr>
          <w:rFonts w:ascii="Calibri" w:cs="Calibri" w:eastAsia="Calibri" w:hAnsi="Calibri"/>
          <w:sz w:val="22"/>
          <w:szCs w:val="22"/>
        </w:rPr>
        <w:t xml:space="preserve">The Notice identifies the endeavor accurately. It summarizes it as the development, implementation, validation through empirical research and open-access publication of "a modular Zero Trust cloud security governance framework" for United States organizations "that cannot access enterprise-grade security expertise through the commercial market," extending the five pillars of the CISA Zero Trust Maturity Model with "a sixth pillar, cloud financial governance, integrated at the control level." Its central concerns are specificity and scope. It asks what precisely I will do, through which entity, with what funding, on what timeline, how my time is divided, how the results reach the field beyond any employer or client, and why I am positioned to carry it out. This response answers each question with a defined research programme, a stated method for each project, a dated schedule of published outputs, a funding and resource plan, a stated allocation of time, and documentary evidence of the work already done.</w:t>
      </w:r>
    </w:p>
    <w:p>
      <w:pPr>
        <w:spacing w:after="120" w:line="264"/>
        <w:jc w:val="both"/>
      </w:pPr>
      <w:r>
        <w:rPr>
          <w:rFonts w:ascii="Calibri" w:cs="Calibri" w:eastAsia="Calibri" w:hAnsi="Calibri"/>
          <w:sz w:val="22"/>
          <w:szCs w:val="22"/>
        </w:rPr>
        <w:t xml:space="preserve">The endeavor, stated at the level of specificity the Notice requests, is set out in the box below. It is the same framework the petition proposed. What this response adds is the detail the Notice asked for on how the petition's implementation and validation components are carried out. The framework is first implemented and validated in reference environments that I build and control, so that its first measured results depend on no client, no employer and no adopting institution. Implementation with volunteer adopter institutions then follows, in the order the petition set out. Part III.F and Table 5 trace each element of this response to the passage of the petition that states it.</w:t>
      </w:r>
    </w:p>
    <w:p>
      <w:pPr>
        <w:pBdr>
          <w:left w:val="single" w:color="1F3864" w:sz="24" w:space="10"/>
        </w:pBdr>
        <w:spacing w:after="160" w:before="120" w:line="264"/>
        <w:ind w:left="360" w:right="360"/>
        <w:jc w:val="both"/>
      </w:pPr>
      <w:r>
        <w:rPr>
          <w:rFonts w:ascii="Calibri" w:cs="Calibri" w:eastAsia="Calibri" w:hAnsi="Calibri"/>
          <w:b/>
          <w:bCs/>
          <w:i/>
          <w:iCs/>
          <w:sz w:val="22"/>
          <w:szCs w:val="22"/>
        </w:rPr>
        <w:t xml:space="preserve">Proposed endeavor: I will conduct self-directed applied research in the United States that builds, tests and publishes an open Zero Trust governance framework for under-resourced institutions. I construct reproducible simulated environments, modelled on a 25-bed critical access hospital, a community bank, a small business and a county government, in cloud test tenants that I control. Each is seeded with the human and non-human identities (service accounts, application registrations, API keys, AI agents) that real institutions accumulate. In each, I deploy the six-pillar control set, apply a six-step governance method, attack the environment with documented adversary techniques, and measure what each control prevents, what it costs and what it recovers in wasted cloud spending. The outputs are peer-reviewed open-access papers, an open control catalogue mapped to federal requirements, open infrastructure-as-code that recreates every test environment, and open audit scripts and a departure-review workflow that any institution can run on its own estate without hiring me or anyone else.</w:t>
      </w:r>
    </w:p>
    <w:p>
      <w:pPr>
        <w:spacing w:after="120" w:line="264"/>
        <w:jc w:val="both"/>
      </w:pPr>
      <w:r>
        <w:rPr>
          <w:rFonts w:ascii="Calibri" w:cs="Calibri" w:eastAsia="Calibri" w:hAnsi="Calibri"/>
          <w:sz w:val="22"/>
          <w:szCs w:val="22"/>
        </w:rPr>
        <w:t xml:space="preserve">The response is organized around the five questions the Notice asks, which I take in order:</w:t>
      </w:r>
    </w:p>
    <w:p>
      <w:pPr>
        <w:pStyle w:val="ListParagraph"/>
        <w:numPr>
          <w:ilvl w:val="0"/>
          <w:numId w:val="2"/>
        </w:numPr>
        <w:spacing w:after="70" w:line="260"/>
        <w:jc w:val="both"/>
      </w:pPr>
      <w:r>
        <w:rPr>
          <w:rFonts w:ascii="Calibri" w:cs="Calibri" w:eastAsia="Calibri" w:hAnsi="Calibri"/>
          <w:b/>
          <w:bCs/>
          <w:sz w:val="22"/>
          <w:szCs w:val="22"/>
        </w:rPr>
        <w:t xml:space="preserve">What will I do?</w:t>
      </w:r>
      <w:r>
        <w:rPr>
          <w:rFonts w:ascii="Calibri" w:cs="Calibri" w:eastAsia="Calibri" w:hAnsi="Calibri"/>
          <w:sz w:val="22"/>
          <w:szCs w:val="22"/>
        </w:rPr>
        <w:t xml:space="preserve"> Part III defines the endeavor, its three research projects, the research questions each answers, and the objectives each must meet.</w:t>
      </w:r>
    </w:p>
    <w:p>
      <w:pPr>
        <w:pStyle w:val="ListParagraph"/>
        <w:numPr>
          <w:ilvl w:val="0"/>
          <w:numId w:val="2"/>
        </w:numPr>
        <w:spacing w:after="70" w:line="260"/>
        <w:jc w:val="both"/>
      </w:pPr>
      <w:r>
        <w:rPr>
          <w:rFonts w:ascii="Calibri" w:cs="Calibri" w:eastAsia="Calibri" w:hAnsi="Calibri"/>
          <w:b/>
          <w:bCs/>
          <w:sz w:val="22"/>
          <w:szCs w:val="22"/>
        </w:rPr>
        <w:t xml:space="preserve">How will I do it?</w:t>
      </w:r>
      <w:r>
        <w:rPr>
          <w:rFonts w:ascii="Calibri" w:cs="Calibri" w:eastAsia="Calibri" w:hAnsi="Calibri"/>
          <w:sz w:val="22"/>
          <w:szCs w:val="22"/>
        </w:rPr>
        <w:t xml:space="preserve"> Part IV states the techniques, methodologies and methods for each project, how the work is carried out in practice, the 36-month schedule, the resources, the funding, the research environment and the allocation of my time.</w:t>
      </w:r>
    </w:p>
    <w:p>
      <w:pPr>
        <w:pStyle w:val="ListParagraph"/>
        <w:numPr>
          <w:ilvl w:val="0"/>
          <w:numId w:val="2"/>
        </w:numPr>
        <w:spacing w:after="70" w:line="260"/>
        <w:jc w:val="both"/>
      </w:pPr>
      <w:r>
        <w:rPr>
          <w:rFonts w:ascii="Calibri" w:cs="Calibri" w:eastAsia="Calibri" w:hAnsi="Calibri"/>
          <w:b/>
          <w:bCs/>
          <w:sz w:val="22"/>
          <w:szCs w:val="22"/>
        </w:rPr>
        <w:t xml:space="preserve">Why does it matter beyond me?</w:t>
      </w:r>
      <w:r>
        <w:rPr>
          <w:rFonts w:ascii="Calibri" w:cs="Calibri" w:eastAsia="Calibri" w:hAnsi="Calibri"/>
          <w:sz w:val="22"/>
          <w:szCs w:val="22"/>
        </w:rPr>
        <w:t xml:space="preserve"> Part V shows national importance through the endeavor's prospective impact: the open outputs, the classes of institution that apply them, the dissemination channels, and the federal documents that identify this exact problem.</w:t>
      </w:r>
    </w:p>
    <w:p>
      <w:pPr>
        <w:pStyle w:val="ListParagraph"/>
        <w:numPr>
          <w:ilvl w:val="0"/>
          <w:numId w:val="2"/>
        </w:numPr>
        <w:spacing w:after="70" w:line="260"/>
        <w:jc w:val="both"/>
      </w:pPr>
      <w:r>
        <w:rPr>
          <w:rFonts w:ascii="Calibri" w:cs="Calibri" w:eastAsia="Calibri" w:hAnsi="Calibri"/>
          <w:b/>
          <w:bCs/>
          <w:sz w:val="22"/>
          <w:szCs w:val="22"/>
        </w:rPr>
        <w:t xml:space="preserve">Why am I the person to do it?</w:t>
      </w:r>
      <w:r>
        <w:rPr>
          <w:rFonts w:ascii="Calibri" w:cs="Calibri" w:eastAsia="Calibri" w:hAnsi="Calibri"/>
          <w:sz w:val="22"/>
          <w:szCs w:val="22"/>
        </w:rPr>
        <w:t xml:space="preserve"> Part VI shows that I am well positioned: my education, my record of success in the same technical problem, the independent researchers who already build on my published work, the progress made, and the interest shown in it.</w:t>
      </w:r>
    </w:p>
    <w:p>
      <w:pPr>
        <w:pStyle w:val="ListParagraph"/>
        <w:numPr>
          <w:ilvl w:val="0"/>
          <w:numId w:val="2"/>
        </w:numPr>
        <w:spacing w:after="70" w:line="260"/>
        <w:jc w:val="both"/>
      </w:pPr>
      <w:r>
        <w:rPr>
          <w:rFonts w:ascii="Calibri" w:cs="Calibri" w:eastAsia="Calibri" w:hAnsi="Calibri"/>
          <w:b/>
          <w:bCs/>
          <w:sz w:val="22"/>
          <w:szCs w:val="22"/>
        </w:rPr>
        <w:t xml:space="preserve">Why should the job offer and labor certification be waived?</w:t>
      </w:r>
      <w:r>
        <w:rPr>
          <w:rFonts w:ascii="Calibri" w:cs="Calibri" w:eastAsia="Calibri" w:hAnsi="Calibri"/>
          <w:sz w:val="22"/>
          <w:szCs w:val="22"/>
        </w:rPr>
        <w:t xml:space="preserve"> Part VII argues the third prong on its own five factors.</w:t>
      </w:r>
    </w:p>
    <w:p>
      <w:pPr>
        <w:spacing w:after="120" w:line="264"/>
        <w:jc w:val="both"/>
      </w:pPr>
      <w:r>
        <w:rPr>
          <w:rFonts w:ascii="Calibri" w:cs="Calibri" w:eastAsia="Calibri" w:hAnsi="Calibri"/>
          <w:sz w:val="22"/>
          <w:szCs w:val="22"/>
        </w:rPr>
        <w:t xml:space="preserve">The response is supported by new evidence submitted with it: proof of the personal funds that pay for the research; a current capture of my Google Scholar record; thirty-four independent published works, by authors in twelve countries including the United States, that cite my research, none written by any author of the papers they cite; and five further authorities that identify the problem the endeavor addresses, including the final NIST practice guide on implementing Zero Trust (June 2025) and the HHS Cybersecurity Performance Goals for the health sector (January 2024). Part VI.K, within the second prong, answers the Notice's specific question about independent and self-citations. Part VIII concludes. The Index of Exhibits and the Table of Legal Authorities follow.</w:t>
      </w:r>
    </w:p>
    <w:p>
      <w:pPr>
        <w:pStyle w:val="Heading1"/>
        <w:keepNext/>
        <w:spacing w:after="140" w:before="280"/>
      </w:pPr>
      <w:r>
        <w:rPr>
          <w:rFonts w:ascii="Calibri" w:cs="Calibri" w:eastAsia="Calibri" w:hAnsi="Calibri"/>
          <w:b/>
          <w:bCs/>
          <w:color w:val="1F3864"/>
          <w:sz w:val="26"/>
          <w:szCs w:val="26"/>
        </w:rPr>
        <w:t xml:space="preserve">II. What the Notice Found, and Where Each Finding Is Answered</w:t>
      </w:r>
    </w:p>
    <w:p>
      <w:pPr>
        <w:spacing w:after="120" w:line="264"/>
        <w:jc w:val="both"/>
      </w:pPr>
      <w:r>
        <w:rPr>
          <w:rFonts w:ascii="Calibri" w:cs="Calibri" w:eastAsia="Calibri" w:hAnsi="Calibri"/>
          <w:sz w:val="22"/>
          <w:szCs w:val="22"/>
        </w:rPr>
        <w:t xml:space="preserve">I begin with what the Notice said, in its own words, because each finding defines a question this response must answer. Table 2 sets out every operative finding of the Notice and the place in this response where it is met. Table 3 then maps the thirty specific requirements that I drew from the Notice, grouped under the five questions above, to the section, table or exhibit that satisfies each.</w:t>
      </w:r>
    </w:p>
    <w:p>
      <w:pPr>
        <w:keepNext/>
        <w:spacing w:after="80" w:before="160"/>
      </w:pPr>
      <w:r>
        <w:rPr>
          <w:rFonts w:ascii="Calibri" w:cs="Calibri" w:eastAsia="Calibri" w:hAnsi="Calibri"/>
          <w:b/>
          <w:bCs/>
          <w:sz w:val="21"/>
          <w:szCs w:val="21"/>
        </w:rPr>
        <w:t xml:space="preserve">Table 2. The Notice's findings and the response to 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31"/>
        <w:gridCol w:w="3557"/>
        <w:gridCol w:w="1872"/>
      </w:tblGrid>
      <w:tr>
        <w:trPr>
          <w:cantSplit/>
          <w:tblHeader/>
        </w:trPr>
        <w:tc>
          <w:tcPr>
            <w:tcW w:type="dxa" w:w="393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b/>
                <w:bCs/>
                <w:sz w:val="19"/>
                <w:szCs w:val="19"/>
              </w:rPr>
              <w:t xml:space="preserve">What the Notice found</w:t>
            </w:r>
          </w:p>
        </w:tc>
        <w:tc>
          <w:tcPr>
            <w:tcW w:type="dxa" w:w="355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b/>
                <w:bCs/>
                <w:sz w:val="19"/>
                <w:szCs w:val="19"/>
              </w:rPr>
              <w:t xml:space="preserve">How this response answers it</w:t>
            </w:r>
          </w:p>
        </w:tc>
        <w:tc>
          <w:tcPr>
            <w:tcW w:type="dxa" w:w="187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b/>
                <w:bCs/>
                <w:sz w:val="19"/>
                <w:szCs w:val="19"/>
              </w:rPr>
              <w:t xml:space="preserve">Where</w:t>
            </w:r>
          </w:p>
        </w:tc>
      </w:tr>
      <w:tr>
        <w:trPr>
          <w:cantSplit/>
          <w:tblHeader w:val="false"/>
        </w:trPr>
        <w:tc>
          <w:tcPr>
            <w:tcW w:type="dxa" w:w="393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"The beneficiary has not sufficiently identified a specific endeavor, nor has she explained how she will allocate her time if she intends to pursue multiple positions or activities."</w:t>
            </w:r>
          </w:p>
        </w:tc>
        <w:tc>
          <w:tcPr>
            <w:tcW w:type="dxa" w:w="355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One endeavor, three named projects with research questions, and a stated weekly allocation of time. The activities are phases of one programme, not separate positions.</w:t>
            </w:r>
          </w:p>
        </w:tc>
        <w:tc>
          <w:tcPr>
            <w:tcW w:type="dxa" w:w="187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Parts III and IV.G; Tables 4 and 11</w:t>
            </w:r>
          </w:p>
        </w:tc>
      </w:tr>
      <w:tr>
        <w:trPr>
          <w:cantSplit/>
          <w:tblHeader w:val="false"/>
        </w:trPr>
        <w:tc>
          <w:tcPr>
            <w:tcW w:type="dxa" w:w="393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"It is not apparent ... whether the proposed endeavor involves the beneficiary performing these roles simultaneously or consecutively."</w:t>
            </w:r>
          </w:p>
        </w:tc>
        <w:tc>
          <w:tcPr>
            <w:tcW w:type="dxa" w:w="355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The schedule states which activities run in parallel and which follow in sequence, quarter by quarter.</w:t>
            </w:r>
          </w:p>
        </w:tc>
        <w:tc>
          <w:tcPr>
            <w:tcW w:type="dxa" w:w="187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Part IV.B; Table 7</w:t>
            </w:r>
          </w:p>
        </w:tc>
      </w:tr>
      <w:tr>
        <w:trPr>
          <w:cantSplit/>
          <w:tblHeader w:val="false"/>
        </w:trPr>
        <w:tc>
          <w:tcPr>
            <w:tcW w:type="dxa" w:w="393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The benefit "appears to be localized to the beneficiary and would be of most benefit to her current or future employer(s) and/or clients."</w:t>
            </w:r>
          </w:p>
        </w:tc>
        <w:tc>
          <w:tcPr>
            <w:tcW w:type="dxa" w:w="355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The research is performed in my own simulated environments, for no client, and every output is a public artifact usable by institutions with which I have no employment or client relationship.</w:t>
            </w:r>
          </w:p>
        </w:tc>
        <w:tc>
          <w:tcPr>
            <w:tcW w:type="dxa" w:w="187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Parts V.C and V.D; Tables 21 and 22</w:t>
            </w:r>
          </w:p>
        </w:tc>
      </w:tr>
      <w:tr>
        <w:trPr>
          <w:cantSplit/>
          <w:tblHeader w:val="false"/>
        </w:trPr>
        <w:tc>
          <w:tcPr>
            <w:tcW w:type="dxa" w:w="393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"The reports and articles speak in broad terms and do not reflect the national importance the beneficiary's specific endeavor would have."</w:t>
            </w:r>
          </w:p>
        </w:tc>
        <w:tc>
          <w:tcPr>
            <w:tcW w:type="dxa" w:w="355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National importance is tied to federal documents that name the specific deficiency the endeavor measures and closes, and to documented incidents caused by that deficiency.</w:t>
            </w:r>
          </w:p>
        </w:tc>
        <w:tc>
          <w:tcPr>
            <w:tcW w:type="dxa" w:w="187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Parts III.A and V.B; Tables 13 and 15</w:t>
            </w:r>
          </w:p>
        </w:tc>
      </w:tr>
      <w:tr>
        <w:trPr>
          <w:cantSplit/>
          <w:tblHeader w:val="false"/>
        </w:trPr>
        <w:tc>
          <w:tcPr>
            <w:tcW w:type="dxa" w:w="393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The record lacks "what projects you will be engaging in, what sources of funding you will be relying upon ..., what parties have expressed interest ..., what work you have already completed ... and/or what timeline."</w:t>
            </w:r>
          </w:p>
        </w:tc>
        <w:tc>
          <w:tcPr>
            <w:tcW w:type="dxa" w:w="355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Projects, funding and budget, interest shown in the published work, progress already made, and a 36-month schedule are each stated.</w:t>
            </w:r>
          </w:p>
        </w:tc>
        <w:tc>
          <w:tcPr>
            <w:tcW w:type="dxa" w:w="187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Parts III.C, IV.B, IV.D, VI.E and VI.G; Tables 4, 7, 9 and 26</w:t>
            </w:r>
          </w:p>
        </w:tc>
      </w:tr>
      <w:tr>
        <w:trPr>
          <w:cantSplit/>
          <w:tblHeader w:val="false"/>
        </w:trPr>
        <w:tc>
          <w:tcPr>
            <w:tcW w:type="dxa" w:w="393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No showing of "projected U.S. economic impact or job creation attributable to her future work."</w:t>
            </w:r>
          </w:p>
        </w:tc>
        <w:tc>
          <w:tcPr>
            <w:tcW w:type="dxa" w:w="355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Economic effects are stated at the level the record supports: avoided breach losses at adopting institutions and recovered cloud waste, both measured by the research itself.</w:t>
            </w:r>
          </w:p>
        </w:tc>
        <w:tc>
          <w:tcPr>
            <w:tcW w:type="dxa" w:w="187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Parts V.B(b) and VII.D</w:t>
            </w:r>
          </w:p>
        </w:tc>
      </w:tr>
      <w:tr>
        <w:trPr>
          <w:cantSplit/>
          <w:tblHeader w:val="false"/>
        </w:trPr>
        <w:tc>
          <w:tcPr>
            <w:tcW w:type="dxa" w:w="393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"It is unclear if the beneficiary seeks to pursue her proposed endeavor through [her current employer], through a different U.S. employer or entity, or if she is seeking self-employment."</w:t>
            </w:r>
          </w:p>
        </w:tc>
        <w:tc>
          <w:tcPr>
            <w:tcW w:type="dxa" w:w="355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The endeavor is not pursued through any employer. It is self-directed research that I conduct as an independent researcher, in my own name, paid for from my own funds.</w:t>
            </w:r>
          </w:p>
        </w:tc>
        <w:tc>
          <w:tcPr>
            <w:tcW w:type="dxa" w:w="187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Parts III.B and IV.D; </w:t>
            </w:r>
            <w:r>
              <w:rPr>
                <w:rFonts w:ascii="Calibri" w:cs="Calibri" w:eastAsia="Calibri" w:hAnsi="Calibri"/>
                <w:color w:val="FF0000"/>
                <w:sz w:val="19"/>
                <w:szCs w:val="19"/>
              </w:rPr>
              <w:t xml:space="preserve">Exhibits RFE-3 and RFE-4</w:t>
            </w:r>
          </w:p>
        </w:tc>
      </w:tr>
      <w:tr>
        <w:trPr>
          <w:cantSplit/>
          <w:tblHeader w:val="false"/>
        </w:trPr>
        <w:tc>
          <w:tcPr>
            <w:tcW w:type="dxa" w:w="393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"The record does not support a conclusion that the beneficiary is or would be engaged in any ongoing research activities or projects."</w:t>
            </w:r>
          </w:p>
        </w:tc>
        <w:tc>
          <w:tcPr>
            <w:tcW w:type="dxa" w:w="355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Peer-reviewed papers published in 2024 and 2025, peer review service through 2025, three manuscripts for the endeavor now in preparation, and independent citation of the work through 2026.</w:t>
            </w:r>
          </w:p>
        </w:tc>
        <w:tc>
          <w:tcPr>
            <w:tcW w:type="dxa" w:w="187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Parts VI.D and VI.E; Table 26</w:t>
            </w:r>
          </w:p>
        </w:tc>
      </w:tr>
      <w:tr>
        <w:trPr>
          <w:cantSplit/>
          <w:tblHeader w:val="false"/>
        </w:trPr>
        <w:tc>
          <w:tcPr>
            <w:tcW w:type="dxa" w:w="393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"The beneficiary did not submit any evidence of how she will be able to afford her endeavor to include her living expenses."</w:t>
            </w:r>
          </w:p>
        </w:tc>
        <w:tc>
          <w:tcPr>
            <w:tcW w:type="dxa" w:w="355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Personal funds that cover both my living expenses and a stated research budget, with bank statements and a signed funding declaration.</w:t>
            </w:r>
          </w:p>
        </w:tc>
        <w:tc>
          <w:tcPr>
            <w:tcW w:type="dxa" w:w="187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Part IV.D; Table 9; </w:t>
            </w:r>
            <w:r>
              <w:rPr>
                <w:rFonts w:ascii="Calibri" w:cs="Calibri" w:eastAsia="Calibri" w:hAnsi="Calibri"/>
                <w:color w:val="FF0000"/>
                <w:sz w:val="19"/>
                <w:szCs w:val="19"/>
              </w:rPr>
              <w:t xml:space="preserve">Exhibits RFE-3 and RFE-4</w:t>
            </w:r>
          </w:p>
        </w:tc>
      </w:tr>
      <w:tr>
        <w:trPr>
          <w:cantSplit/>
          <w:tblHeader w:val="false"/>
        </w:trPr>
        <w:tc>
          <w:tcPr>
            <w:tcW w:type="dxa" w:w="393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"The record does not distinguish how many of the beneficiary's citations are independent, as opposed to self-citations."</w:t>
            </w:r>
          </w:p>
        </w:tc>
        <w:tc>
          <w:tcPr>
            <w:tcW w:type="dxa" w:w="355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An author-by-author check of thirty-four citing works: none shares any author with the paper it cites.</w:t>
            </w:r>
          </w:p>
        </w:tc>
        <w:tc>
          <w:tcPr>
            <w:tcW w:type="dxa" w:w="187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Part VI.K; Tables 30 and 31</w:t>
            </w:r>
          </w:p>
        </w:tc>
      </w:tr>
      <w:tr>
        <w:trPr>
          <w:cantSplit/>
          <w:tblHeader w:val="false"/>
        </w:trPr>
        <w:tc>
          <w:tcPr>
            <w:tcW w:type="dxa" w:w="393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The awards were not shown to recognize "excellence in the field of endeavor."</w:t>
            </w:r>
          </w:p>
        </w:tc>
        <w:tc>
          <w:tcPr>
            <w:tcW w:type="dxa" w:w="355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The award record is placed in context; the showing on the second prong rests principally on the documented record of success, independent citation and the plan.</w:t>
            </w:r>
          </w:p>
        </w:tc>
        <w:tc>
          <w:tcPr>
            <w:tcW w:type="dxa" w:w="187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Part VI.I</w:t>
            </w:r>
          </w:p>
        </w:tc>
      </w:tr>
      <w:tr>
        <w:trPr>
          <w:cantSplit/>
          <w:tblHeader w:val="false"/>
        </w:trPr>
        <w:tc>
          <w:tcPr>
            <w:tcW w:type="dxa" w:w="393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Memberships, job duties and similar activities "are all routine and expected."</w:t>
            </w:r>
          </w:p>
        </w:tc>
        <w:tc>
          <w:tcPr>
            <w:tcW w:type="dxa" w:w="355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I hold the highest grade of two professional bodies, each awarded by a panel on documentary evidence under published bylaws that the response quotes.</w:t>
            </w:r>
          </w:p>
        </w:tc>
        <w:tc>
          <w:tcPr>
            <w:tcW w:type="dxa" w:w="187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Parts VI.C and VI.I</w:t>
            </w:r>
          </w:p>
        </w:tc>
      </w:tr>
      <w:tr>
        <w:trPr>
          <w:cantSplit/>
          <w:tblHeader w:val="false"/>
        </w:trPr>
        <w:tc>
          <w:tcPr>
            <w:tcW w:type="dxa" w:w="393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Someone of substantial impact "would be known outside the circle of her personal or professional acquaintances."</w:t>
            </w:r>
          </w:p>
        </w:tc>
        <w:tc>
          <w:tcPr>
            <w:tcW w:type="dxa" w:w="355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The citing authors in Table 31 have no personal or professional connection to me; they found and used the work on its own merits.</w:t>
            </w:r>
          </w:p>
        </w:tc>
        <w:tc>
          <w:tcPr>
            <w:tcW w:type="dxa" w:w="187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Parts VI.C and VIII; Tables 24 and 31</w:t>
            </w:r>
          </w:p>
        </w:tc>
      </w:tr>
      <w:tr>
        <w:trPr>
          <w:cantSplit/>
          <w:tblHeader w:val="false"/>
        </w:trPr>
        <w:tc>
          <w:tcPr>
            <w:tcW w:type="dxa" w:w="393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The record does not show "that she has unique knowledge or skills, or that she is the principal leader of projects."</w:t>
            </w:r>
          </w:p>
        </w:tc>
        <w:tc>
          <w:tcPr>
            <w:tcW w:type="dxa" w:w="355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The endeavor is led by me alone; its projects are mine by design. Prong three is argued on its own factors.</w:t>
            </w:r>
          </w:p>
        </w:tc>
        <w:tc>
          <w:tcPr>
            <w:tcW w:type="dxa" w:w="187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Parts VI.J and VII</w:t>
            </w:r>
          </w:p>
        </w:tc>
      </w:tr>
      <w:tr>
        <w:trPr>
          <w:cantSplit/>
          <w:tblHeader w:val="false"/>
        </w:trPr>
        <w:tc>
          <w:tcPr>
            <w:tcW w:type="dxa" w:w="393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"The NIW waiver is not intended to grant individuals time to retain their current position, conduct a job search, or to search for collaborators or investors."</w:t>
            </w:r>
          </w:p>
        </w:tc>
        <w:tc>
          <w:tcPr>
            <w:tcW w:type="dxa" w:w="355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The endeavor needs no position, no new employer, no collaborator and no investor; it is self-funded research already under way.</w:t>
            </w:r>
          </w:p>
        </w:tc>
        <w:tc>
          <w:tcPr>
            <w:tcW w:type="dxa" w:w="187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Parts III.B, IV.D and VI.G</w:t>
            </w:r>
          </w:p>
        </w:tc>
      </w:tr>
      <w:tr>
        <w:trPr>
          <w:cantSplit/>
          <w:tblHeader w:val="false"/>
        </w:trPr>
        <w:tc>
          <w:tcPr>
            <w:tcW w:type="dxa" w:w="393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The record does not show that the work "has served as an impetus for progress in the field or that it has generated substantial positive discourse."</w:t>
            </w:r>
          </w:p>
        </w:tc>
        <w:tc>
          <w:tcPr>
            <w:tcW w:type="dxa" w:w="355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Thirty-four independent citing works in twelve countries, and a table showing which of my papers already advanced each part of the endeavor.</w:t>
            </w:r>
          </w:p>
        </w:tc>
        <w:tc>
          <w:tcPr>
            <w:tcW w:type="dxa" w:w="187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Parts VI.C, VI.E and VI.K; Tables 27 and 31</w:t>
            </w:r>
          </w:p>
        </w:tc>
      </w:tr>
      <w:tr>
        <w:trPr>
          <w:cantSplit/>
          <w:tblHeader w:val="false"/>
        </w:trPr>
        <w:tc>
          <w:tcPr>
            <w:tcW w:type="dxa" w:w="393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National importance was not tied to "a matter that a government entity has described as having national importance."</w:t>
            </w:r>
          </w:p>
        </w:tc>
        <w:tc>
          <w:tcPr>
            <w:tcW w:type="dxa" w:w="355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Four instruments of the current administration and earlier federal documents name the exact deficiency the endeavor addresses.</w:t>
            </w:r>
          </w:p>
        </w:tc>
        <w:tc>
          <w:tcPr>
            <w:tcW w:type="dxa" w:w="187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Part V.B(d); Tables 14, 15 and 20</w:t>
            </w:r>
          </w:p>
        </w:tc>
      </w:tr>
      <w:tr>
        <w:trPr>
          <w:cantSplit/>
          <w:tblHeader w:val="false"/>
        </w:trPr>
        <w:tc>
          <w:tcPr>
            <w:tcW w:type="dxa" w:w="393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Urgency "is outweighed ... by the negative factor of granting the national interest waiver over simply letting supply and demand forces ... add to the workforce."</w:t>
            </w:r>
          </w:p>
        </w:tc>
        <w:tc>
          <w:tcPr>
            <w:tcW w:type="dxa" w:w="355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The benefit argued is a public research output, not labor supply, and it adds to the work of U.S. workers rather than replacing it.</w:t>
            </w:r>
          </w:p>
        </w:tc>
        <w:tc>
          <w:tcPr>
            <w:tcW w:type="dxa" w:w="187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Part VII; Table 33</w:t>
            </w:r>
          </w:p>
        </w:tc>
      </w:tr>
    </w:tbl>
    <w:p>
      <w:pPr>
        <w:spacing w:after="80"/>
      </w:pPr>
    </w:p>
    <w:p>
      <w:pPr>
        <w:keepNext/>
        <w:spacing w:after="80" w:before="160"/>
      </w:pPr>
      <w:r>
        <w:rPr>
          <w:rFonts w:ascii="Calibri" w:cs="Calibri" w:eastAsia="Calibri" w:hAnsi="Calibri"/>
          <w:b/>
          <w:bCs/>
          <w:sz w:val="21"/>
          <w:szCs w:val="21"/>
        </w:rPr>
        <w:t xml:space="preserve">Table 3. The thirty requirements drawn from the Notice, and where each is met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2"/>
        <w:gridCol w:w="5054"/>
        <w:gridCol w:w="3744"/>
      </w:tblGrid>
      <w:tr>
        <w:trPr>
          <w:cantSplit/>
          <w:tblHeader/>
        </w:trPr>
        <w:tc>
          <w:tcPr>
            <w:tcW w:type="dxa" w:w="56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b/>
                <w:bCs/>
                <w:sz w:val="19"/>
                <w:szCs w:val="19"/>
              </w:rPr>
              <w:t xml:space="preserve">No.</w:t>
            </w:r>
          </w:p>
        </w:tc>
        <w:tc>
          <w:tcPr>
            <w:tcW w:type="dxa" w:w="505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b/>
                <w:bCs/>
                <w:sz w:val="19"/>
                <w:szCs w:val="19"/>
              </w:rPr>
              <w:t xml:space="preserve">Requirement</w:t>
            </w:r>
          </w:p>
        </w:tc>
        <w:tc>
          <w:tcPr>
            <w:tcW w:type="dxa" w:w="374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b/>
                <w:bCs/>
                <w:sz w:val="19"/>
                <w:szCs w:val="19"/>
              </w:rPr>
              <w:t xml:space="preserve">Where it is met</w:t>
            </w:r>
          </w:p>
        </w:tc>
      </w:tr>
      <w:tr>
        <w:trPr>
          <w:cantSplit/>
          <w:tblHeader w:val="false"/>
        </w:trPr>
        <w:tc>
          <w:tcPr>
            <w:tcW w:type="dxa" w:w="56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p>
        </w:tc>
        <w:tc>
          <w:tcPr>
            <w:tcW w:type="dxa" w:w="505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b/>
                <w:bCs/>
                <w:sz w:val="19"/>
                <w:szCs w:val="19"/>
              </w:rPr>
              <w:t xml:space="preserve">A. WHAT: the endeavor, projects, areas and objectives</w:t>
            </w:r>
          </w:p>
        </w:tc>
        <w:tc>
          <w:tcPr>
            <w:tcW w:type="dxa" w:w="374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p>
        </w:tc>
      </w:tr>
      <w:tr>
        <w:trPr>
          <w:cantSplit/>
          <w:tblHeader w:val="false"/>
        </w:trPr>
        <w:tc>
          <w:tcPr>
            <w:tcW w:type="dxa" w:w="56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1</w:t>
            </w:r>
          </w:p>
        </w:tc>
        <w:tc>
          <w:tcPr>
            <w:tcW w:type="dxa" w:w="505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Clearly and consistently define the proposed endeavor.</w:t>
            </w:r>
          </w:p>
        </w:tc>
        <w:tc>
          <w:tcPr>
            <w:tcW w:type="dxa" w:w="374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Part I (endeavor box); Part III.A</w:t>
            </w:r>
          </w:p>
        </w:tc>
      </w:tr>
      <w:tr>
        <w:trPr>
          <w:cantSplit/>
          <w:tblHeader w:val="false"/>
        </w:trPr>
        <w:tc>
          <w:tcPr>
            <w:tcW w:type="dxa" w:w="56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2</w:t>
            </w:r>
          </w:p>
        </w:tc>
        <w:tc>
          <w:tcPr>
            <w:tcW w:type="dxa" w:w="505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Provide specifics about what will be done in the United States.</w:t>
            </w:r>
          </w:p>
        </w:tc>
        <w:tc>
          <w:tcPr>
            <w:tcW w:type="dxa" w:w="374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Parts III.B and IV.B; Table 7</w:t>
            </w:r>
          </w:p>
        </w:tc>
      </w:tr>
      <w:tr>
        <w:trPr>
          <w:cantSplit/>
          <w:tblHeader w:val="false"/>
        </w:trPr>
        <w:tc>
          <w:tcPr>
            <w:tcW w:type="dxa" w:w="56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3</w:t>
            </w:r>
          </w:p>
        </w:tc>
        <w:tc>
          <w:tcPr>
            <w:tcW w:type="dxa" w:w="505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Identify the specific projects to be undertaken.</w:t>
            </w:r>
          </w:p>
        </w:tc>
        <w:tc>
          <w:tcPr>
            <w:tcW w:type="dxa" w:w="374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Part III.C; Table 4</w:t>
            </w:r>
          </w:p>
        </w:tc>
      </w:tr>
      <w:tr>
        <w:trPr>
          <w:cantSplit/>
          <w:tblHeader w:val="false"/>
        </w:trPr>
        <w:tc>
          <w:tcPr>
            <w:tcW w:type="dxa" w:w="56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4</w:t>
            </w:r>
          </w:p>
        </w:tc>
        <w:tc>
          <w:tcPr>
            <w:tcW w:type="dxa" w:w="505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Identify the specific research questions and topics.</w:t>
            </w:r>
          </w:p>
        </w:tc>
        <w:tc>
          <w:tcPr>
            <w:tcW w:type="dxa" w:w="374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Part III.C, research questions RQ1 to RQ6</w:t>
            </w:r>
          </w:p>
        </w:tc>
      </w:tr>
      <w:tr>
        <w:trPr>
          <w:cantSplit/>
          <w:tblHeader w:val="false"/>
        </w:trPr>
        <w:tc>
          <w:tcPr>
            <w:tcW w:type="dxa" w:w="56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5</w:t>
            </w:r>
          </w:p>
        </w:tc>
        <w:tc>
          <w:tcPr>
            <w:tcW w:type="dxa" w:w="505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State the objectives and how success is measured.</w:t>
            </w:r>
          </w:p>
        </w:tc>
        <w:tc>
          <w:tcPr>
            <w:tcW w:type="dxa" w:w="374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Part III.D; Table 4</w:t>
            </w:r>
          </w:p>
        </w:tc>
      </w:tr>
      <w:tr>
        <w:trPr>
          <w:cantSplit/>
          <w:tblHeader w:val="false"/>
        </w:trPr>
        <w:tc>
          <w:tcPr>
            <w:tcW w:type="dxa" w:w="56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p>
        </w:tc>
        <w:tc>
          <w:tcPr>
            <w:tcW w:type="dxa" w:w="505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b/>
                <w:bCs/>
                <w:sz w:val="19"/>
                <w:szCs w:val="19"/>
              </w:rPr>
              <w:t xml:space="preserve">B. HOW: techniques, methods, resources, funding, implementation</w:t>
            </w:r>
          </w:p>
        </w:tc>
        <w:tc>
          <w:tcPr>
            <w:tcW w:type="dxa" w:w="374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p>
        </w:tc>
      </w:tr>
      <w:tr>
        <w:trPr>
          <w:cantSplit/>
          <w:tblHeader w:val="false"/>
        </w:trPr>
        <w:tc>
          <w:tcPr>
            <w:tcW w:type="dxa" w:w="56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6</w:t>
            </w:r>
          </w:p>
        </w:tc>
        <w:tc>
          <w:tcPr>
            <w:tcW w:type="dxa" w:w="505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Explain the techniques and methodologies to be used.</w:t>
            </w:r>
          </w:p>
        </w:tc>
        <w:tc>
          <w:tcPr>
            <w:tcW w:type="dxa" w:w="374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Part IV.A; Table 6</w:t>
            </w:r>
          </w:p>
        </w:tc>
      </w:tr>
      <w:tr>
        <w:trPr>
          <w:cantSplit/>
          <w:tblHeader w:val="false"/>
        </w:trPr>
        <w:tc>
          <w:tcPr>
            <w:tcW w:type="dxa" w:w="56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7</w:t>
            </w:r>
          </w:p>
        </w:tc>
        <w:tc>
          <w:tcPr>
            <w:tcW w:type="dxa" w:w="505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Explain how the endeavor will be carried out in practice.</w:t>
            </w:r>
          </w:p>
        </w:tc>
        <w:tc>
          <w:tcPr>
            <w:tcW w:type="dxa" w:w="374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Part III.E (worked example); Part IV.B; Table 7</w:t>
            </w:r>
          </w:p>
        </w:tc>
      </w:tr>
      <w:tr>
        <w:trPr>
          <w:cantSplit/>
          <w:tblHeader w:val="false"/>
        </w:trPr>
        <w:tc>
          <w:tcPr>
            <w:tcW w:type="dxa" w:w="56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8</w:t>
            </w:r>
          </w:p>
        </w:tc>
        <w:tc>
          <w:tcPr>
            <w:tcW w:type="dxa" w:w="505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State the timeline.</w:t>
            </w:r>
          </w:p>
        </w:tc>
        <w:tc>
          <w:tcPr>
            <w:tcW w:type="dxa" w:w="374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Part IV.B; Table 7</w:t>
            </w:r>
          </w:p>
        </w:tc>
      </w:tr>
      <w:tr>
        <w:trPr>
          <w:cantSplit/>
          <w:tblHeader w:val="false"/>
        </w:trPr>
        <w:tc>
          <w:tcPr>
            <w:tcW w:type="dxa" w:w="56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9</w:t>
            </w:r>
          </w:p>
        </w:tc>
        <w:tc>
          <w:tcPr>
            <w:tcW w:type="dxa" w:w="505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State whether activities run simultaneously or consecutively.</w:t>
            </w:r>
          </w:p>
        </w:tc>
        <w:tc>
          <w:tcPr>
            <w:tcW w:type="dxa" w:w="374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Part IV.B; Table 7</w:t>
            </w:r>
          </w:p>
        </w:tc>
      </w:tr>
      <w:tr>
        <w:trPr>
          <w:cantSplit/>
          <w:tblHeader w:val="false"/>
        </w:trPr>
        <w:tc>
          <w:tcPr>
            <w:tcW w:type="dxa" w:w="56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10</w:t>
            </w:r>
          </w:p>
        </w:tc>
        <w:tc>
          <w:tcPr>
            <w:tcW w:type="dxa" w:w="505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Explain how the work will be funded, including living expenses.</w:t>
            </w:r>
          </w:p>
        </w:tc>
        <w:tc>
          <w:tcPr>
            <w:tcW w:type="dxa" w:w="374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Part IV.D; Table 9</w:t>
            </w:r>
          </w:p>
        </w:tc>
      </w:tr>
      <w:tr>
        <w:trPr>
          <w:cantSplit/>
          <w:tblHeader w:val="false"/>
        </w:trPr>
        <w:tc>
          <w:tcPr>
            <w:tcW w:type="dxa" w:w="56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11</w:t>
            </w:r>
          </w:p>
        </w:tc>
        <w:tc>
          <w:tcPr>
            <w:tcW w:type="dxa" w:w="505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Identify the necessary resources.</w:t>
            </w:r>
          </w:p>
        </w:tc>
        <w:tc>
          <w:tcPr>
            <w:tcW w:type="dxa" w:w="374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Part IV.C; Table 8</w:t>
            </w:r>
          </w:p>
        </w:tc>
      </w:tr>
      <w:tr>
        <w:trPr>
          <w:cantSplit/>
          <w:tblHeader w:val="false"/>
        </w:trPr>
        <w:tc>
          <w:tcPr>
            <w:tcW w:type="dxa" w:w="56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12</w:t>
            </w:r>
          </w:p>
        </w:tc>
        <w:tc>
          <w:tcPr>
            <w:tcW w:type="dxa" w:w="505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State through which entity the work is carried out.</w:t>
            </w:r>
          </w:p>
        </w:tc>
        <w:tc>
          <w:tcPr>
            <w:tcW w:type="dxa" w:w="374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Part III.B; Part IV.E</w:t>
            </w:r>
          </w:p>
        </w:tc>
      </w:tr>
      <w:tr>
        <w:trPr>
          <w:cantSplit/>
          <w:tblHeader w:val="false"/>
        </w:trPr>
        <w:tc>
          <w:tcPr>
            <w:tcW w:type="dxa" w:w="56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13</w:t>
            </w:r>
          </w:p>
        </w:tc>
        <w:tc>
          <w:tcPr>
            <w:tcW w:type="dxa" w:w="505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State how working time is allocated.</w:t>
            </w:r>
          </w:p>
        </w:tc>
        <w:tc>
          <w:tcPr>
            <w:tcW w:type="dxa" w:w="374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Part IV.G; Table 11</w:t>
            </w:r>
          </w:p>
        </w:tc>
      </w:tr>
      <w:tr>
        <w:trPr>
          <w:cantSplit/>
          <w:tblHeader w:val="false"/>
        </w:trPr>
        <w:tc>
          <w:tcPr>
            <w:tcW w:type="dxa" w:w="56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p>
        </w:tc>
        <w:tc>
          <w:tcPr>
            <w:tcW w:type="dxa" w:w="505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b/>
                <w:bCs/>
                <w:sz w:val="19"/>
                <w:szCs w:val="19"/>
              </w:rPr>
              <w:t xml:space="preserve">C. WHY IT MATTERS BEYOND ME: impact and national importance</w:t>
            </w:r>
          </w:p>
        </w:tc>
        <w:tc>
          <w:tcPr>
            <w:tcW w:type="dxa" w:w="374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p>
        </w:tc>
      </w:tr>
      <w:tr>
        <w:trPr>
          <w:cantSplit/>
          <w:tblHeader w:val="false"/>
        </w:trPr>
        <w:tc>
          <w:tcPr>
            <w:tcW w:type="dxa" w:w="56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14</w:t>
            </w:r>
          </w:p>
        </w:tc>
        <w:tc>
          <w:tcPr>
            <w:tcW w:type="dxa" w:w="505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Show benefit beyond a current or future employer or clients.</w:t>
            </w:r>
          </w:p>
        </w:tc>
        <w:tc>
          <w:tcPr>
            <w:tcW w:type="dxa" w:w="374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Part V.C; Table 21</w:t>
            </w:r>
          </w:p>
        </w:tc>
      </w:tr>
      <w:tr>
        <w:trPr>
          <w:cantSplit/>
          <w:tblHeader w:val="false"/>
        </w:trPr>
        <w:tc>
          <w:tcPr>
            <w:tcW w:type="dxa" w:w="56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15</w:t>
            </w:r>
          </w:p>
        </w:tc>
        <w:tc>
          <w:tcPr>
            <w:tcW w:type="dxa" w:w="505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Show prospective impact rather than the importance of the field.</w:t>
            </w:r>
          </w:p>
        </w:tc>
        <w:tc>
          <w:tcPr>
            <w:tcW w:type="dxa" w:w="374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Part V.B</w:t>
            </w:r>
          </w:p>
        </w:tc>
      </w:tr>
      <w:tr>
        <w:trPr>
          <w:cantSplit/>
          <w:tblHeader w:val="false"/>
        </w:trPr>
        <w:tc>
          <w:tcPr>
            <w:tcW w:type="dxa" w:w="56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16</w:t>
            </w:r>
          </w:p>
        </w:tc>
        <w:tc>
          <w:tcPr>
            <w:tcW w:type="dxa" w:w="505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Tie national initiatives to the specific endeavor, not the sector.</w:t>
            </w:r>
          </w:p>
        </w:tc>
        <w:tc>
          <w:tcPr>
            <w:tcW w:type="dxa" w:w="374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Part V.B(d); Tables 14, 15 and 20</w:t>
            </w:r>
          </w:p>
        </w:tc>
      </w:tr>
      <w:tr>
        <w:trPr>
          <w:cantSplit/>
          <w:tblHeader w:val="false"/>
        </w:trPr>
        <w:tc>
          <w:tcPr>
            <w:tcW w:type="dxa" w:w="56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17</w:t>
            </w:r>
          </w:p>
        </w:tc>
        <w:tc>
          <w:tcPr>
            <w:tcW w:type="dxa" w:w="505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Show how the endeavor affects the outlined problems at a commensurate level.</w:t>
            </w:r>
          </w:p>
        </w:tc>
        <w:tc>
          <w:tcPr>
            <w:tcW w:type="dxa" w:w="374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Parts III.A, V.B and V.F</w:t>
            </w:r>
          </w:p>
        </w:tc>
      </w:tr>
      <w:tr>
        <w:trPr>
          <w:cantSplit/>
          <w:tblHeader w:val="false"/>
        </w:trPr>
        <w:tc>
          <w:tcPr>
            <w:tcW w:type="dxa" w:w="56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18</w:t>
            </w:r>
          </w:p>
        </w:tc>
        <w:tc>
          <w:tcPr>
            <w:tcW w:type="dxa" w:w="505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Explain economic effects and potential job creation.</w:t>
            </w:r>
          </w:p>
        </w:tc>
        <w:tc>
          <w:tcPr>
            <w:tcW w:type="dxa" w:w="374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Parts V.B(b) and VII.D</w:t>
            </w:r>
          </w:p>
        </w:tc>
      </w:tr>
      <w:tr>
        <w:trPr>
          <w:cantSplit/>
          <w:tblHeader w:val="false"/>
        </w:trPr>
        <w:tc>
          <w:tcPr>
            <w:tcW w:type="dxa" w:w="56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19</w:t>
            </w:r>
          </w:p>
        </w:tc>
        <w:tc>
          <w:tcPr>
            <w:tcW w:type="dxa" w:w="505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Explain how results are disseminated.</w:t>
            </w:r>
          </w:p>
        </w:tc>
        <w:tc>
          <w:tcPr>
            <w:tcW w:type="dxa" w:w="374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Part V.D; Tables 22 and 23</w:t>
            </w:r>
          </w:p>
        </w:tc>
      </w:tr>
      <w:tr>
        <w:trPr>
          <w:cantSplit/>
          <w:tblHeader w:val="false"/>
        </w:trPr>
        <w:tc>
          <w:tcPr>
            <w:tcW w:type="dxa" w:w="56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20</w:t>
            </w:r>
          </w:p>
        </w:tc>
        <w:tc>
          <w:tcPr>
            <w:tcW w:type="dxa" w:w="505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Show contribution broader than the duties of a normal job.</w:t>
            </w:r>
          </w:p>
        </w:tc>
        <w:tc>
          <w:tcPr>
            <w:tcW w:type="dxa" w:w="374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Part V.E</w:t>
            </w:r>
          </w:p>
        </w:tc>
      </w:tr>
      <w:tr>
        <w:trPr>
          <w:cantSplit/>
          <w:tblHeader w:val="false"/>
        </w:trPr>
        <w:tc>
          <w:tcPr>
            <w:tcW w:type="dxa" w:w="56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p>
        </w:tc>
        <w:tc>
          <w:tcPr>
            <w:tcW w:type="dxa" w:w="505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b/>
                <w:bCs/>
                <w:sz w:val="19"/>
                <w:szCs w:val="19"/>
              </w:rPr>
              <w:t xml:space="preserve">D. WHY ME: qualifications, progress and interest</w:t>
            </w:r>
          </w:p>
        </w:tc>
        <w:tc>
          <w:tcPr>
            <w:tcW w:type="dxa" w:w="374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p>
        </w:tc>
      </w:tr>
      <w:tr>
        <w:trPr>
          <w:cantSplit/>
          <w:tblHeader w:val="false"/>
        </w:trPr>
        <w:tc>
          <w:tcPr>
            <w:tcW w:type="dxa" w:w="56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21</w:t>
            </w:r>
          </w:p>
        </w:tc>
        <w:tc>
          <w:tcPr>
            <w:tcW w:type="dxa" w:w="505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Show education, skills and record of success in similar efforts.</w:t>
            </w:r>
          </w:p>
        </w:tc>
        <w:tc>
          <w:tcPr>
            <w:tcW w:type="dxa" w:w="374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Parts VI.A to VI.C</w:t>
            </w:r>
          </w:p>
        </w:tc>
      </w:tr>
      <w:tr>
        <w:trPr>
          <w:cantSplit/>
          <w:tblHeader w:val="false"/>
        </w:trPr>
        <w:tc>
          <w:tcPr>
            <w:tcW w:type="dxa" w:w="56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22</w:t>
            </w:r>
          </w:p>
        </w:tc>
        <w:tc>
          <w:tcPr>
            <w:tcW w:type="dxa" w:w="505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Show ongoing research activity.</w:t>
            </w:r>
          </w:p>
        </w:tc>
        <w:tc>
          <w:tcPr>
            <w:tcW w:type="dxa" w:w="374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Part VI.D</w:t>
            </w:r>
          </w:p>
        </w:tc>
      </w:tr>
      <w:tr>
        <w:trPr>
          <w:cantSplit/>
          <w:tblHeader w:val="false"/>
        </w:trPr>
        <w:tc>
          <w:tcPr>
            <w:tcW w:type="dxa" w:w="56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23</w:t>
            </w:r>
          </w:p>
        </w:tc>
        <w:tc>
          <w:tcPr>
            <w:tcW w:type="dxa" w:w="505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Show progress already made toward the endeavor.</w:t>
            </w:r>
          </w:p>
        </w:tc>
        <w:tc>
          <w:tcPr>
            <w:tcW w:type="dxa" w:w="374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Part VI.E; Table 26</w:t>
            </w:r>
          </w:p>
        </w:tc>
      </w:tr>
      <w:tr>
        <w:trPr>
          <w:cantSplit/>
          <w:tblHeader w:val="false"/>
        </w:trPr>
        <w:tc>
          <w:tcPr>
            <w:tcW w:type="dxa" w:w="56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24</w:t>
            </w:r>
          </w:p>
        </w:tc>
        <w:tc>
          <w:tcPr>
            <w:tcW w:type="dxa" w:w="505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Show interest of potential users or other relevant parties.</w:t>
            </w:r>
          </w:p>
        </w:tc>
        <w:tc>
          <w:tcPr>
            <w:tcW w:type="dxa" w:w="374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Part VI.G; Table 31</w:t>
            </w:r>
          </w:p>
        </w:tc>
      </w:tr>
      <w:tr>
        <w:trPr>
          <w:cantSplit/>
          <w:tblHeader w:val="false"/>
        </w:trPr>
        <w:tc>
          <w:tcPr>
            <w:tcW w:type="dxa" w:w="56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25</w:t>
            </w:r>
          </w:p>
        </w:tc>
        <w:tc>
          <w:tcPr>
            <w:tcW w:type="dxa" w:w="505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Distinguish independent citations from self-citations.</w:t>
            </w:r>
          </w:p>
        </w:tc>
        <w:tc>
          <w:tcPr>
            <w:tcW w:type="dxa" w:w="374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Part VI.K; Tables 30 and 31</w:t>
            </w:r>
          </w:p>
        </w:tc>
      </w:tr>
      <w:tr>
        <w:trPr>
          <w:cantSplit/>
          <w:tblHeader w:val="false"/>
        </w:trPr>
        <w:tc>
          <w:tcPr>
            <w:tcW w:type="dxa" w:w="56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26</w:t>
            </w:r>
          </w:p>
        </w:tc>
        <w:tc>
          <w:tcPr>
            <w:tcW w:type="dxa" w:w="505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Show influence known outside personal and professional acquaintances.</w:t>
            </w:r>
          </w:p>
        </w:tc>
        <w:tc>
          <w:tcPr>
            <w:tcW w:type="dxa" w:w="374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Parts VI.C and VIII</w:t>
            </w:r>
          </w:p>
        </w:tc>
      </w:tr>
      <w:tr>
        <w:trPr>
          <w:cantSplit/>
          <w:tblHeader w:val="false"/>
        </w:trPr>
        <w:tc>
          <w:tcPr>
            <w:tcW w:type="dxa" w:w="56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27</w:t>
            </w:r>
          </w:p>
        </w:tc>
        <w:tc>
          <w:tcPr>
            <w:tcW w:type="dxa" w:w="505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Show the beneficiary's leading role in the endeavor.</w:t>
            </w:r>
          </w:p>
        </w:tc>
        <w:tc>
          <w:tcPr>
            <w:tcW w:type="dxa" w:w="374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Parts III.B and VI.J</w:t>
            </w:r>
          </w:p>
        </w:tc>
      </w:tr>
      <w:tr>
        <w:trPr>
          <w:cantSplit/>
          <w:tblHeader w:val="false"/>
        </w:trPr>
        <w:tc>
          <w:tcPr>
            <w:tcW w:type="dxa" w:w="56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p>
        </w:tc>
        <w:tc>
          <w:tcPr>
            <w:tcW w:type="dxa" w:w="505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b/>
                <w:bCs/>
                <w:sz w:val="19"/>
                <w:szCs w:val="19"/>
              </w:rPr>
              <w:t xml:space="preserve">E. WHY WAIVE: the third prong</w:t>
            </w:r>
          </w:p>
        </w:tc>
        <w:tc>
          <w:tcPr>
            <w:tcW w:type="dxa" w:w="374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p>
        </w:tc>
      </w:tr>
      <w:tr>
        <w:trPr>
          <w:cantSplit/>
          <w:tblHeader w:val="false"/>
        </w:trPr>
        <w:tc>
          <w:tcPr>
            <w:tcW w:type="dxa" w:w="56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28</w:t>
            </w:r>
          </w:p>
        </w:tc>
        <w:tc>
          <w:tcPr>
            <w:tcW w:type="dxa" w:w="505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Address why, on balance, the waiver benefits the United States.</w:t>
            </w:r>
          </w:p>
        </w:tc>
        <w:tc>
          <w:tcPr>
            <w:tcW w:type="dxa" w:w="374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Part VII; Table 33</w:t>
            </w:r>
          </w:p>
        </w:tc>
      </w:tr>
      <w:tr>
        <w:trPr>
          <w:cantSplit/>
          <w:tblHeader w:val="false"/>
        </w:trPr>
        <w:tc>
          <w:tcPr>
            <w:tcW w:type="dxa" w:w="56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29</w:t>
            </w:r>
          </w:p>
        </w:tc>
        <w:tc>
          <w:tcPr>
            <w:tcW w:type="dxa" w:w="505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Explain why labor certification is impractical for this endeavor.</w:t>
            </w:r>
          </w:p>
        </w:tc>
        <w:tc>
          <w:tcPr>
            <w:tcW w:type="dxa" w:w="374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Part VII.A</w:t>
            </w:r>
          </w:p>
        </w:tc>
      </w:tr>
      <w:tr>
        <w:trPr>
          <w:cantSplit/>
          <w:tblHeader w:val="false"/>
        </w:trPr>
        <w:tc>
          <w:tcPr>
            <w:tcW w:type="dxa" w:w="56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30</w:t>
            </w:r>
          </w:p>
        </w:tc>
        <w:tc>
          <w:tcPr>
            <w:tcW w:type="dxa" w:w="505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Provide documentary evidence supporting the assertions.</w:t>
            </w:r>
          </w:p>
        </w:tc>
        <w:tc>
          <w:tcPr>
            <w:tcW w:type="dxa" w:w="374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Index of Exhibits; </w:t>
            </w:r>
            <w:r>
              <w:rPr>
                <w:rFonts w:ascii="Calibri" w:cs="Calibri" w:eastAsia="Calibri" w:hAnsi="Calibri"/>
                <w:color w:val="FF0000"/>
                <w:sz w:val="19"/>
                <w:szCs w:val="19"/>
              </w:rPr>
              <w:t xml:space="preserve">Exhibits RFE-1 to RFE-24</w:t>
            </w:r>
          </w:p>
        </w:tc>
      </w:tr>
    </w:tbl>
    <w:p>
      <w:pPr>
        <w:spacing w:after="80"/>
      </w:pPr>
    </w:p>
    <w:p>
      <w:pPr>
        <w:spacing w:after="120" w:line="264"/>
        <w:jc w:val="both"/>
      </w:pPr>
      <w:r>
        <w:rPr>
          <w:rFonts w:ascii="Calibri" w:cs="Calibri" w:eastAsia="Calibri" w:hAnsi="Calibri"/>
          <w:sz w:val="22"/>
          <w:szCs w:val="22"/>
        </w:rPr>
        <w:t xml:space="preserve">The legal standard is not in dispute. Under </w:t>
      </w:r>
      <w:r>
        <w:rPr>
          <w:rFonts w:ascii="Calibri" w:cs="Calibri" w:eastAsia="Calibri" w:hAnsi="Calibri"/>
          <w:i/>
          <w:iCs/>
          <w:sz w:val="22"/>
          <w:szCs w:val="22"/>
        </w:rPr>
        <w:t xml:space="preserve">Dhanasar</w:t>
      </w:r>
      <w:r>
        <w:rPr>
          <w:rFonts w:ascii="Calibri" w:cs="Calibri" w:eastAsia="Calibri" w:hAnsi="Calibri"/>
          <w:sz w:val="22"/>
          <w:szCs w:val="22"/>
        </w:rPr>
        <w:t xml:space="preserve">, USCIS may grant a national interest waiver if the petitioner shows by a preponderance of the evidence that the proposed endeavor has substantial merit and national importance, that the petitioner is well positioned to advance it, and that on balance it would be beneficial to the United States to waive the job offer and labor certification requirements. </w:t>
      </w:r>
      <w:r>
        <w:rPr>
          <w:rFonts w:ascii="Calibri" w:cs="Calibri" w:eastAsia="Calibri" w:hAnsi="Calibri"/>
          <w:i/>
          <w:iCs/>
          <w:sz w:val="22"/>
          <w:szCs w:val="22"/>
        </w:rPr>
        <w:t xml:space="preserve">Dhanasar</w:t>
      </w:r>
      <w:r>
        <w:rPr>
          <w:rFonts w:ascii="Calibri" w:cs="Calibri" w:eastAsia="Calibri" w:hAnsi="Calibri"/>
          <w:sz w:val="22"/>
          <w:szCs w:val="22"/>
        </w:rPr>
        <w:t xml:space="preserve">, 26 I&amp;N Dec. at 889-91. The preponderance standard asks whether each claim is "more likely than not" true; it does not require certainty. </w:t>
      </w:r>
      <w:r>
        <w:rPr>
          <w:rFonts w:ascii="Calibri" w:cs="Calibri" w:eastAsia="Calibri" w:hAnsi="Calibri"/>
          <w:i/>
          <w:iCs/>
          <w:sz w:val="22"/>
          <w:szCs w:val="22"/>
        </w:rPr>
        <w:t xml:space="preserve">Matter of Chawathe</w:t>
      </w:r>
      <w:r>
        <w:rPr>
          <w:rFonts w:ascii="Calibri" w:cs="Calibri" w:eastAsia="Calibri" w:hAnsi="Calibri"/>
          <w:sz w:val="22"/>
          <w:szCs w:val="22"/>
        </w:rPr>
        <w:t xml:space="preserve">, 25 I&amp;N Dec. 369, 375-76 (AAO 2010); </w:t>
      </w:r>
      <w:r>
        <w:rPr>
          <w:rFonts w:ascii="Calibri" w:cs="Calibri" w:eastAsia="Calibri" w:hAnsi="Calibri"/>
          <w:i/>
          <w:iCs/>
          <w:sz w:val="22"/>
          <w:szCs w:val="22"/>
        </w:rPr>
        <w:t xml:space="preserve">Matter of E-M-</w:t>
      </w:r>
      <w:r>
        <w:rPr>
          <w:rFonts w:ascii="Calibri" w:cs="Calibri" w:eastAsia="Calibri" w:hAnsi="Calibri"/>
          <w:sz w:val="22"/>
          <w:szCs w:val="22"/>
        </w:rPr>
        <w:t xml:space="preserve">, 20 I&amp;N Dec. 77, 79-80 (Comm'r 1989). The Notice itself confirms that "the beneficiary may be well positioned to advance the endeavor even if there is no certainty that the proposed endeavor will be a success."</w:t>
      </w:r>
    </w:p>
    <w:p>
      <w:pPr>
        <w:pStyle w:val="Heading1"/>
        <w:keepNext/>
        <w:spacing w:after="140" w:before="280"/>
      </w:pPr>
      <w:r>
        <w:rPr>
          <w:rFonts w:ascii="Calibri" w:cs="Calibri" w:eastAsia="Calibri" w:hAnsi="Calibri"/>
          <w:b/>
          <w:bCs/>
          <w:color w:val="1F3864"/>
          <w:sz w:val="26"/>
          <w:szCs w:val="26"/>
        </w:rPr>
        <w:t xml:space="preserve">III. WHAT: The Proposed Endeavor, Its Projects and Its Objectives</w:t>
      </w:r>
    </w:p>
    <w:p>
      <w:pPr>
        <w:pStyle w:val="Heading2"/>
        <w:keepNext/>
        <w:spacing w:after="100" w:before="200"/>
      </w:pPr>
      <w:r>
        <w:rPr>
          <w:rFonts w:ascii="Calibri" w:cs="Calibri" w:eastAsia="Calibri" w:hAnsi="Calibri"/>
          <w:b/>
          <w:bCs/>
          <w:color w:val="1F3864"/>
          <w:sz w:val="23"/>
          <w:szCs w:val="23"/>
        </w:rPr>
        <w:t xml:space="preserve">A. The endeavor defined, and the problem it addresses</w:t>
      </w:r>
    </w:p>
    <w:p>
      <w:pPr>
        <w:spacing w:after="120" w:line="264"/>
        <w:jc w:val="both"/>
      </w:pPr>
      <w:r>
        <w:rPr>
          <w:rFonts w:ascii="Calibri" w:cs="Calibri" w:eastAsia="Calibri" w:hAnsi="Calibri"/>
          <w:sz w:val="22"/>
          <w:szCs w:val="22"/>
        </w:rPr>
        <w:t xml:space="preserve">The Notice quotes the endeavor as filed and finds that it "is described in terms of broad concepts or fields." I therefore begin with the problem, stated narrowly enough to be measured. The problem is not cybersecurity in general. It is a specific failure that recurs in the institutions with the least security staff: access is granted and never removed, accounts that matter are protected by a password alone, cloud resources are left exposed by configuration, and the same unowned accounts and idle resources that create the exposure also drain the budget that could close it. These are four faces of one governance failure, and three recent cases show what it costs.</w:t>
      </w:r>
    </w:p>
    <w:p>
      <w:pPr>
        <w:pStyle w:val="ListParagraph"/>
        <w:numPr>
          <w:ilvl w:val="0"/>
          <w:numId w:val="2"/>
        </w:numPr>
        <w:spacing w:after="70" w:line="260"/>
        <w:jc w:val="both"/>
      </w:pPr>
      <w:r>
        <w:rPr>
          <w:rFonts w:ascii="Calibri" w:cs="Calibri" w:eastAsia="Calibri" w:hAnsi="Calibri"/>
          <w:b/>
          <w:bCs/>
          <w:sz w:val="22"/>
          <w:szCs w:val="22"/>
        </w:rPr>
        <w:t xml:space="preserve">A rural hospital closed.</w:t>
      </w:r>
      <w:r>
        <w:rPr>
          <w:rFonts w:ascii="Calibri" w:cs="Calibri" w:eastAsia="Calibri" w:hAnsi="Calibri"/>
          <w:sz w:val="22"/>
          <w:szCs w:val="22"/>
        </w:rPr>
        <w:t xml:space="preserve"> St. Margaret's Health in Spring Valley, Illinois, a 44-bed hospital, was hit by ransomware in February 2021. The attack left it unable to submit claims to insurers, Medicare or Medicaid for months, and when the system closed its Spring Valley and Peru hospitals in June 2023 it named the cyberattack among the reasons (</w:t>
      </w:r>
      <w:r>
        <w:rPr>
          <w:rFonts w:ascii="Calibri" w:cs="Calibri" w:eastAsia="Calibri" w:hAnsi="Calibri"/>
          <w:b/>
          <w:bCs/>
          <w:color w:val="FF0000"/>
          <w:sz w:val="22"/>
          <w:szCs w:val="22"/>
        </w:rPr>
        <w:t xml:space="preserve">Exhibit RFE-11</w:t>
      </w:r>
      <w:r>
        <w:rPr>
          <w:rFonts w:ascii="Calibri" w:cs="Calibri" w:eastAsia="Calibri" w:hAnsi="Calibri"/>
          <w:sz w:val="22"/>
          <w:szCs w:val="22"/>
        </w:rPr>
        <w:t xml:space="preserve">). It is reported as the first hospital closure linked to a cyberattack. For a small hospital the loss of billing is the loss of the institution.</w:t>
      </w:r>
    </w:p>
    <w:p>
      <w:pPr>
        <w:pStyle w:val="ListParagraph"/>
        <w:numPr>
          <w:ilvl w:val="0"/>
          <w:numId w:val="2"/>
        </w:numPr>
        <w:spacing w:after="70" w:line="260"/>
        <w:jc w:val="both"/>
      </w:pPr>
      <w:r>
        <w:rPr>
          <w:rFonts w:ascii="Calibri" w:cs="Calibri" w:eastAsia="Calibri" w:hAnsi="Calibri"/>
          <w:b/>
          <w:bCs/>
          <w:sz w:val="22"/>
          <w:szCs w:val="22"/>
        </w:rPr>
        <w:t xml:space="preserve">The largest health data breach in U.S. history began with one missing control.</w:t>
      </w:r>
      <w:r>
        <w:rPr>
          <w:rFonts w:ascii="Calibri" w:cs="Calibri" w:eastAsia="Calibri" w:hAnsi="Calibri"/>
          <w:sz w:val="22"/>
          <w:szCs w:val="22"/>
        </w:rPr>
        <w:t xml:space="preserve"> The February 2024 ransomware attack on Change Healthcare, a claims clearinghouse used by providers across the country, entered through a remote-access portal that lacked multi-factor authentication. Change Healthcare reported to the HHS Office for Civil Rights in July 2025 that about 192.7 million individuals were affected (</w:t>
      </w:r>
      <w:r>
        <w:rPr>
          <w:rFonts w:ascii="Calibri" w:cs="Calibri" w:eastAsia="Calibri" w:hAnsi="Calibri"/>
          <w:b/>
          <w:bCs/>
          <w:color w:val="FF0000"/>
          <w:sz w:val="22"/>
          <w:szCs w:val="22"/>
        </w:rPr>
        <w:t xml:space="preserve">Exhibit RFE-9</w:t>
      </w:r>
      <w:r>
        <w:rPr>
          <w:rFonts w:ascii="Calibri" w:cs="Calibri" w:eastAsia="Calibri" w:hAnsi="Calibri"/>
          <w:sz w:val="22"/>
          <w:szCs w:val="22"/>
        </w:rPr>
        <w:t xml:space="preserve">). Thousands of pharmacies and providers, including small practices with no security staff of their own, lost the ability to process claims.</w:t>
      </w:r>
    </w:p>
    <w:p>
      <w:pPr>
        <w:pStyle w:val="ListParagraph"/>
        <w:numPr>
          <w:ilvl w:val="0"/>
          <w:numId w:val="2"/>
        </w:numPr>
        <w:spacing w:after="70" w:line="260"/>
        <w:jc w:val="both"/>
      </w:pPr>
      <w:r>
        <w:rPr>
          <w:rFonts w:ascii="Calibri" w:cs="Calibri" w:eastAsia="Calibri" w:hAnsi="Calibri"/>
          <w:b/>
          <w:bCs/>
          <w:sz w:val="22"/>
          <w:szCs w:val="22"/>
        </w:rPr>
        <w:t xml:space="preserve">Cloud accounts were opened with stolen passwords.</w:t>
      </w:r>
      <w:r>
        <w:rPr>
          <w:rFonts w:ascii="Calibri" w:cs="Calibri" w:eastAsia="Calibri" w:hAnsi="Calibri"/>
          <w:sz w:val="22"/>
          <w:szCs w:val="22"/>
        </w:rPr>
        <w:t xml:space="preserve"> In 2024 a financially motivated group that Mandiant tracks as UNC5537 used credentials stolen by infostealer malware, some dating to 2020 and never rotated, to enter customer accounts on the Snowflake cloud data platform. Mandiant found that the affected accounts lacked multi-factor authentication and lacked network allow lists, and about 165 organizations were notified (</w:t>
      </w:r>
      <w:r>
        <w:rPr>
          <w:rFonts w:ascii="Calibri" w:cs="Calibri" w:eastAsia="Calibri" w:hAnsi="Calibri"/>
          <w:b/>
          <w:bCs/>
          <w:color w:val="FF0000"/>
          <w:sz w:val="22"/>
          <w:szCs w:val="22"/>
        </w:rPr>
        <w:t xml:space="preserve">Exhibit RFE-10</w:t>
      </w:r>
      <w:r>
        <w:rPr>
          <w:rFonts w:ascii="Calibri" w:cs="Calibri" w:eastAsia="Calibri" w:hAnsi="Calibri"/>
          <w:sz w:val="22"/>
          <w:szCs w:val="22"/>
        </w:rPr>
        <w:t xml:space="preserve">). The platform itself was not breached; customer-side governance was.</w:t>
      </w:r>
    </w:p>
    <w:p>
      <w:pPr>
        <w:spacing w:after="120" w:line="264"/>
        <w:jc w:val="both"/>
      </w:pPr>
      <w:r>
        <w:rPr>
          <w:rFonts w:ascii="Calibri" w:cs="Calibri" w:eastAsia="Calibri" w:hAnsi="Calibri"/>
          <w:sz w:val="22"/>
          <w:szCs w:val="22"/>
        </w:rPr>
        <w:t xml:space="preserve">Each case turns on controls that are well understood and inexpensive: phishing-resistant multi-factor authentication, removal of stale and over-privileged access, restriction of where an account can be used from, and continuous audit of cloud configuration. The federal government has written those controls down. The Cybersecurity and Infrastructure Security Agency (CISA) Zero Trust Maturity Model defines the five pillars (petition </w:t>
      </w:r>
      <w:r>
        <w:rPr>
          <w:rFonts w:ascii="Calibri" w:cs="Calibri" w:eastAsia="Calibri" w:hAnsi="Calibri"/>
          <w:b/>
          <w:bCs/>
          <w:color w:val="FF0000"/>
          <w:sz w:val="22"/>
          <w:szCs w:val="22"/>
        </w:rPr>
        <w:t xml:space="preserve">Exhibit 22</w:t>
      </w:r>
      <w:r>
        <w:rPr>
          <w:rFonts w:ascii="Calibri" w:cs="Calibri" w:eastAsia="Calibri" w:hAnsi="Calibri"/>
          <w:sz w:val="22"/>
          <w:szCs w:val="22"/>
        </w:rPr>
        <w:t xml:space="preserve">); NIST's final practice guide, Implementing a Zero Trust Architecture (SP 1800-35, June 2025), documents nineteen example implementations built with twenty-four vendors (</w:t>
      </w:r>
      <w:r>
        <w:rPr>
          <w:rFonts w:ascii="Calibri" w:cs="Calibri" w:eastAsia="Calibri" w:hAnsi="Calibri"/>
          <w:b/>
          <w:bCs/>
          <w:color w:val="FF0000"/>
          <w:sz w:val="22"/>
          <w:szCs w:val="22"/>
        </w:rPr>
        <w:t xml:space="preserve">Exhibit RFE-7</w:t>
      </w:r>
      <w:r>
        <w:rPr>
          <w:rFonts w:ascii="Calibri" w:cs="Calibri" w:eastAsia="Calibri" w:hAnsi="Calibri"/>
          <w:sz w:val="22"/>
          <w:szCs w:val="22"/>
        </w:rPr>
        <w:t xml:space="preserve">); and HHS has published Cybersecurity Performance Goals that name multi-factor authentication, asset inventory and network segmentation as goals for health care organizations (</w:t>
      </w:r>
      <w:r>
        <w:rPr>
          <w:rFonts w:ascii="Calibri" w:cs="Calibri" w:eastAsia="Calibri" w:hAnsi="Calibri"/>
          <w:b/>
          <w:bCs/>
          <w:color w:val="FF0000"/>
          <w:sz w:val="22"/>
          <w:szCs w:val="22"/>
        </w:rPr>
        <w:t xml:space="preserve">Exhibit RFE-8</w:t>
      </w:r>
      <w:r>
        <w:rPr>
          <w:rFonts w:ascii="Calibri" w:cs="Calibri" w:eastAsia="Calibri" w:hAnsi="Calibri"/>
          <w:sz w:val="22"/>
          <w:szCs w:val="22"/>
        </w:rPr>
        <w:t xml:space="preserve">). NIST's guide reports implementation and test results for its enterprise builds, and HHS and CISA set out which practices to adopt (</w:t>
      </w:r>
      <w:r>
        <w:rPr>
          <w:rFonts w:ascii="Calibri" w:cs="Calibri" w:eastAsia="Calibri" w:hAnsi="Calibri"/>
          <w:b/>
          <w:bCs/>
          <w:color w:val="FF0000"/>
          <w:sz w:val="22"/>
          <w:szCs w:val="22"/>
        </w:rPr>
        <w:t xml:space="preserve">Exhibits RFE-18 and RFE-19</w:t>
      </w:r>
      <w:r>
        <w:rPr>
          <w:rFonts w:ascii="Calibri" w:cs="Calibri" w:eastAsia="Calibri" w:hAnsi="Calibri"/>
          <w:sz w:val="22"/>
          <w:szCs w:val="22"/>
        </w:rPr>
        <w:t xml:space="preserve">). None of these documents reports, for environments the size of a critical access hospital or a county IT office, which controls stop which attacks, in what order a two-person team should deploy them, and what each costs and recovers. That is the gap the endeavor fills.</w:t>
      </w:r>
    </w:p>
    <w:p>
      <w:pPr>
        <w:spacing w:after="120" w:line="264"/>
        <w:jc w:val="both"/>
      </w:pPr>
      <w:r>
        <w:rPr>
          <w:rFonts w:ascii="Calibri" w:cs="Calibri" w:eastAsia="Calibri" w:hAnsi="Calibri"/>
          <w:sz w:val="22"/>
          <w:szCs w:val="22"/>
        </w:rPr>
        <w:t xml:space="preserve">The endeavor is therefore defined as follows. I will build, test and publish an open, six-pillar Zero Trust governance framework for under-resourced U.S. institutions, using reproducible simulated environments that I construct and attack myself, and I will publish the measured results, the control catalogue and the code so that any such institution can apply them. It is defined by the problem it addresses and the discipline it applies, and it is portable: it does not depend on any employer, client or location.</w:t>
      </w:r>
    </w:p>
    <w:p>
      <w:pPr>
        <w:pStyle w:val="Heading2"/>
        <w:keepNext/>
        <w:spacing w:after="100" w:before="200"/>
      </w:pPr>
      <w:r>
        <w:rPr>
          <w:rFonts w:ascii="Calibri" w:cs="Calibri" w:eastAsia="Calibri" w:hAnsi="Calibri"/>
          <w:b/>
          <w:bCs/>
          <w:color w:val="1F3864"/>
          <w:sz w:val="23"/>
          <w:szCs w:val="23"/>
        </w:rPr>
        <w:t xml:space="preserve">B. What will be done in the United States, and through which entity</w:t>
      </w:r>
    </w:p>
    <w:p>
      <w:pPr>
        <w:spacing w:after="120" w:line="264"/>
        <w:jc w:val="both"/>
      </w:pPr>
      <w:r>
        <w:rPr>
          <w:rFonts w:ascii="Calibri" w:cs="Calibri" w:eastAsia="Calibri" w:hAnsi="Calibri"/>
          <w:sz w:val="22"/>
          <w:szCs w:val="22"/>
        </w:rPr>
        <w:t xml:space="preserve">The Notice states that "it is unclear if the beneficiary seeks to pursue her proposed endeavor through [her current employer], through a different U.S. employer or entity, or if she is seeking self-employment." The answer is direct. The endeavor is not pursued through any employer, now or later. It is self-directed research that I conduct as an independent researcher, in my own name, on equipment and cloud accounts I own, paid for from my own funds (Part IV.D; </w:t>
      </w:r>
      <w:r>
        <w:rPr>
          <w:rFonts w:ascii="Calibri" w:cs="Calibri" w:eastAsia="Calibri" w:hAnsi="Calibri"/>
          <w:b/>
          <w:bCs/>
          <w:color w:val="FF0000"/>
          <w:sz w:val="22"/>
          <w:szCs w:val="22"/>
        </w:rPr>
        <w:t xml:space="preserve">Exhibits RFE-3 and RFE-4</w:t>
      </w:r>
      <w:r>
        <w:rPr>
          <w:rFonts w:ascii="Calibri" w:cs="Calibri" w:eastAsia="Calibri" w:hAnsi="Calibri"/>
          <w:sz w:val="22"/>
          <w:szCs w:val="22"/>
        </w:rPr>
        <w:t xml:space="preserve">). No employer directs it, funds it, owns its results or decides what is published, and no employer's systems or data are used in it. That is what makes its outputs public from the first day, and it is why the endeavor would continue unchanged whatever job I hold.</w:t>
      </w:r>
    </w:p>
    <w:p>
      <w:pPr>
        <w:spacing w:after="120" w:line="264"/>
        <w:jc w:val="both"/>
      </w:pPr>
      <w:r>
        <w:rPr>
          <w:rFonts w:ascii="Calibri" w:cs="Calibri" w:eastAsia="Calibri" w:hAnsi="Calibri"/>
          <w:sz w:val="22"/>
          <w:szCs w:val="22"/>
        </w:rPr>
        <w:t xml:space="preserve">The Notice lists phrases from the petition, "continue direct implementation practice," "conduct structured implementation engagement," "execute the empirical research program" and "mentoring practitioners," and reads them as separate opportunities or positions. They are not positions. They are stages of one research programme carried out by one person, and Table 7 shows when each runs. The petition put them in sequence. It would first "consolidate the framework's reference documentation, mapping each control family to the CISA maturity stages and to the regulatory regimes that govern the target institutions," and then "conduct structured implementation engagements with initial adopter institutions across the target classes, instrumenting each engagement for measurable outcomes." This response keeps that sequence. The framework is first implemented and validated in reference environments that model each target class, so that its first measured results do not wait on any outside institution agreeing to host me. Implementation with volunteer adopter institutions follows from month 25, as field validation of the published results (Table 7). Part III.F traces each element to the petition.</w:t>
      </w:r>
    </w:p>
    <w:p>
      <w:pPr>
        <w:spacing w:after="120" w:line="264"/>
        <w:jc w:val="both"/>
      </w:pPr>
      <w:r>
        <w:rPr>
          <w:rFonts w:ascii="Calibri" w:cs="Calibri" w:eastAsia="Calibri" w:hAnsi="Calibri"/>
          <w:sz w:val="22"/>
          <w:szCs w:val="22"/>
        </w:rPr>
        <w:t xml:space="preserve">In the United States I will carry out three research projects, described in Part III.C, over a 36-month programme with quarterly milestones (Table 7). The work combines four activities: building simulated institutional environments in cloud test tenants from published code; deploying and configuring the six-pillar control set in each; emulating documented attacks against each environment before and after each control is applied; and analysing, writing and releasing the results. Every activity ends in a public output: a peer-reviewed paper, a released control catalogue, a released code repository or a published dataset (Table 22).</w:t>
      </w:r>
    </w:p>
    <w:p>
      <w:pPr>
        <w:pStyle w:val="Heading2"/>
        <w:keepNext/>
        <w:spacing w:after="100" w:before="200"/>
      </w:pPr>
      <w:r>
        <w:rPr>
          <w:rFonts w:ascii="Calibri" w:cs="Calibri" w:eastAsia="Calibri" w:hAnsi="Calibri"/>
          <w:b/>
          <w:bCs/>
          <w:color w:val="1F3864"/>
          <w:sz w:val="23"/>
          <w:szCs w:val="23"/>
        </w:rPr>
        <w:t xml:space="preserve">C. The three research projects and the research questions</w:t>
      </w:r>
    </w:p>
    <w:p>
      <w:pPr>
        <w:spacing w:after="120" w:line="264"/>
        <w:jc w:val="both"/>
      </w:pPr>
      <w:r>
        <w:rPr>
          <w:rFonts w:ascii="Calibri" w:cs="Calibri" w:eastAsia="Calibri" w:hAnsi="Calibri"/>
          <w:sz w:val="22"/>
          <w:szCs w:val="22"/>
        </w:rPr>
        <w:t xml:space="preserve">The endeavor comprises three projects. Each addresses defined research questions (RQ1 to RQ6) and produces stated outputs. Table 4 summarizes them; Part IV sets out how each is carried out. All three apply one governance method, the same six steps in every pillar and every environment:</w:t>
      </w:r>
    </w:p>
    <w:p>
      <w:pPr>
        <w:pStyle w:val="ListParagraph"/>
        <w:numPr>
          <w:ilvl w:val="0"/>
          <w:numId w:val="3"/>
        </w:numPr>
        <w:spacing w:after="70" w:line="260"/>
        <w:jc w:val="both"/>
      </w:pPr>
      <w:r>
        <w:rPr>
          <w:rFonts w:ascii="Calibri" w:cs="Calibri" w:eastAsia="Calibri" w:hAnsi="Calibri"/>
          <w:b/>
          <w:bCs/>
          <w:sz w:val="22"/>
          <w:szCs w:val="22"/>
        </w:rPr>
        <w:t xml:space="preserve">Discover.</w:t>
      </w:r>
      <w:r>
        <w:rPr>
          <w:rFonts w:ascii="Calibri" w:cs="Calibri" w:eastAsia="Calibri" w:hAnsi="Calibri"/>
          <w:sz w:val="22"/>
          <w:szCs w:val="22"/>
        </w:rPr>
        <w:t xml:space="preserve"> Collect the records of identity platforms, directories, application and cloud inventories, certificate and secrets stores, repositories and billing exports, and mark what is verified and what is unknown.</w:t>
      </w:r>
    </w:p>
    <w:p>
      <w:pPr>
        <w:pStyle w:val="ListParagraph"/>
        <w:numPr>
          <w:ilvl w:val="0"/>
          <w:numId w:val="3"/>
        </w:numPr>
        <w:spacing w:after="70" w:line="260"/>
        <w:jc w:val="both"/>
      </w:pPr>
      <w:r>
        <w:rPr>
          <w:rFonts w:ascii="Calibri" w:cs="Calibri" w:eastAsia="Calibri" w:hAnsi="Calibri"/>
          <w:b/>
          <w:bCs/>
          <w:sz w:val="22"/>
          <w:szCs w:val="22"/>
        </w:rPr>
        <w:t xml:space="preserve">Establish accountability.</w:t>
      </w:r>
      <w:r>
        <w:rPr>
          <w:rFonts w:ascii="Calibri" w:cs="Calibri" w:eastAsia="Calibri" w:hAnsi="Calibri"/>
          <w:sz w:val="22"/>
          <w:szCs w:val="22"/>
        </w:rPr>
        <w:t xml:space="preserve"> Record for each identity and resource an accountable owner or team, its purpose, its lifecycle responsibility and its known dependencies.</w:t>
      </w:r>
    </w:p>
    <w:p>
      <w:pPr>
        <w:pStyle w:val="ListParagraph"/>
        <w:numPr>
          <w:ilvl w:val="0"/>
          <w:numId w:val="3"/>
        </w:numPr>
        <w:spacing w:after="70" w:line="260"/>
        <w:jc w:val="both"/>
      </w:pPr>
      <w:r>
        <w:rPr>
          <w:rFonts w:ascii="Calibri" w:cs="Calibri" w:eastAsia="Calibri" w:hAnsi="Calibri"/>
          <w:b/>
          <w:bCs/>
          <w:sz w:val="22"/>
          <w:szCs w:val="22"/>
        </w:rPr>
        <w:t xml:space="preserve">Assess.</w:t>
      </w:r>
      <w:r>
        <w:rPr>
          <w:rFonts w:ascii="Calibri" w:cs="Calibri" w:eastAsia="Calibri" w:hAnsi="Calibri"/>
          <w:sz w:val="22"/>
          <w:szCs w:val="22"/>
        </w:rPr>
        <w:t xml:space="preserve"> Review permissions, lifecycle status, exposure, dependencies, compliance obligations and cost.</w:t>
      </w:r>
    </w:p>
    <w:p>
      <w:pPr>
        <w:pStyle w:val="ListParagraph"/>
        <w:numPr>
          <w:ilvl w:val="0"/>
          <w:numId w:val="3"/>
        </w:numPr>
        <w:spacing w:after="70" w:line="260"/>
        <w:jc w:val="both"/>
      </w:pPr>
      <w:r>
        <w:rPr>
          <w:rFonts w:ascii="Calibri" w:cs="Calibri" w:eastAsia="Calibri" w:hAnsi="Calibri"/>
          <w:b/>
          <w:bCs/>
          <w:sz w:val="22"/>
          <w:szCs w:val="22"/>
        </w:rPr>
        <w:t xml:space="preserve">Prioritize.</w:t>
      </w:r>
      <w:r>
        <w:rPr>
          <w:rFonts w:ascii="Calibri" w:cs="Calibri" w:eastAsia="Calibri" w:hAnsi="Calibri"/>
          <w:sz w:val="22"/>
          <w:szCs w:val="22"/>
        </w:rPr>
        <w:t xml:space="preserve"> Rank findings by risk, criticality, exposure and the institution's capacity to act.</w:t>
      </w:r>
    </w:p>
    <w:p>
      <w:pPr>
        <w:pStyle w:val="ListParagraph"/>
        <w:numPr>
          <w:ilvl w:val="0"/>
          <w:numId w:val="3"/>
        </w:numPr>
        <w:spacing w:after="70" w:line="260"/>
        <w:jc w:val="both"/>
      </w:pPr>
      <w:r>
        <w:rPr>
          <w:rFonts w:ascii="Calibri" w:cs="Calibri" w:eastAsia="Calibri" w:hAnsi="Calibri"/>
          <w:b/>
          <w:bCs/>
          <w:sz w:val="22"/>
          <w:szCs w:val="22"/>
        </w:rPr>
        <w:t xml:space="preserve">Approve and remediate.</w:t>
      </w:r>
      <w:r>
        <w:rPr>
          <w:rFonts w:ascii="Calibri" w:cs="Calibri" w:eastAsia="Calibri" w:hAnsi="Calibri"/>
          <w:sz w:val="22"/>
          <w:szCs w:val="22"/>
        </w:rPr>
        <w:t xml:space="preserve"> Agree each change with the authorized owner, then retain, transfer, restrict, rotate, remove or retire.</w:t>
      </w:r>
    </w:p>
    <w:p>
      <w:pPr>
        <w:pStyle w:val="ListParagraph"/>
        <w:numPr>
          <w:ilvl w:val="0"/>
          <w:numId w:val="3"/>
        </w:numPr>
        <w:spacing w:after="70" w:line="260"/>
        <w:jc w:val="both"/>
      </w:pPr>
      <w:r>
        <w:rPr>
          <w:rFonts w:ascii="Calibri" w:cs="Calibri" w:eastAsia="Calibri" w:hAnsi="Calibri"/>
          <w:b/>
          <w:bCs/>
          <w:sz w:val="22"/>
          <w:szCs w:val="22"/>
        </w:rPr>
        <w:t xml:space="preserve">Measure and improve.</w:t>
      </w:r>
      <w:r>
        <w:rPr>
          <w:rFonts w:ascii="Calibri" w:cs="Calibri" w:eastAsia="Calibri" w:hAnsi="Calibri"/>
          <w:sz w:val="22"/>
          <w:szCs w:val="22"/>
        </w:rPr>
        <w:t xml:space="preserve"> Verify each change, record its operational effect and feed the result back into the method.</w:t>
      </w:r>
    </w:p>
    <w:p>
      <w:pPr>
        <w:spacing w:after="120" w:line="264"/>
        <w:jc w:val="both"/>
      </w:pPr>
      <w:r>
        <w:rPr>
          <w:rFonts w:ascii="Calibri" w:cs="Calibri" w:eastAsia="Calibri" w:hAnsi="Calibri"/>
          <w:sz w:val="22"/>
          <w:szCs w:val="22"/>
        </w:rPr>
        <w:t xml:space="preserve">One rule runs through all six steps: a missing owner is a finding to investigate, not an instruction to disable or delete. Technical discovery cannot establish every business purpose or dependency, and a small institution that deletes a service account it does not understand can take down its own billing system. The method therefore establishes accountability first and removes only what has been confirmed unnecessary.</w:t>
      </w:r>
    </w:p>
    <w:p>
      <w:pPr>
        <w:keepNext/>
        <w:spacing w:after="60" w:before="140"/>
      </w:pPr>
      <w:r>
        <w:rPr>
          <w:rFonts w:ascii="Calibri" w:cs="Calibri" w:eastAsia="Calibri" w:hAnsi="Calibri"/>
          <w:b/>
          <w:bCs/>
          <w:i/>
          <w:iCs/>
          <w:sz w:val="22"/>
          <w:szCs w:val="22"/>
        </w:rPr>
        <w:t xml:space="preserve">Project 1. Reference environments and a measured control catalogue</w:t>
      </w:r>
    </w:p>
    <w:p>
      <w:pPr>
        <w:spacing w:after="120" w:line="264"/>
        <w:jc w:val="both"/>
      </w:pPr>
      <w:r>
        <w:rPr>
          <w:rFonts w:ascii="Calibri" w:cs="Calibri" w:eastAsia="Calibri" w:hAnsi="Calibri"/>
          <w:sz w:val="22"/>
          <w:szCs w:val="22"/>
        </w:rPr>
        <w:t xml:space="preserve">Project 1 builds four reference environments, each a reproducible model of one institution class, and a control catalogue measured against them. The reference environments are written as infrastructure-as-code so that anyone can recreate them exactly. Each models the identity directory, the user population and its roles, the cloud storage and compute, the software-as-a-service applications, the remote-access path and the licence estate typical of its class: a 25-bed critical access hospital with an electronic health record integration and a claims clearinghouse connection; a community bank with core-banking and online-banking integrations; a small business of about fifty staff; and a county government with records, payroll and public-facing services. Each environment is seeded with the defects that the cases in Part III.A and my own production work show are common: shared and dormant accounts; non-human identities (service and integration accounts, application registrations, API keys, certificates and AI agents) with no recorded owner, purpose or expiry; standing administrator rights, password-only remote access, public storage buckets, unrestricted network access and unused paid licences. The control catalogue maps every control in the six pillars to the CISA maturity stage it achieves and to the regulatory requirement it satisfies for that institution class: the HIPAA Security Rule and the HHS Cybersecurity Performance Goals for hospitals, the Gramm-Leach-Bliley Safeguards Rule and FFIEC guidance for community banks, and CISA's Cross-Sector Cybersecurity Performance Goals for small businesses and local government (petition </w:t>
      </w:r>
      <w:r>
        <w:rPr>
          <w:rFonts w:ascii="Calibri" w:cs="Calibri" w:eastAsia="Calibri" w:hAnsi="Calibri"/>
          <w:b/>
          <w:bCs/>
          <w:color w:val="FF0000"/>
          <w:sz w:val="22"/>
          <w:szCs w:val="22"/>
        </w:rPr>
        <w:t xml:space="preserve">Exhibits 25, 36, 39 and 40</w:t>
      </w:r>
      <w:r>
        <w:rPr>
          <w:rFonts w:ascii="Calibri" w:cs="Calibri" w:eastAsia="Calibri" w:hAnsi="Calibri"/>
          <w:sz w:val="22"/>
          <w:szCs w:val="22"/>
        </w:rPr>
        <w:t xml:space="preserve">; </w:t>
      </w:r>
      <w:r>
        <w:rPr>
          <w:rFonts w:ascii="Calibri" w:cs="Calibri" w:eastAsia="Calibri" w:hAnsi="Calibri"/>
          <w:b/>
          <w:bCs/>
          <w:color w:val="FF0000"/>
          <w:sz w:val="22"/>
          <w:szCs w:val="22"/>
        </w:rPr>
        <w:t xml:space="preserve">Exhibit RFE-8</w:t>
      </w:r>
      <w:r>
        <w:rPr>
          <w:rFonts w:ascii="Calibri" w:cs="Calibri" w:eastAsia="Calibri" w:hAnsi="Calibri"/>
          <w:sz w:val="22"/>
          <w:szCs w:val="22"/>
        </w:rPr>
        <w:t xml:space="preserve">).</w:t>
      </w:r>
    </w:p>
    <w:p>
      <w:pPr>
        <w:pStyle w:val="ListParagraph"/>
        <w:numPr>
          <w:ilvl w:val="0"/>
          <w:numId w:val="2"/>
        </w:numPr>
        <w:spacing w:after="70" w:line="260"/>
        <w:jc w:val="both"/>
      </w:pPr>
      <w:r>
        <w:rPr>
          <w:rFonts w:ascii="Calibri" w:cs="Calibri" w:eastAsia="Calibri" w:hAnsi="Calibri"/>
          <w:b/>
          <w:bCs/>
          <w:sz w:val="22"/>
          <w:szCs w:val="22"/>
        </w:rPr>
        <w:t xml:space="preserve">RQ1.</w:t>
      </w:r>
      <w:r>
        <w:rPr>
          <w:rFonts w:ascii="Calibri" w:cs="Calibri" w:eastAsia="Calibri" w:hAnsi="Calibri"/>
          <w:sz w:val="22"/>
          <w:szCs w:val="22"/>
        </w:rPr>
        <w:t xml:space="preserve"> Which configuration defects most often recur in each institution class, and which of them are exploitable by the attack techniques documented in recent incidents against that class?</w:t>
      </w:r>
    </w:p>
    <w:p>
      <w:pPr>
        <w:pStyle w:val="ListParagraph"/>
        <w:numPr>
          <w:ilvl w:val="0"/>
          <w:numId w:val="2"/>
        </w:numPr>
        <w:spacing w:after="70" w:line="260"/>
        <w:jc w:val="both"/>
      </w:pPr>
      <w:r>
        <w:rPr>
          <w:rFonts w:ascii="Calibri" w:cs="Calibri" w:eastAsia="Calibri" w:hAnsi="Calibri"/>
          <w:b/>
          <w:bCs/>
          <w:sz w:val="22"/>
          <w:szCs w:val="22"/>
        </w:rPr>
        <w:t xml:space="preserve">RQ2.</w:t>
      </w:r>
      <w:r>
        <w:rPr>
          <w:rFonts w:ascii="Calibri" w:cs="Calibri" w:eastAsia="Calibri" w:hAnsi="Calibri"/>
          <w:sz w:val="22"/>
          <w:szCs w:val="22"/>
        </w:rPr>
        <w:t xml:space="preserve"> What is the smallest set of controls, drawn from the five CISA pillars, that blocks each documented attack path in each reference environment, and which CISA maturity stage does that set reach?</w:t>
      </w:r>
    </w:p>
    <w:p>
      <w:pPr>
        <w:spacing w:after="120" w:line="264"/>
        <w:jc w:val="both"/>
      </w:pPr>
      <w:r>
        <w:rPr>
          <w:rFonts w:ascii="Calibri" w:cs="Calibri" w:eastAsia="Calibri" w:hAnsi="Calibri"/>
          <w:b/>
          <w:bCs/>
          <w:sz w:val="22"/>
          <w:szCs w:val="22"/>
        </w:rPr>
        <w:t xml:space="preserve">Non-human identities.</w:t>
      </w:r>
      <w:r>
        <w:rPr>
          <w:rFonts w:ascii="Calibri" w:cs="Calibri" w:eastAsia="Calibri" w:hAnsi="Calibri"/>
          <w:sz w:val="22"/>
          <w:szCs w:val="22"/>
        </w:rPr>
        <w:t xml:space="preserve"> Service accounts, workload identities, API credentials, certificates and the identities used by automated systems and AI agents now outnumber people in many cloud estates, and their creation and retirement are not driven by HR events. Project 1 therefore defines, within the identity pillar, an accountability record that every non-human identity must carry before it is approved for use (an accountable owner or team, a documented purpose, the systems it depends on, the permissions granted, and a review date, expiry or retirement condition), and a discovery-and-remediation procedure for existing non-human identities that carry none of these. The record and the procedure are released as open templates.</w:t>
      </w:r>
    </w:p>
    <w:p>
      <w:pPr>
        <w:keepNext/>
        <w:spacing w:after="60" w:before="140"/>
      </w:pPr>
      <w:r>
        <w:rPr>
          <w:rFonts w:ascii="Calibri" w:cs="Calibri" w:eastAsia="Calibri" w:hAnsi="Calibri"/>
          <w:b/>
          <w:bCs/>
          <w:i/>
          <w:iCs/>
          <w:sz w:val="22"/>
          <w:szCs w:val="22"/>
        </w:rPr>
        <w:t xml:space="preserve">Project 2. Attack emulation and the ordering of controls</w:t>
      </w:r>
    </w:p>
    <w:p>
      <w:pPr>
        <w:spacing w:after="120" w:line="264"/>
        <w:jc w:val="both"/>
      </w:pPr>
      <w:r>
        <w:rPr>
          <w:rFonts w:ascii="Calibri" w:cs="Calibri" w:eastAsia="Calibri" w:hAnsi="Calibri"/>
          <w:sz w:val="22"/>
          <w:szCs w:val="22"/>
        </w:rPr>
        <w:t xml:space="preserve">Project 2 measures, rather than assumes, what each control is worth. Against each reference environment I run documented adversary techniques, drawn from the MITRE ATT&amp;CK knowledge base and reproduced with open-source emulation tools, before and after each control is applied. The techniques are those seen in the cited incidents: password spraying and the use of stolen credentials, abuse of password-only remote access, discovery and exfiltration of data from exposed cloud storage, privilege escalation through standing administrator rights, and lateral movement across a flat network. For each control the project records whether each attack path is blocked, detected or still open, how long the control takes a small team to deploy, and its direct cost. From those measurements it derives a deployment order: the sequence in which a two-person IT team should apply controls to remove the most attack paths per hour of work and per dollar.</w:t>
      </w:r>
    </w:p>
    <w:p>
      <w:pPr>
        <w:pStyle w:val="ListParagraph"/>
        <w:numPr>
          <w:ilvl w:val="0"/>
          <w:numId w:val="2"/>
        </w:numPr>
        <w:spacing w:after="70" w:line="260"/>
        <w:jc w:val="both"/>
      </w:pPr>
      <w:r>
        <w:rPr>
          <w:rFonts w:ascii="Calibri" w:cs="Calibri" w:eastAsia="Calibri" w:hAnsi="Calibri"/>
          <w:b/>
          <w:bCs/>
          <w:sz w:val="22"/>
          <w:szCs w:val="22"/>
        </w:rPr>
        <w:t xml:space="preserve">RQ3.</w:t>
      </w:r>
      <w:r>
        <w:rPr>
          <w:rFonts w:ascii="Calibri" w:cs="Calibri" w:eastAsia="Calibri" w:hAnsi="Calibri"/>
          <w:sz w:val="22"/>
          <w:szCs w:val="22"/>
        </w:rPr>
        <w:t xml:space="preserve"> For each reference environment, what fraction of the documented attack paths does each control close, and what is its deployment time and direct cost?</w:t>
      </w:r>
    </w:p>
    <w:p>
      <w:pPr>
        <w:pStyle w:val="ListParagraph"/>
        <w:numPr>
          <w:ilvl w:val="0"/>
          <w:numId w:val="2"/>
        </w:numPr>
        <w:spacing w:after="70" w:line="260"/>
        <w:jc w:val="both"/>
      </w:pPr>
      <w:r>
        <w:rPr>
          <w:rFonts w:ascii="Calibri" w:cs="Calibri" w:eastAsia="Calibri" w:hAnsi="Calibri"/>
          <w:b/>
          <w:bCs/>
          <w:sz w:val="22"/>
          <w:szCs w:val="22"/>
        </w:rPr>
        <w:t xml:space="preserve">RQ4.</w:t>
      </w:r>
      <w:r>
        <w:rPr>
          <w:rFonts w:ascii="Calibri" w:cs="Calibri" w:eastAsia="Calibri" w:hAnsi="Calibri"/>
          <w:sz w:val="22"/>
          <w:szCs w:val="22"/>
        </w:rPr>
        <w:t xml:space="preserve"> Does a deployment order ranked by attack paths closed per unit of effort reach a given CISA maturity stage with less effort than the order implied by the maturity model's own listing, and by how much?</w:t>
      </w:r>
    </w:p>
    <w:p>
      <w:pPr>
        <w:keepNext/>
        <w:spacing w:after="60" w:before="140"/>
      </w:pPr>
      <w:r>
        <w:rPr>
          <w:rFonts w:ascii="Calibri" w:cs="Calibri" w:eastAsia="Calibri" w:hAnsi="Calibri"/>
          <w:b/>
          <w:bCs/>
          <w:i/>
          <w:iCs/>
          <w:sz w:val="22"/>
          <w:szCs w:val="22"/>
        </w:rPr>
        <w:t xml:space="preserve">Project 3. The sixth pillar: cloud financial governance as a security audit</w:t>
      </w:r>
    </w:p>
    <w:p>
      <w:pPr>
        <w:spacing w:after="120" w:line="264"/>
        <w:jc w:val="both"/>
      </w:pPr>
      <w:r>
        <w:rPr>
          <w:rFonts w:ascii="Calibri" w:cs="Calibri" w:eastAsia="Calibri" w:hAnsi="Calibri"/>
          <w:sz w:val="22"/>
          <w:szCs w:val="22"/>
        </w:rPr>
        <w:t xml:space="preserve">Project 3 tests the framework's central claim, that a cloud cost audit and a security audit are the same audit read twice. Its sharpest test is the departure of an employee. When a person leaves, a disable-only offboarding switches off one account and leaves behind everything anchored to it: the service accounts and application registrations the person owned, the AI agent they sponsored, the storage buckets tagged to them, the repositories they maintained and the licences assigned to them. Each is both a cost and an unowned risk. In each reference environment, and using the patterns I documented in production (Part VI.C), the project builds open audit scripts that read the identity directory, the licence assignments, the storage and compute inventory and the billing data together, and flag every item that is both a cost and a risk: a paid licence attached to a dormant account, an idle virtual machine with an open management port, an unused storage bucket that is publicly readable. It also builds an open departure-review workflow: when a departure or role change is recorded, the workflow lists every identity and resource anchored to the person, with its owner status, dependencies, cost and a recommended action (keep and confirm a new owner, transfer, investigate, schedule for retirement), for the manager to approve. It then measures two quantities for each environment: the share of security findings that the cost audit also surfaces, and the recovered spending, set against the cost of the security controls the framework recommends.</w:t>
      </w:r>
    </w:p>
    <w:p>
      <w:pPr>
        <w:pStyle w:val="ListParagraph"/>
        <w:numPr>
          <w:ilvl w:val="0"/>
          <w:numId w:val="2"/>
        </w:numPr>
        <w:spacing w:after="70" w:line="260"/>
        <w:jc w:val="both"/>
      </w:pPr>
      <w:r>
        <w:rPr>
          <w:rFonts w:ascii="Calibri" w:cs="Calibri" w:eastAsia="Calibri" w:hAnsi="Calibri"/>
          <w:b/>
          <w:bCs/>
          <w:sz w:val="22"/>
          <w:szCs w:val="22"/>
        </w:rPr>
        <w:t xml:space="preserve">RQ5.</w:t>
      </w:r>
      <w:r>
        <w:rPr>
          <w:rFonts w:ascii="Calibri" w:cs="Calibri" w:eastAsia="Calibri" w:hAnsi="Calibri"/>
          <w:sz w:val="22"/>
          <w:szCs w:val="22"/>
        </w:rPr>
        <w:t xml:space="preserve"> What share of the identity and configuration findings in each reference environment, including the assets left behind by a departure, is also surfaced by an audit of licence and resource utilization, and how many of those assets does a disable-only offboarding miss?</w:t>
      </w:r>
    </w:p>
    <w:p>
      <w:pPr>
        <w:pStyle w:val="ListParagraph"/>
        <w:numPr>
          <w:ilvl w:val="0"/>
          <w:numId w:val="2"/>
        </w:numPr>
        <w:spacing w:after="70" w:line="260"/>
        <w:jc w:val="both"/>
      </w:pPr>
      <w:r>
        <w:rPr>
          <w:rFonts w:ascii="Calibri" w:cs="Calibri" w:eastAsia="Calibri" w:hAnsi="Calibri"/>
          <w:b/>
          <w:bCs/>
          <w:sz w:val="22"/>
          <w:szCs w:val="22"/>
        </w:rPr>
        <w:t xml:space="preserve">RQ6.</w:t>
      </w:r>
      <w:r>
        <w:rPr>
          <w:rFonts w:ascii="Calibri" w:cs="Calibri" w:eastAsia="Calibri" w:hAnsi="Calibri"/>
          <w:sz w:val="22"/>
          <w:szCs w:val="22"/>
        </w:rPr>
        <w:t xml:space="preserve"> In which institution classes does the waste recovered by the audit cover the first-year cost of the identity and access controls the framework recommends, and under what assumptions?</w:t>
      </w:r>
    </w:p>
    <w:p>
      <w:pPr>
        <w:keepNext/>
        <w:spacing w:after="80" w:before="160"/>
      </w:pPr>
      <w:r>
        <w:rPr>
          <w:rFonts w:ascii="Calibri" w:cs="Calibri" w:eastAsia="Calibri" w:hAnsi="Calibri"/>
          <w:b/>
          <w:bCs/>
          <w:sz w:val="21"/>
          <w:szCs w:val="21"/>
        </w:rPr>
        <w:t xml:space="preserve">Table 4. The three research projects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98"/>
        <w:gridCol w:w="2808"/>
        <w:gridCol w:w="2527"/>
        <w:gridCol w:w="2527"/>
      </w:tblGrid>
      <w:tr>
        <w:trPr>
          <w:cantSplit/>
          <w:tblHeader/>
        </w:trPr>
        <w:tc>
          <w:tcPr>
            <w:tcW w:type="dxa" w:w="149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b/>
                <w:bCs/>
                <w:sz w:val="19"/>
                <w:szCs w:val="19"/>
              </w:rPr>
              <w:t xml:space="preserve">Project</w:t>
            </w:r>
          </w:p>
        </w:tc>
        <w:tc>
          <w:tcPr>
            <w:tcW w:type="dxa" w:w="280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b/>
                <w:bCs/>
                <w:sz w:val="19"/>
                <w:szCs w:val="19"/>
              </w:rPr>
              <w:t xml:space="preserve">Problem addressed</w:t>
            </w:r>
          </w:p>
        </w:tc>
        <w:tc>
          <w:tcPr>
            <w:tcW w:type="dxa" w:w="252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b/>
                <w:bCs/>
                <w:sz w:val="19"/>
                <w:szCs w:val="19"/>
              </w:rPr>
              <w:t xml:space="preserve">Objectives</w:t>
            </w:r>
          </w:p>
        </w:tc>
        <w:tc>
          <w:tcPr>
            <w:tcW w:type="dxa" w:w="252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b/>
                <w:bCs/>
                <w:sz w:val="19"/>
                <w:szCs w:val="19"/>
              </w:rPr>
              <w:t xml:space="preserve">Public outputs</w:t>
            </w:r>
          </w:p>
        </w:tc>
      </w:tr>
      <w:tr>
        <w:trPr>
          <w:cantSplit/>
          <w:tblHeader w:val="false"/>
        </w:trPr>
        <w:tc>
          <w:tcPr>
            <w:tcW w:type="dxa" w:w="149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1. Reference environments and control catalogue</w:t>
            </w:r>
          </w:p>
        </w:tc>
        <w:tc>
          <w:tcPr>
            <w:tcW w:type="dxa" w:w="280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Federal Zero Trust guidance is written for enterprises; no reproducible test bed models the institutions with the least staff.</w:t>
            </w:r>
          </w:p>
        </w:tc>
        <w:tc>
          <w:tcPr>
            <w:tcW w:type="dxa" w:w="252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Four reference environments; a control catalogue mapped to CISA stages and sector rules; a non-human identity accountability record (RQ1, RQ2).</w:t>
            </w:r>
          </w:p>
        </w:tc>
        <w:tc>
          <w:tcPr>
            <w:tcW w:type="dxa" w:w="252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Open infrastructure-as-code; open control catalogue; non-human identity templates; one paper.</w:t>
            </w:r>
          </w:p>
        </w:tc>
      </w:tr>
      <w:tr>
        <w:trPr>
          <w:cantSplit/>
          <w:tblHeader w:val="false"/>
        </w:trPr>
        <w:tc>
          <w:tcPr>
            <w:tcW w:type="dxa" w:w="149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2. Attack emulation and control ordering</w:t>
            </w:r>
          </w:p>
        </w:tc>
        <w:tc>
          <w:tcPr>
            <w:tcW w:type="dxa" w:w="280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Small institutions cannot tell which controls to apply first, because control value is rarely measured at their scale.</w:t>
            </w:r>
          </w:p>
        </w:tc>
        <w:tc>
          <w:tcPr>
            <w:tcW w:type="dxa" w:w="252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Measured attack paths closed, effort and cost per control; a ranked deployment order (RQ3, RQ4).</w:t>
            </w:r>
          </w:p>
        </w:tc>
        <w:tc>
          <w:tcPr>
            <w:tcW w:type="dxa" w:w="252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Two papers; open emulation plans; published results dataset.</w:t>
            </w:r>
          </w:p>
        </w:tc>
      </w:tr>
      <w:tr>
        <w:trPr>
          <w:cantSplit/>
          <w:tblHeader w:val="false"/>
        </w:trPr>
        <w:tc>
          <w:tcPr>
            <w:tcW w:type="dxa" w:w="149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3. Cloud financial governance pillar</w:t>
            </w:r>
          </w:p>
        </w:tc>
        <w:tc>
          <w:tcPr>
            <w:tcW w:type="dxa" w:w="280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Cost and security audits are run separately, so the waste that could fund security is not found together with the risk.</w:t>
            </w:r>
          </w:p>
        </w:tc>
        <w:tc>
          <w:tcPr>
            <w:tcW w:type="dxa" w:w="252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Open audit scripts; departure-review workflow; overlap of cost and security findings measured; self-financing conditions stated (RQ5, RQ6).</w:t>
            </w:r>
          </w:p>
        </w:tc>
        <w:tc>
          <w:tcPr>
            <w:tcW w:type="dxa" w:w="252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Open audit scripts; open departure-review workflow and playbook; one paper; one practitioner guide.</w:t>
            </w:r>
          </w:p>
        </w:tc>
      </w:tr>
    </w:tbl>
    <w:p>
      <w:pPr>
        <w:spacing w:after="80"/>
      </w:pPr>
    </w:p>
    <w:p>
      <w:pPr>
        <w:pStyle w:val="Heading2"/>
        <w:keepNext/>
        <w:spacing w:after="100" w:before="200"/>
      </w:pPr>
      <w:r>
        <w:rPr>
          <w:rFonts w:ascii="Calibri" w:cs="Calibri" w:eastAsia="Calibri" w:hAnsi="Calibri"/>
          <w:b/>
          <w:bCs/>
          <w:color w:val="1F3864"/>
          <w:sz w:val="23"/>
          <w:szCs w:val="23"/>
        </w:rPr>
        <w:t xml:space="preserve">D. Objectives and how success is measured</w:t>
      </w:r>
    </w:p>
    <w:p>
      <w:pPr>
        <w:spacing w:after="120" w:line="264"/>
        <w:jc w:val="both"/>
      </w:pPr>
      <w:r>
        <w:rPr>
          <w:rFonts w:ascii="Calibri" w:cs="Calibri" w:eastAsia="Calibri" w:hAnsi="Calibri"/>
          <w:sz w:val="22"/>
          <w:szCs w:val="22"/>
        </w:rPr>
        <w:t xml:space="preserve">The objectives are stated so that a third party can check whether each was met. The programme succeeds if, within 36 months: (1) the four reference environments are released as code that recreates each environment from a single command, with documentation; (2) the control catalogue is released, with every control mapped to a CISA maturity stage and to the sector requirement it satisfies; (3) the attack-emulation results are published for every reference environment, stating for each control the attack paths closed, the deployment time and the direct cost; (4) the audit scripts of Project 3 are released and the measured overlap between cost findings and security findings is published; and (5) at least four peer-reviewed papers report these results in open-access form. Each objective corresponds to a milestone in Table 7, and each produces an artifact that exists independently of me and of any employer.</w:t>
      </w:r>
    </w:p>
    <w:p>
      <w:pPr>
        <w:pStyle w:val="Heading2"/>
        <w:keepNext/>
        <w:spacing w:after="100" w:before="200"/>
      </w:pPr>
      <w:r>
        <w:rPr>
          <w:rFonts w:ascii="Calibri" w:cs="Calibri" w:eastAsia="Calibri" w:hAnsi="Calibri"/>
          <w:b/>
          <w:bCs/>
          <w:color w:val="1F3864"/>
          <w:sz w:val="23"/>
          <w:szCs w:val="23"/>
        </w:rPr>
        <w:t xml:space="preserve">E. How the endeavor operates in practice: a worked example</w:t>
      </w:r>
    </w:p>
    <w:p>
      <w:pPr>
        <w:spacing w:after="120" w:line="264"/>
        <w:jc w:val="both"/>
      </w:pPr>
      <w:r>
        <w:rPr>
          <w:rFonts w:ascii="Calibri" w:cs="Calibri" w:eastAsia="Calibri" w:hAnsi="Calibri"/>
          <w:sz w:val="22"/>
          <w:szCs w:val="22"/>
        </w:rPr>
        <w:t xml:space="preserve">The Notice asks how the endeavor will actually be carried out. The following example uses the hospital reference environment.</w:t>
      </w:r>
    </w:p>
    <w:p>
      <w:pPr>
        <w:spacing w:after="120" w:line="264"/>
        <w:jc w:val="both"/>
      </w:pPr>
      <w:r>
        <w:rPr>
          <w:rFonts w:ascii="Calibri" w:cs="Calibri" w:eastAsia="Calibri" w:hAnsi="Calibri"/>
          <w:b/>
          <w:bCs/>
          <w:sz w:val="22"/>
          <w:szCs w:val="22"/>
        </w:rPr>
        <w:t xml:space="preserve">Baseline.</w:t>
      </w:r>
      <w:r>
        <w:rPr>
          <w:rFonts w:ascii="Calibri" w:cs="Calibri" w:eastAsia="Calibri" w:hAnsi="Calibri"/>
          <w:sz w:val="22"/>
          <w:szCs w:val="22"/>
        </w:rPr>
        <w:t xml:space="preserve"> The environment models a 25-bed hospital: about two hundred staff accounts in a cloud identity directory, of which a realistic share belong to people who have left; a remote-access gateway for the electronic health record vendor that accepts a password alone; three storage buckets, one of them publicly readable and holding scanned documents; and a licence estate with paid seats on dormant accounts. I run the emulation plan: a password-spray attempt against the directory, use of a stolen password on the remote-access gateway, discovery of the public bucket, and escalation through a standing administrator account. I record which paths succeed.</w:t>
      </w:r>
    </w:p>
    <w:p>
      <w:pPr>
        <w:spacing w:after="120" w:line="264"/>
        <w:jc w:val="both"/>
      </w:pPr>
      <w:r>
        <w:rPr>
          <w:rFonts w:ascii="Calibri" w:cs="Calibri" w:eastAsia="Calibri" w:hAnsi="Calibri"/>
          <w:b/>
          <w:bCs/>
          <w:sz w:val="22"/>
          <w:szCs w:val="22"/>
        </w:rPr>
        <w:t xml:space="preserve">Controls applied in order.</w:t>
      </w:r>
      <w:r>
        <w:rPr>
          <w:rFonts w:ascii="Calibri" w:cs="Calibri" w:eastAsia="Calibri" w:hAnsi="Calibri"/>
          <w:sz w:val="22"/>
          <w:szCs w:val="22"/>
        </w:rPr>
        <w:t xml:space="preserve"> I apply the controls one at a time in the order Project 2 is testing: phishing-resistant multi-factor authentication on remote access and administrator accounts, removal of dormant accounts and standing administrator rights, conditional access that blocks sign-in from unexpected locations, closure of public storage, and segmentation of the clinical network. After each control I re-run the whole plan and record what changed, how long the control took and what it cost.</w:t>
      </w:r>
    </w:p>
    <w:p>
      <w:pPr>
        <w:spacing w:after="120" w:line="264"/>
        <w:jc w:val="both"/>
      </w:pPr>
      <w:r>
        <w:rPr>
          <w:rFonts w:ascii="Calibri" w:cs="Calibri" w:eastAsia="Calibri" w:hAnsi="Calibri"/>
          <w:b/>
          <w:bCs/>
          <w:sz w:val="22"/>
          <w:szCs w:val="22"/>
        </w:rPr>
        <w:t xml:space="preserve">The sixth pillar.</w:t>
      </w:r>
      <w:r>
        <w:rPr>
          <w:rFonts w:ascii="Calibri" w:cs="Calibri" w:eastAsia="Calibri" w:hAnsi="Calibri"/>
          <w:sz w:val="22"/>
          <w:szCs w:val="22"/>
        </w:rPr>
        <w:t xml:space="preserve"> I run the Project 3 audit scripts. The same pass that finds the dormant accounts also finds the paid licences assigned to them and the idle resources they own. The measured saving is set against the cost of the multi-factor authentication and monitoring the hospital needs, which tells a hospital board whether the first controls can be paid for out of waste already in its budget.</w:t>
      </w:r>
    </w:p>
    <w:p>
      <w:pPr>
        <w:spacing w:after="120" w:line="264"/>
        <w:jc w:val="both"/>
      </w:pPr>
      <w:r>
        <w:rPr>
          <w:rFonts w:ascii="Calibri" w:cs="Calibri" w:eastAsia="Calibri" w:hAnsi="Calibri"/>
          <w:b/>
          <w:bCs/>
          <w:sz w:val="22"/>
          <w:szCs w:val="22"/>
        </w:rPr>
        <w:t xml:space="preserve">A departure.</w:t>
      </w:r>
      <w:r>
        <w:rPr>
          <w:rFonts w:ascii="Calibri" w:cs="Calibri" w:eastAsia="Calibri" w:hAnsi="Calibri"/>
          <w:sz w:val="22"/>
          <w:szCs w:val="22"/>
        </w:rPr>
        <w:t xml:space="preserve"> I then record the departure of an engineer who owns two application registrations, sponsors a customer-support AI agent, is tagged as technical contact on three storage buckets and maintains two repositories. A disable-only offboarding switches off the person's account and nothing else. The departure-review workflow lists all eight assets, shows which are in use, which have dependencies and which cost money, and recommends an action for each. I measure how many of the eight the disable-only path would have missed, how many the workflow found, how many it flagged wrongly, and whether any approved change broke a dependency.</w:t>
      </w:r>
    </w:p>
    <w:p>
      <w:pPr>
        <w:spacing w:after="120" w:line="264"/>
        <w:jc w:val="both"/>
      </w:pPr>
      <w:r>
        <w:rPr>
          <w:rFonts w:ascii="Calibri" w:cs="Calibri" w:eastAsia="Calibri" w:hAnsi="Calibri"/>
          <w:b/>
          <w:bCs/>
          <w:sz w:val="22"/>
          <w:szCs w:val="22"/>
        </w:rPr>
        <w:t xml:space="preserve">What the field receives.</w:t>
      </w:r>
      <w:r>
        <w:rPr>
          <w:rFonts w:ascii="Calibri" w:cs="Calibri" w:eastAsia="Calibri" w:hAnsi="Calibri"/>
          <w:sz w:val="22"/>
          <w:szCs w:val="22"/>
        </w:rPr>
        <w:t xml:space="preserve"> None of this is a service I sell. The environment code, the emulation plan, the measured results, the deployment order and the audit scripts are published. A hospital's IT lead can run the audit scripts on the hospital's own estate, follow the ranked order, and see in the published results what each step is expected to close. A regulator or cyber insurer can use the same results to judge whether a small institution's plan is reasonable. A researcher can rerun every test from the code and challenge the result.</w:t>
      </w:r>
    </w:p>
    <w:p>
      <w:pPr>
        <w:pStyle w:val="Heading2"/>
        <w:keepNext/>
        <w:spacing w:after="100" w:before="200"/>
      </w:pPr>
      <w:r>
        <w:rPr>
          <w:rFonts w:ascii="Calibri" w:cs="Calibri" w:eastAsia="Calibri" w:hAnsi="Calibri"/>
          <w:b/>
          <w:bCs/>
          <w:color w:val="1F3864"/>
          <w:sz w:val="23"/>
          <w:szCs w:val="23"/>
        </w:rPr>
        <w:t xml:space="preserve">F. How this specification relates to the petition as filed</w:t>
      </w:r>
    </w:p>
    <w:p>
      <w:pPr>
        <w:spacing w:after="120" w:line="264"/>
        <w:jc w:val="both"/>
      </w:pPr>
      <w:r>
        <w:rPr>
          <w:rFonts w:ascii="Calibri" w:cs="Calibri" w:eastAsia="Calibri" w:hAnsi="Calibri"/>
          <w:sz w:val="22"/>
          <w:szCs w:val="22"/>
        </w:rPr>
        <w:t xml:space="preserve">This response does not introduce a new endeavor. A petitioner "may not make material changes to a petition in an effort to make a deficient petition conform to Service requirements." </w:t>
      </w:r>
      <w:r>
        <w:rPr>
          <w:rFonts w:ascii="Calibri" w:cs="Calibri" w:eastAsia="Calibri" w:hAnsi="Calibri"/>
          <w:i/>
          <w:iCs/>
          <w:sz w:val="22"/>
          <w:szCs w:val="22"/>
        </w:rPr>
        <w:t xml:space="preserve">Matter of Izummi</w:t>
      </w:r>
      <w:r>
        <w:rPr>
          <w:rFonts w:ascii="Calibri" w:cs="Calibri" w:eastAsia="Calibri" w:hAnsi="Calibri"/>
          <w:sz w:val="22"/>
          <w:szCs w:val="22"/>
        </w:rPr>
        <w:t xml:space="preserve">, 22 I&amp;N Dec. 169, 175 (Assoc. Comm'r 1998). Nothing here is such a change. The petition stated the endeavor as a commitment to "develop, implement, validate, and publicly document a modular Zero Trust cloud security governance framework" for four classes of under-resourced U.S. institutions (petition Part V.A). Each element of this response carries out one of those verbs, and Table 5 sets the petition's own words beside the part of this response that specifies them.</w:t>
      </w:r>
    </w:p>
    <w:p>
      <w:pPr>
        <w:keepNext/>
        <w:spacing w:after="80" w:before="160"/>
      </w:pPr>
      <w:r>
        <w:rPr>
          <w:rFonts w:ascii="Calibri" w:cs="Calibri" w:eastAsia="Calibri" w:hAnsi="Calibri"/>
          <w:b/>
          <w:bCs/>
          <w:sz w:val="21"/>
          <w:szCs w:val="21"/>
        </w:rPr>
        <w:t xml:space="preserve">Table 5. The specified endeavor traced to the petition as filed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4"/>
        <w:gridCol w:w="1685"/>
        <w:gridCol w:w="3931"/>
      </w:tblGrid>
      <w:tr>
        <w:trPr>
          <w:cantSplit/>
          <w:tblHeader/>
        </w:trPr>
        <w:tc>
          <w:tcPr>
            <w:tcW w:type="dxa" w:w="374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b/>
                <w:bCs/>
                <w:sz w:val="19"/>
                <w:szCs w:val="19"/>
              </w:rPr>
              <w:t xml:space="preserve">Petition as filed (quoted)</w:t>
            </w:r>
          </w:p>
        </w:tc>
        <w:tc>
          <w:tcPr>
            <w:tcW w:type="dxa" w:w="168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b/>
                <w:bCs/>
                <w:sz w:val="19"/>
                <w:szCs w:val="19"/>
              </w:rPr>
              <w:t xml:space="preserve">Petition part</w:t>
            </w:r>
          </w:p>
        </w:tc>
        <w:tc>
          <w:tcPr>
            <w:tcW w:type="dxa" w:w="393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b/>
                <w:bCs/>
                <w:sz w:val="19"/>
                <w:szCs w:val="19"/>
              </w:rPr>
              <w:t xml:space="preserve">Where this response specifies it</w:t>
            </w:r>
          </w:p>
        </w:tc>
      </w:tr>
      <w:tr>
        <w:trPr>
          <w:cantSplit/>
          <w:tblHeader w:val="false"/>
        </w:trPr>
        <w:tc>
          <w:tcPr>
            <w:tcW w:type="dxa" w:w="374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"develop, implement, validate, and publicly document a modular Zero Trust cloud security governance framework"</w:t>
            </w:r>
          </w:p>
        </w:tc>
        <w:tc>
          <w:tcPr>
            <w:tcW w:type="dxa" w:w="168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V.A</w:t>
            </w:r>
          </w:p>
        </w:tc>
        <w:tc>
          <w:tcPr>
            <w:tcW w:type="dxa" w:w="393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Develop: Projects 1 and 3. Implement and validate: Project 2 in the reference environments, then field validation with volunteer adopters (Table 7). Publicly document: Part V.D.</w:t>
            </w:r>
          </w:p>
        </w:tc>
      </w:tr>
      <w:tr>
        <w:trPr>
          <w:cantSplit/>
          <w:tblHeader w:val="false"/>
        </w:trPr>
        <w:tc>
          <w:tcPr>
            <w:tcW w:type="dxa" w:w="374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The framework "extends the model by integrating cloud financial governance as a sixth pillar"; identity sprawl, misconfiguration and waste are "one governance failure viewed from three angles"</w:t>
            </w:r>
          </w:p>
        </w:tc>
        <w:tc>
          <w:tcPr>
            <w:tcW w:type="dxa" w:w="168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V.A</w:t>
            </w:r>
          </w:p>
        </w:tc>
        <w:tc>
          <w:tcPr>
            <w:tcW w:type="dxa" w:w="393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Project 3 tests that claim directly (RQ5 and RQ6).</w:t>
            </w:r>
          </w:p>
        </w:tc>
      </w:tr>
      <w:tr>
        <w:trPr>
          <w:cantSplit/>
          <w:tblHeader w:val="false"/>
        </w:trPr>
        <w:tc>
          <w:tcPr>
            <w:tcW w:type="dxa" w:w="374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"instrumenting each engagement to produce measurable before-and-after outcomes: reduction in standing privileged access, elimination of plain-text and legacy protocols, remediation of public-facing misconfigurations, consolidation of redundant licensing and entitlements, and demonstrable alignment with the CISA maturity stages"</w:t>
            </w:r>
          </w:p>
        </w:tc>
        <w:tc>
          <w:tcPr>
            <w:tcW w:type="dxa" w:w="168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V.A</w:t>
            </w:r>
          </w:p>
        </w:tc>
        <w:tc>
          <w:tcPr>
            <w:tcW w:type="dxa" w:w="393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The same five measures are the before-and-after measures of Projects 2 and 3 (Table 6).</w:t>
            </w:r>
          </w:p>
        </w:tc>
      </w:tr>
      <w:tr>
        <w:trPr>
          <w:cantSplit/>
          <w:tblHeader w:val="false"/>
        </w:trPr>
        <w:tc>
          <w:tcPr>
            <w:tcW w:type="dxa" w:w="374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Phase one: "consolidate the framework's reference documentation, mapping each control family to the CISA maturity stages and to the regulatory regimes that govern the target institutions"</w:t>
            </w:r>
          </w:p>
        </w:tc>
        <w:tc>
          <w:tcPr>
            <w:tcW w:type="dxa" w:w="168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V.C</w:t>
            </w:r>
          </w:p>
        </w:tc>
        <w:tc>
          <w:tcPr>
            <w:tcW w:type="dxa" w:w="393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Project 1: the control catalogue and its crosswalks to CISA, HIPAA, the Safeguards Rule and state and local requirements.</w:t>
            </w:r>
          </w:p>
        </w:tc>
      </w:tr>
      <w:tr>
        <w:trPr>
          <w:cantSplit/>
          <w:tblHeader w:val="false"/>
        </w:trPr>
        <w:tc>
          <w:tcPr>
            <w:tcW w:type="dxa" w:w="374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Phase two: "conduct structured implementation engagements with initial adopter institutions across the target classes, instrumenting each engagement for measurable outcomes, and ... submit the framework's core methodology and the first tranche of measured case results for peer review"</w:t>
            </w:r>
          </w:p>
        </w:tc>
        <w:tc>
          <w:tcPr>
            <w:tcW w:type="dxa" w:w="168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V.C</w:t>
            </w:r>
          </w:p>
        </w:tc>
        <w:tc>
          <w:tcPr>
            <w:tcW w:type="dxa" w:w="393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Implementation first in reference environments modelling each target class, then with volunteer adopter institutions from month 25; Papers 1 to 4 (Table 7).</w:t>
            </w:r>
          </w:p>
        </w:tc>
      </w:tr>
      <w:tr>
        <w:trPr>
          <w:cantSplit/>
          <w:tblHeader w:val="false"/>
        </w:trPr>
        <w:tc>
          <w:tcPr>
            <w:tcW w:type="dxa" w:w="374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Phase three: "maintain the framework as a living methodology: incorporating changes in the federal guidance baseline, publishing implementation updates"</w:t>
            </w:r>
          </w:p>
        </w:tc>
        <w:tc>
          <w:tcPr>
            <w:tcW w:type="dxa" w:w="168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V.C</w:t>
            </w:r>
          </w:p>
        </w:tc>
        <w:tc>
          <w:tcPr>
            <w:tcW w:type="dxa" w:w="393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Part IV.K: annual maintenance releases re-mapped to current federal requirements.</w:t>
            </w:r>
          </w:p>
        </w:tc>
      </w:tr>
      <w:tr>
        <w:trPr>
          <w:cantSplit/>
          <w:tblHeader w:val="false"/>
        </w:trPr>
        <w:tc>
          <w:tcPr>
            <w:tcW w:type="dxa" w:w="374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"Each phase produces artifacts, publications, measured engagement outcomes, and framework releases"</w:t>
            </w:r>
          </w:p>
        </w:tc>
        <w:tc>
          <w:tcPr>
            <w:tcW w:type="dxa" w:w="168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V.C</w:t>
            </w:r>
          </w:p>
        </w:tc>
        <w:tc>
          <w:tcPr>
            <w:tcW w:type="dxa" w:w="393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The verifiable outputs column of Table 7.</w:t>
            </w:r>
          </w:p>
        </w:tc>
      </w:tr>
      <w:tr>
        <w:trPr>
          <w:cantSplit/>
          <w:tblHeader w:val="false"/>
        </w:trPr>
        <w:tc>
          <w:tcPr>
            <w:tcW w:type="dxa" w:w="374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"document the framework, its implementation playbooks, and its measured outcomes in peer-reviewed journals and practitioner literature"; institutions "can adopt a published, modular, maturity-sequenced framework without retaining me or anyone else"</w:t>
            </w:r>
          </w:p>
        </w:tc>
        <w:tc>
          <w:tcPr>
            <w:tcW w:type="dxa" w:w="168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V.A</w:t>
            </w:r>
          </w:p>
        </w:tc>
        <w:tc>
          <w:tcPr>
            <w:tcW w:type="dxa" w:w="393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Part V.D and Tables 22 and 23: open-access papers, practitioner guides and open code.</w:t>
            </w:r>
          </w:p>
        </w:tc>
      </w:tr>
      <w:tr>
        <w:trPr>
          <w:cantSplit/>
          <w:tblHeader w:val="false"/>
        </w:trPr>
        <w:tc>
          <w:tcPr>
            <w:tcW w:type="dxa" w:w="374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"the dissemination mechanism is publication"</w:t>
            </w:r>
          </w:p>
        </w:tc>
        <w:tc>
          <w:tcPr>
            <w:tcW w:type="dxa" w:w="168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VI.C</w:t>
            </w:r>
          </w:p>
        </w:tc>
        <w:tc>
          <w:tcPr>
            <w:tcW w:type="dxa" w:w="393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Unchanged.</w:t>
            </w:r>
          </w:p>
        </w:tc>
      </w:tr>
      <w:tr>
        <w:trPr>
          <w:cantSplit/>
          <w:tblHeader w:val="false"/>
        </w:trPr>
        <w:tc>
          <w:tcPr>
            <w:tcW w:type="dxa" w:w="374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The machine identity dimension: "the treatment of every device as untrusted until cryptographically verified"</w:t>
            </w:r>
          </w:p>
        </w:tc>
        <w:tc>
          <w:tcPr>
            <w:tcW w:type="dxa" w:w="168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V.E</w:t>
            </w:r>
          </w:p>
        </w:tc>
        <w:tc>
          <w:tcPr>
            <w:tcW w:type="dxa" w:w="393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The accountability record for non-human identities (Project 1) and the departure-review workflow (Project 3).</w:t>
            </w:r>
          </w:p>
        </w:tc>
      </w:tr>
    </w:tbl>
    <w:p>
      <w:pPr>
        <w:spacing w:after="80"/>
      </w:pPr>
    </w:p>
    <w:p>
      <w:pPr>
        <w:spacing w:after="120" w:line="264"/>
        <w:jc w:val="both"/>
      </w:pPr>
      <w:r>
        <w:rPr>
          <w:rFonts w:ascii="Calibri" w:cs="Calibri" w:eastAsia="Calibri" w:hAnsi="Calibri"/>
          <w:sz w:val="22"/>
          <w:szCs w:val="22"/>
        </w:rPr>
        <w:t xml:space="preserve">The six pillars, the four target institution classes, the measures, the three phases and the publication commitment are those of the petition. What the response supplies is what the Notice asked for: where the first implementation and validation take place, on what schedule, with what resources, with whose money and with how much of my time.</w:t>
      </w:r>
    </w:p>
    <w:p>
      <w:pPr>
        <w:pStyle w:val="Heading1"/>
        <w:keepNext/>
        <w:spacing w:after="140" w:before="280"/>
      </w:pPr>
      <w:r>
        <w:rPr>
          <w:rFonts w:ascii="Calibri" w:cs="Calibri" w:eastAsia="Calibri" w:hAnsi="Calibri"/>
          <w:b/>
          <w:bCs/>
          <w:color w:val="1F3864"/>
          <w:sz w:val="26"/>
          <w:szCs w:val="26"/>
        </w:rPr>
        <w:t xml:space="preserve">IV. HOW: Techniques, Methods, Resources, Funding and Implementation</w:t>
      </w:r>
    </w:p>
    <w:p>
      <w:pPr>
        <w:pStyle w:val="Heading2"/>
        <w:keepNext/>
        <w:spacing w:after="100" w:before="200"/>
      </w:pPr>
      <w:r>
        <w:rPr>
          <w:rFonts w:ascii="Calibri" w:cs="Calibri" w:eastAsia="Calibri" w:hAnsi="Calibri"/>
          <w:b/>
          <w:bCs/>
          <w:color w:val="1F3864"/>
          <w:sz w:val="23"/>
          <w:szCs w:val="23"/>
        </w:rPr>
        <w:t xml:space="preserve">A. Techniques and methodology, project by project</w:t>
      </w:r>
    </w:p>
    <w:p>
      <w:pPr>
        <w:spacing w:after="120" w:line="264"/>
        <w:jc w:val="both"/>
      </w:pPr>
      <w:r>
        <w:rPr>
          <w:rFonts w:ascii="Calibri" w:cs="Calibri" w:eastAsia="Calibri" w:hAnsi="Calibri"/>
          <w:sz w:val="22"/>
          <w:szCs w:val="22"/>
        </w:rPr>
        <w:t xml:space="preserve">The methodology is the overall approach each project takes to answering its research questions. The techniques are the specific engineering and analytical tools applied. The methods are the procedures by which results are produced and checked. Table 6 sets them out, and the paragraphs that follow explain the choices.</w:t>
      </w:r>
    </w:p>
    <w:p>
      <w:pPr>
        <w:keepNext/>
        <w:spacing w:after="80" w:before="160"/>
      </w:pPr>
      <w:r>
        <w:rPr>
          <w:rFonts w:ascii="Calibri" w:cs="Calibri" w:eastAsia="Calibri" w:hAnsi="Calibri"/>
          <w:b/>
          <w:bCs/>
          <w:sz w:val="21"/>
          <w:szCs w:val="21"/>
        </w:rPr>
        <w:t xml:space="preserve">Table 6. Methodology, techniques and evaluation methods for each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98"/>
        <w:gridCol w:w="2621"/>
        <w:gridCol w:w="2808"/>
        <w:gridCol w:w="2433"/>
      </w:tblGrid>
      <w:tr>
        <w:trPr>
          <w:cantSplit/>
          <w:tblHeader/>
        </w:trPr>
        <w:tc>
          <w:tcPr>
            <w:tcW w:type="dxa" w:w="149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b/>
                <w:bCs/>
                <w:sz w:val="19"/>
                <w:szCs w:val="19"/>
              </w:rPr>
              <w:t xml:space="preserve">Project</w:t>
            </w:r>
          </w:p>
        </w:tc>
        <w:tc>
          <w:tcPr>
            <w:tcW w:type="dxa" w:w="262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b/>
                <w:bCs/>
                <w:sz w:val="19"/>
                <w:szCs w:val="19"/>
              </w:rPr>
              <w:t xml:space="preserve">Methodology</w:t>
            </w:r>
          </w:p>
        </w:tc>
        <w:tc>
          <w:tcPr>
            <w:tcW w:type="dxa" w:w="280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b/>
                <w:bCs/>
                <w:sz w:val="19"/>
                <w:szCs w:val="19"/>
              </w:rPr>
              <w:t xml:space="preserve">Techniques</w:t>
            </w:r>
          </w:p>
        </w:tc>
        <w:tc>
          <w:tcPr>
            <w:tcW w:type="dxa" w:w="243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b/>
                <w:bCs/>
                <w:sz w:val="19"/>
                <w:szCs w:val="19"/>
              </w:rPr>
              <w:t xml:space="preserve">Evaluation methods</w:t>
            </w:r>
          </w:p>
        </w:tc>
      </w:tr>
      <w:tr>
        <w:trPr>
          <w:cantSplit/>
          <w:tblHeader w:val="false"/>
        </w:trPr>
        <w:tc>
          <w:tcPr>
            <w:tcW w:type="dxa" w:w="149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1. Reference environments and catalogue</w:t>
            </w:r>
          </w:p>
        </w:tc>
        <w:tc>
          <w:tcPr>
            <w:tcW w:type="dxa" w:w="262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Model construction from published sector profiles and documented incidents; control mapping against federal frameworks.</w:t>
            </w:r>
          </w:p>
        </w:tc>
        <w:tc>
          <w:tcPr>
            <w:tcW w:type="dxa" w:w="280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Infrastructure-as-code (Terraform); cloud identity tenants (Microsoft Entra ID test tenant; AWS and Azure accounts); synthetic user and role generation; crosswalks to CISA ZTMM, NIST SP 800-207, HIPAA Security Rule, HHS CPGs, FTC Safeguards Rule.</w:t>
            </w:r>
          </w:p>
        </w:tc>
        <w:tc>
          <w:tcPr>
            <w:tcW w:type="dxa" w:w="243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Environment rebuilt from code by a second run with identical results; every control traceable to a source requirement.</w:t>
            </w:r>
          </w:p>
        </w:tc>
      </w:tr>
      <w:tr>
        <w:trPr>
          <w:cantSplit/>
          <w:tblHeader w:val="false"/>
        </w:trPr>
        <w:tc>
          <w:tcPr>
            <w:tcW w:type="dxa" w:w="149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2. Attack emulation and ordering</w:t>
            </w:r>
          </w:p>
        </w:tc>
        <w:tc>
          <w:tcPr>
            <w:tcW w:type="dxa" w:w="262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Controlled before-and-after experiments: one control changed at a time, full emulation plan re-run after each change.</w:t>
            </w:r>
          </w:p>
        </w:tc>
        <w:tc>
          <w:tcPr>
            <w:tcW w:type="dxa" w:w="280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MITRE ATT&amp;CK technique mapping; open-source emulation tools for cloud and identity attacks; conditional access, MFA, privileged access and segmentation policies; time-and-cost logging.</w:t>
            </w:r>
          </w:p>
        </w:tc>
        <w:tc>
          <w:tcPr>
            <w:tcW w:type="dxa" w:w="243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Attack paths blocked, detected or open per control; deployment time; direct cost; comparison of ranked and unranked deployment orders; service disruptions and rollbacks caused by each change.</w:t>
            </w:r>
          </w:p>
        </w:tc>
      </w:tr>
      <w:tr>
        <w:trPr>
          <w:cantSplit/>
          <w:tblHeader w:val="false"/>
        </w:trPr>
        <w:tc>
          <w:tcPr>
            <w:tcW w:type="dxa" w:w="149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3. Financial governance pillar</w:t>
            </w:r>
          </w:p>
        </w:tc>
        <w:tc>
          <w:tcPr>
            <w:tcW w:type="dxa" w:w="262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Joint audit of identity, configuration and billing data; overlap measurement.</w:t>
            </w:r>
          </w:p>
        </w:tc>
        <w:tc>
          <w:tcPr>
            <w:tcW w:type="dxa" w:w="280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Python audit scripts against cloud and SaaS management interfaces; licence-to-activity matching; idle-resource detection; cost attribution.</w:t>
            </w:r>
          </w:p>
        </w:tc>
        <w:tc>
          <w:tcPr>
            <w:tcW w:type="dxa" w:w="243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Share of identities and resources inventoried and with a validated owner and purpose; share of security findings also found by the cost audit; assets found by the departure workflow against a disable-only baseline; false positives; recovered spend against first-year control cost.</w:t>
            </w:r>
          </w:p>
        </w:tc>
      </w:tr>
    </w:tbl>
    <w:p>
      <w:pPr>
        <w:spacing w:after="80"/>
      </w:pPr>
    </w:p>
    <w:p>
      <w:pPr>
        <w:spacing w:after="120" w:line="264"/>
        <w:jc w:val="both"/>
      </w:pPr>
      <w:r>
        <w:rPr>
          <w:rFonts w:ascii="Calibri" w:cs="Calibri" w:eastAsia="Calibri" w:hAnsi="Calibri"/>
          <w:b/>
          <w:bCs/>
          <w:sz w:val="22"/>
          <w:szCs w:val="22"/>
        </w:rPr>
        <w:t xml:space="preserve">Why simulated environments.</w:t>
      </w:r>
      <w:r>
        <w:rPr>
          <w:rFonts w:ascii="Calibri" w:cs="Calibri" w:eastAsia="Calibri" w:hAnsi="Calibri"/>
          <w:sz w:val="22"/>
          <w:szCs w:val="22"/>
        </w:rPr>
        <w:t xml:space="preserve"> A test on a live institution cannot be repeated, cannot be published in full without exposing that institution, and cannot be run before and after every control. A reference environment built from code can be attacked, repaired and attacked again as many times as needed, can be released in full, and can be rebuilt by anyone who wants to check the result. It is the method that makes the findings reproducible.</w:t>
      </w:r>
    </w:p>
    <w:p>
      <w:pPr>
        <w:spacing w:after="120" w:line="264"/>
        <w:jc w:val="both"/>
      </w:pPr>
      <w:r>
        <w:rPr>
          <w:rFonts w:ascii="Calibri" w:cs="Calibri" w:eastAsia="Calibri" w:hAnsi="Calibri"/>
          <w:b/>
          <w:bCs/>
          <w:sz w:val="22"/>
          <w:szCs w:val="22"/>
        </w:rPr>
        <w:t xml:space="preserve">Why one control at a time.</w:t>
      </w:r>
      <w:r>
        <w:rPr>
          <w:rFonts w:ascii="Calibri" w:cs="Calibri" w:eastAsia="Calibri" w:hAnsi="Calibri"/>
          <w:sz w:val="22"/>
          <w:szCs w:val="22"/>
        </w:rPr>
        <w:t xml:space="preserve"> Small institutions do not deploy a full Zero Trust programme at once; they deploy one control and then another as staff time allows. Measuring the effect of each control in sequence answers the question they actually face: what to do first.</w:t>
      </w:r>
    </w:p>
    <w:p>
      <w:pPr>
        <w:spacing w:after="120" w:line="264"/>
        <w:jc w:val="both"/>
      </w:pPr>
      <w:r>
        <w:rPr>
          <w:rFonts w:ascii="Calibri" w:cs="Calibri" w:eastAsia="Calibri" w:hAnsi="Calibri"/>
          <w:b/>
          <w:bCs/>
          <w:sz w:val="22"/>
          <w:szCs w:val="22"/>
        </w:rPr>
        <w:t xml:space="preserve">Why attack paths, not compliance scores.</w:t>
      </w:r>
      <w:r>
        <w:rPr>
          <w:rFonts w:ascii="Calibri" w:cs="Calibri" w:eastAsia="Calibri" w:hAnsi="Calibri"/>
          <w:sz w:val="22"/>
          <w:szCs w:val="22"/>
        </w:rPr>
        <w:t xml:space="preserve"> A maturity score records which controls are present. The question an institution needs answered is what an attacker can still do. Counting the documented attack paths that remain open after each control measures that directly, and it ties each control to the incidents in Part III.A rather than to a checklist.</w:t>
      </w:r>
    </w:p>
    <w:p>
      <w:pPr>
        <w:spacing w:after="120" w:line="264"/>
        <w:jc w:val="both"/>
      </w:pPr>
      <w:r>
        <w:rPr>
          <w:rFonts w:ascii="Calibri" w:cs="Calibri" w:eastAsia="Calibri" w:hAnsi="Calibri"/>
          <w:b/>
          <w:bCs/>
          <w:sz w:val="22"/>
          <w:szCs w:val="22"/>
        </w:rPr>
        <w:t xml:space="preserve">How testing is done lawfully and safely.</w:t>
      </w:r>
      <w:r>
        <w:rPr>
          <w:rFonts w:ascii="Calibri" w:cs="Calibri" w:eastAsia="Calibri" w:hAnsi="Calibri"/>
          <w:sz w:val="22"/>
          <w:szCs w:val="22"/>
        </w:rPr>
        <w:t xml:space="preserve"> All attack emulation runs only against environments I create and own, in test tenants and cloud accounts registered to me, under the providers' published penetration-testing policies. No test touches any third party's systems, and no real personal, health or financial data is used; all user records are synthetic.</w:t>
      </w:r>
    </w:p>
    <w:p>
      <w:pPr>
        <w:pStyle w:val="Heading2"/>
        <w:keepNext/>
        <w:spacing w:after="100" w:before="200"/>
      </w:pPr>
      <w:r>
        <w:rPr>
          <w:rFonts w:ascii="Calibri" w:cs="Calibri" w:eastAsia="Calibri" w:hAnsi="Calibri"/>
          <w:b/>
          <w:bCs/>
          <w:color w:val="1F3864"/>
          <w:sz w:val="23"/>
          <w:szCs w:val="23"/>
        </w:rPr>
        <w:t xml:space="preserve">B. How the work is carried out in practice: the 36-month schedule</w:t>
      </w:r>
    </w:p>
    <w:p>
      <w:pPr>
        <w:spacing w:after="120" w:line="264"/>
        <w:jc w:val="both"/>
      </w:pPr>
      <w:r>
        <w:rPr>
          <w:rFonts w:ascii="Calibri" w:cs="Calibri" w:eastAsia="Calibri" w:hAnsi="Calibri"/>
          <w:sz w:val="22"/>
          <w:szCs w:val="22"/>
        </w:rPr>
        <w:t xml:space="preserve">Table 7 is the implementation schedule. Each quarter ends in an artifact that can be inspected. The Notice asks whether activities run "simultaneously or consecutively." The answer is both, in a fixed pattern: environment building (Project 1) runs first; attack emulation (Project 2) and the financial audit (Project 3) then run in parallel on each finished environment; writing and release follow each set of results.</w:t>
      </w:r>
    </w:p>
    <w:p>
      <w:pPr>
        <w:keepNext/>
        <w:spacing w:after="80" w:before="160"/>
      </w:pPr>
      <w:r>
        <w:rPr>
          <w:rFonts w:ascii="Calibri" w:cs="Calibri" w:eastAsia="Calibri" w:hAnsi="Calibri"/>
          <w:b/>
          <w:bCs/>
          <w:sz w:val="21"/>
          <w:szCs w:val="21"/>
        </w:rPr>
        <w:t xml:space="preserve">Table 7. Implementation schedule and verifiable outputs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10"/>
        <w:gridCol w:w="4306"/>
        <w:gridCol w:w="3744"/>
      </w:tblGrid>
      <w:tr>
        <w:trPr>
          <w:cantSplit/>
          <w:tblHeader/>
        </w:trPr>
        <w:tc>
          <w:tcPr>
            <w:tcW w:type="dxa" w:w="131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b/>
                <w:bCs/>
                <w:sz w:val="19"/>
                <w:szCs w:val="19"/>
              </w:rPr>
              <w:t xml:space="preserve">Months</w:t>
            </w:r>
          </w:p>
        </w:tc>
        <w:tc>
          <w:tcPr>
            <w:tcW w:type="dxa" w:w="430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b/>
                <w:bCs/>
                <w:sz w:val="19"/>
                <w:szCs w:val="19"/>
              </w:rPr>
              <w:t xml:space="preserve">Work carried out</w:t>
            </w:r>
          </w:p>
        </w:tc>
        <w:tc>
          <w:tcPr>
            <w:tcW w:type="dxa" w:w="374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b/>
                <w:bCs/>
                <w:sz w:val="19"/>
                <w:szCs w:val="19"/>
              </w:rPr>
              <w:t xml:space="preserve">Output that shows the milestone was met</w:t>
            </w:r>
          </w:p>
        </w:tc>
      </w:tr>
      <w:tr>
        <w:trPr>
          <w:cantSplit/>
          <w:tblHeader w:val="false"/>
        </w:trPr>
        <w:tc>
          <w:tcPr>
            <w:tcW w:type="dxa" w:w="131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1-3</w:t>
            </w:r>
          </w:p>
        </w:tc>
        <w:tc>
          <w:tcPr>
            <w:tcW w:type="dxa" w:w="430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Build the hospital reference environment in code; draft the control catalogue for the identity and network pillars; write the emulation plan.</w:t>
            </w:r>
          </w:p>
        </w:tc>
        <w:tc>
          <w:tcPr>
            <w:tcW w:type="dxa" w:w="374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Public repository with hospital environment v0.1 and emulation plan.</w:t>
            </w:r>
          </w:p>
        </w:tc>
      </w:tr>
      <w:tr>
        <w:trPr>
          <w:cantSplit/>
          <w:tblHeader w:val="false"/>
        </w:trPr>
        <w:tc>
          <w:tcPr>
            <w:tcW w:type="dxa" w:w="131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4-6</w:t>
            </w:r>
          </w:p>
        </w:tc>
        <w:tc>
          <w:tcPr>
            <w:tcW w:type="dxa" w:w="430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Run baseline and control-by-control emulation on the hospital environment; first audit-script release.</w:t>
            </w:r>
          </w:p>
        </w:tc>
        <w:tc>
          <w:tcPr>
            <w:tcW w:type="dxa" w:w="374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Results dataset release 1; audit scripts v0.1.</w:t>
            </w:r>
          </w:p>
        </w:tc>
      </w:tr>
      <w:tr>
        <w:trPr>
          <w:cantSplit/>
          <w:tblHeader w:val="false"/>
        </w:trPr>
        <w:tc>
          <w:tcPr>
            <w:tcW w:type="dxa" w:w="131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7-9</w:t>
            </w:r>
          </w:p>
        </w:tc>
        <w:tc>
          <w:tcPr>
            <w:tcW w:type="dxa" w:w="430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Build the community bank environment; complete the catalogue mappings for healthcare and banking rules.</w:t>
            </w:r>
          </w:p>
        </w:tc>
        <w:tc>
          <w:tcPr>
            <w:tcW w:type="dxa" w:w="374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Paper 1 submitted (hospital results and deployment order); catalogue v0.5.</w:t>
            </w:r>
          </w:p>
        </w:tc>
      </w:tr>
      <w:tr>
        <w:trPr>
          <w:cantSplit/>
          <w:tblHeader w:val="false"/>
        </w:trPr>
        <w:tc>
          <w:tcPr>
            <w:tcW w:type="dxa" w:w="131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10-12</w:t>
            </w:r>
          </w:p>
        </w:tc>
        <w:tc>
          <w:tcPr>
            <w:tcW w:type="dxa" w:w="430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Emulation and financial audit on the bank environment; first practitioner guide.</w:t>
            </w:r>
          </w:p>
        </w:tc>
        <w:tc>
          <w:tcPr>
            <w:tcW w:type="dxa" w:w="374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Results dataset release 2; practitioner guide for hospitals.</w:t>
            </w:r>
          </w:p>
        </w:tc>
      </w:tr>
      <w:tr>
        <w:trPr>
          <w:cantSplit/>
          <w:tblHeader w:val="false"/>
        </w:trPr>
        <w:tc>
          <w:tcPr>
            <w:tcW w:type="dxa" w:w="131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13-18</w:t>
            </w:r>
          </w:p>
        </w:tc>
        <w:tc>
          <w:tcPr>
            <w:tcW w:type="dxa" w:w="430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Build small-business and county government environments; emulation and audit on both.</w:t>
            </w:r>
          </w:p>
        </w:tc>
        <w:tc>
          <w:tcPr>
            <w:tcW w:type="dxa" w:w="374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Paper 2 submitted (cross-sector control ordering); environments v1.0.</w:t>
            </w:r>
          </w:p>
        </w:tc>
      </w:tr>
      <w:tr>
        <w:trPr>
          <w:cantSplit/>
          <w:tblHeader w:val="false"/>
        </w:trPr>
        <w:tc>
          <w:tcPr>
            <w:tcW w:type="dxa" w:w="131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19-24</w:t>
            </w:r>
          </w:p>
        </w:tc>
        <w:tc>
          <w:tcPr>
            <w:tcW w:type="dxa" w:w="430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Overlap study of cost and security findings across all four environments; catalogue v1.0.</w:t>
            </w:r>
          </w:p>
        </w:tc>
        <w:tc>
          <w:tcPr>
            <w:tcW w:type="dxa" w:w="374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Paper 3 submitted (financial governance pillar); catalogue v1.0 released.</w:t>
            </w:r>
          </w:p>
        </w:tc>
      </w:tr>
      <w:tr>
        <w:trPr>
          <w:cantSplit/>
          <w:tblHeader w:val="false"/>
        </w:trPr>
        <w:tc>
          <w:tcPr>
            <w:tcW w:type="dxa" w:w="131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25-30</w:t>
            </w:r>
          </w:p>
        </w:tc>
        <w:tc>
          <w:tcPr>
            <w:tcW w:type="dxa" w:w="430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Independent rebuild test: a second party recreates an environment from the code and reruns the plan. Field validation begins: volunteer adopter institutions apply the published audit scripts and first-ranked controls on their own estates, with my guidance and without payment (petition Phase two).</w:t>
            </w:r>
          </w:p>
        </w:tc>
        <w:tc>
          <w:tcPr>
            <w:tcW w:type="dxa" w:w="374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Reproduction report published; field-validation protocol published.</w:t>
            </w:r>
          </w:p>
        </w:tc>
      </w:tr>
      <w:tr>
        <w:trPr>
          <w:cantSplit/>
          <w:tblHeader w:val="false"/>
        </w:trPr>
        <w:tc>
          <w:tcPr>
            <w:tcW w:type="dxa" w:w="131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31-36</w:t>
            </w:r>
          </w:p>
        </w:tc>
        <w:tc>
          <w:tcPr>
            <w:tcW w:type="dxa" w:w="430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Consolidated framework release; field-validation results analysed; update for changes in federal guidance; tutorials.</w:t>
            </w:r>
          </w:p>
        </w:tc>
        <w:tc>
          <w:tcPr>
            <w:tcW w:type="dxa" w:w="374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Paper 4 submitted (consolidated framework, including field-validation results); framework v1.0; public tutorials.</w:t>
            </w:r>
          </w:p>
        </w:tc>
      </w:tr>
    </w:tbl>
    <w:p>
      <w:pPr>
        <w:spacing w:after="80"/>
      </w:pPr>
    </w:p>
    <w:p>
      <w:pPr>
        <w:pStyle w:val="Heading2"/>
        <w:keepNext/>
        <w:spacing w:after="100" w:before="200"/>
      </w:pPr>
      <w:r>
        <w:rPr>
          <w:rFonts w:ascii="Calibri" w:cs="Calibri" w:eastAsia="Calibri" w:hAnsi="Calibri"/>
          <w:b/>
          <w:bCs/>
          <w:color w:val="1F3864"/>
          <w:sz w:val="23"/>
          <w:szCs w:val="23"/>
        </w:rPr>
        <w:t xml:space="preserve">C. Resources required</w:t>
      </w:r>
    </w:p>
    <w:p>
      <w:pPr>
        <w:spacing w:after="120" w:line="264"/>
        <w:jc w:val="both"/>
      </w:pPr>
      <w:r>
        <w:rPr>
          <w:rFonts w:ascii="Calibri" w:cs="Calibri" w:eastAsia="Calibri" w:hAnsi="Calibri"/>
          <w:sz w:val="22"/>
          <w:szCs w:val="22"/>
        </w:rPr>
        <w:t xml:space="preserve">Table 8 lists the resources the programme needs. Because it is simulation based, its resources are modest, and the items that take years to acquire, the method, the production patterns and the expertise, I already hold.</w:t>
      </w:r>
    </w:p>
    <w:p>
      <w:pPr>
        <w:keepNext/>
        <w:spacing w:after="80" w:before="160"/>
      </w:pPr>
      <w:r>
        <w:rPr>
          <w:rFonts w:ascii="Calibri" w:cs="Calibri" w:eastAsia="Calibri" w:hAnsi="Calibri"/>
          <w:b/>
          <w:bCs/>
          <w:sz w:val="21"/>
          <w:szCs w:val="21"/>
        </w:rPr>
        <w:t xml:space="preserve">Table 8. Resources required and their source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70"/>
        <w:gridCol w:w="1685"/>
        <w:gridCol w:w="4305"/>
      </w:tblGrid>
      <w:tr>
        <w:trPr>
          <w:cantSplit/>
          <w:tblHeader/>
        </w:trPr>
        <w:tc>
          <w:tcPr>
            <w:tcW w:type="dxa" w:w="337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b/>
                <w:bCs/>
                <w:sz w:val="19"/>
                <w:szCs w:val="19"/>
              </w:rPr>
              <w:t xml:space="preserve">Resource</w:t>
            </w:r>
          </w:p>
        </w:tc>
        <w:tc>
          <w:tcPr>
            <w:tcW w:type="dxa" w:w="168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b/>
                <w:bCs/>
                <w:sz w:val="19"/>
                <w:szCs w:val="19"/>
              </w:rPr>
              <w:t xml:space="preserve">Status</w:t>
            </w:r>
          </w:p>
        </w:tc>
        <w:tc>
          <w:tcPr>
            <w:tcW w:type="dxa" w:w="430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b/>
                <w:bCs/>
                <w:sz w:val="19"/>
                <w:szCs w:val="19"/>
              </w:rPr>
              <w:t xml:space="preserve">Source or note</w:t>
            </w:r>
          </w:p>
        </w:tc>
      </w:tr>
      <w:tr>
        <w:trPr>
          <w:cantSplit/>
          <w:tblHeader w:val="false"/>
        </w:trPr>
        <w:tc>
          <w:tcPr>
            <w:tcW w:type="dxa" w:w="337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Six-pillar framework design and production patterns (access reduction, protocol elimination, conditional access, storage remediation, licence audit)</w:t>
            </w:r>
          </w:p>
        </w:tc>
        <w:tc>
          <w:tcPr>
            <w:tcW w:type="dxa" w:w="168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Held</w:t>
            </w:r>
          </w:p>
        </w:tc>
        <w:tc>
          <w:tcPr>
            <w:tcW w:type="dxa" w:w="430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My production record at Ericsson and in U.S. enterprise practice (petition </w:t>
            </w:r>
            <w:r>
              <w:rPr>
                <w:rFonts w:ascii="Calibri" w:cs="Calibri" w:eastAsia="Calibri" w:hAnsi="Calibri"/>
                <w:color w:val="FF0000"/>
                <w:sz w:val="19"/>
                <w:szCs w:val="19"/>
              </w:rPr>
              <w:t xml:space="preserve">Exhibits 4, 8, 11 and 18</w:t>
            </w:r>
            <w:r>
              <w:rPr>
                <w:rFonts w:ascii="Calibri" w:cs="Calibri" w:eastAsia="Calibri" w:hAnsi="Calibri"/>
                <w:sz w:val="19"/>
                <w:szCs w:val="19"/>
              </w:rPr>
              <w:t xml:space="preserve">).</w:t>
            </w:r>
          </w:p>
        </w:tc>
      </w:tr>
      <w:tr>
        <w:trPr>
          <w:cantSplit/>
          <w:tblHeader w:val="false"/>
        </w:trPr>
        <w:tc>
          <w:tcPr>
            <w:tcW w:type="dxa" w:w="337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Expertise in identity, cloud and Zero Trust engineering</w:t>
            </w:r>
          </w:p>
        </w:tc>
        <w:tc>
          <w:tcPr>
            <w:tcW w:type="dxa" w:w="168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Held</w:t>
            </w:r>
          </w:p>
        </w:tc>
        <w:tc>
          <w:tcPr>
            <w:tcW w:type="dxa" w:w="430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CISSP; AWS Certified Solutions Architect; U.S. master's degree (petition </w:t>
            </w:r>
            <w:r>
              <w:rPr>
                <w:rFonts w:ascii="Calibri" w:cs="Calibri" w:eastAsia="Calibri" w:hAnsi="Calibri"/>
                <w:color w:val="FF0000"/>
                <w:sz w:val="19"/>
                <w:szCs w:val="19"/>
              </w:rPr>
              <w:t xml:space="preserve">Exhibits 1 and 17</w:t>
            </w:r>
            <w:r>
              <w:rPr>
                <w:rFonts w:ascii="Calibri" w:cs="Calibri" w:eastAsia="Calibri" w:hAnsi="Calibri"/>
                <w:sz w:val="19"/>
                <w:szCs w:val="19"/>
              </w:rPr>
              <w:t xml:space="preserve">).</w:t>
            </w:r>
          </w:p>
        </w:tc>
      </w:tr>
      <w:tr>
        <w:trPr>
          <w:cantSplit/>
          <w:tblHeader w:val="false"/>
        </w:trPr>
        <w:tc>
          <w:tcPr>
            <w:tcW w:type="dxa" w:w="337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Computer workstation for development and analysis</w:t>
            </w:r>
          </w:p>
        </w:tc>
        <w:tc>
          <w:tcPr>
            <w:tcW w:type="dxa" w:w="168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Held</w:t>
            </w:r>
          </w:p>
        </w:tc>
        <w:tc>
          <w:tcPr>
            <w:tcW w:type="dxa" w:w="430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Owned; no cost to the programme.</w:t>
            </w:r>
          </w:p>
        </w:tc>
      </w:tr>
      <w:tr>
        <w:trPr>
          <w:cantSplit/>
          <w:tblHeader w:val="false"/>
        </w:trPr>
        <w:tc>
          <w:tcPr>
            <w:tcW w:type="dxa" w:w="337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Cloud test accounts and identity test tenants</w:t>
            </w:r>
          </w:p>
        </w:tc>
        <w:tc>
          <w:tcPr>
            <w:tcW w:type="dxa" w:w="168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Obtained as needed</w:t>
            </w:r>
          </w:p>
        </w:tc>
        <w:tc>
          <w:tcPr>
            <w:tcW w:type="dxa" w:w="430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Provider developer and pay-as-you-go accounts in my name; budgeted in Table 9.</w:t>
            </w:r>
          </w:p>
        </w:tc>
      </w:tr>
      <w:tr>
        <w:trPr>
          <w:cantSplit/>
          <w:tblHeader w:val="false"/>
        </w:trPr>
        <w:tc>
          <w:tcPr>
            <w:tcW w:type="dxa" w:w="337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Open-source tools (infrastructure-as-code, emulation, Python analysis)</w:t>
            </w:r>
          </w:p>
        </w:tc>
        <w:tc>
          <w:tcPr>
            <w:tcW w:type="dxa" w:w="168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Available</w:t>
            </w:r>
          </w:p>
        </w:tc>
        <w:tc>
          <w:tcPr>
            <w:tcW w:type="dxa" w:w="430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Free and open licence.</w:t>
            </w:r>
          </w:p>
        </w:tc>
      </w:tr>
      <w:tr>
        <w:trPr>
          <w:cantSplit/>
          <w:tblHeader w:val="false"/>
        </w:trPr>
        <w:tc>
          <w:tcPr>
            <w:tcW w:type="dxa" w:w="337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Code and data hosting</w:t>
            </w:r>
          </w:p>
        </w:tc>
        <w:tc>
          <w:tcPr>
            <w:tcW w:type="dxa" w:w="168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Available</w:t>
            </w:r>
          </w:p>
        </w:tc>
        <w:tc>
          <w:tcPr>
            <w:tcW w:type="dxa" w:w="430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Public repository and open data repository with persistent identifiers.</w:t>
            </w:r>
          </w:p>
        </w:tc>
      </w:tr>
      <w:tr>
        <w:trPr>
          <w:cantSplit/>
          <w:tblHeader w:val="false"/>
        </w:trPr>
        <w:tc>
          <w:tcPr>
            <w:tcW w:type="dxa" w:w="337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Federal frameworks and sector rules for mapping</w:t>
            </w:r>
          </w:p>
        </w:tc>
        <w:tc>
          <w:tcPr>
            <w:tcW w:type="dxa" w:w="168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Available</w:t>
            </w:r>
          </w:p>
        </w:tc>
        <w:tc>
          <w:tcPr>
            <w:tcW w:type="dxa" w:w="430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Public documents (petition </w:t>
            </w:r>
            <w:r>
              <w:rPr>
                <w:rFonts w:ascii="Calibri" w:cs="Calibri" w:eastAsia="Calibri" w:hAnsi="Calibri"/>
                <w:color w:val="FF0000"/>
                <w:sz w:val="19"/>
                <w:szCs w:val="19"/>
              </w:rPr>
              <w:t xml:space="preserve">Exhibits 19 to 62</w:t>
            </w:r>
            <w:r>
              <w:rPr>
                <w:rFonts w:ascii="Calibri" w:cs="Calibri" w:eastAsia="Calibri" w:hAnsi="Calibri"/>
                <w:sz w:val="19"/>
                <w:szCs w:val="19"/>
              </w:rPr>
              <w:t xml:space="preserve">; </w:t>
            </w:r>
            <w:r>
              <w:rPr>
                <w:rFonts w:ascii="Calibri" w:cs="Calibri" w:eastAsia="Calibri" w:hAnsi="Calibri"/>
                <w:color w:val="FF0000"/>
                <w:sz w:val="19"/>
                <w:szCs w:val="19"/>
              </w:rPr>
              <w:t xml:space="preserve">Exhibits RFE-7 and RFE-8</w:t>
            </w:r>
            <w:r>
              <w:rPr>
                <w:rFonts w:ascii="Calibri" w:cs="Calibri" w:eastAsia="Calibri" w:hAnsi="Calibri"/>
                <w:sz w:val="19"/>
                <w:szCs w:val="19"/>
              </w:rPr>
              <w:t xml:space="preserve">).</w:t>
            </w:r>
          </w:p>
        </w:tc>
      </w:tr>
    </w:tbl>
    <w:p>
      <w:pPr>
        <w:spacing w:after="80"/>
      </w:pPr>
    </w:p>
    <w:p>
      <w:pPr>
        <w:pStyle w:val="Heading2"/>
        <w:keepNext/>
        <w:spacing w:after="100" w:before="200"/>
      </w:pPr>
      <w:r>
        <w:rPr>
          <w:rFonts w:ascii="Calibri" w:cs="Calibri" w:eastAsia="Calibri" w:hAnsi="Calibri"/>
          <w:b/>
          <w:bCs/>
          <w:color w:val="1F3864"/>
          <w:sz w:val="23"/>
          <w:szCs w:val="23"/>
        </w:rPr>
        <w:t xml:space="preserve">D. How the work will be funded, including living expenses</w:t>
      </w:r>
    </w:p>
    <w:p>
      <w:pPr>
        <w:spacing w:after="120" w:line="264"/>
        <w:jc w:val="both"/>
      </w:pPr>
      <w:r>
        <w:rPr>
          <w:rFonts w:ascii="Calibri" w:cs="Calibri" w:eastAsia="Calibri" w:hAnsi="Calibri"/>
          <w:sz w:val="22"/>
          <w:szCs w:val="22"/>
        </w:rPr>
        <w:t xml:space="preserve">The Notice states that I "did not submit any evidence of how she will be able to afford her endeavor to include her living expenses." The programme is self-funded. My living expenses and the research budget are both met from my own funds, as my bank statements show (</w:t>
      </w:r>
      <w:r>
        <w:rPr>
          <w:rFonts w:ascii="Calibri" w:cs="Calibri" w:eastAsia="Calibri" w:hAnsi="Calibri"/>
          <w:b/>
          <w:bCs/>
          <w:color w:val="FF0000"/>
          <w:sz w:val="22"/>
          <w:szCs w:val="22"/>
        </w:rPr>
        <w:t xml:space="preserve">Exhibit RFE-3</w:t>
      </w:r>
      <w:r>
        <w:rPr>
          <w:rFonts w:ascii="Calibri" w:cs="Calibri" w:eastAsia="Calibri" w:hAnsi="Calibri"/>
          <w:sz w:val="22"/>
          <w:szCs w:val="22"/>
        </w:rPr>
        <w:t xml:space="preserve">), and I have committed those funds to the budget in Table 9 by signed declaration (</w:t>
      </w:r>
      <w:r>
        <w:rPr>
          <w:rFonts w:ascii="Calibri" w:cs="Calibri" w:eastAsia="Calibri" w:hAnsi="Calibri"/>
          <w:b/>
          <w:bCs/>
          <w:color w:val="FF0000"/>
          <w:sz w:val="22"/>
          <w:szCs w:val="22"/>
        </w:rPr>
        <w:t xml:space="preserve">Exhibit RFE-4</w:t>
      </w:r>
      <w:r>
        <w:rPr>
          <w:rFonts w:ascii="Calibri" w:cs="Calibri" w:eastAsia="Calibri" w:hAnsi="Calibri"/>
          <w:sz w:val="22"/>
          <w:szCs w:val="22"/>
        </w:rPr>
        <w:t xml:space="preserve">). Table 9 sets out the 36-month research budget.</w:t>
      </w:r>
    </w:p>
    <w:p>
      <w:pPr>
        <w:keepNext/>
        <w:spacing w:after="80" w:before="160"/>
      </w:pPr>
      <w:r>
        <w:rPr>
          <w:rFonts w:ascii="Calibri" w:cs="Calibri" w:eastAsia="Calibri" w:hAnsi="Calibri"/>
          <w:b/>
          <w:bCs/>
          <w:sz w:val="21"/>
          <w:szCs w:val="21"/>
        </w:rPr>
        <w:t xml:space="preserve">Table 9. Research budget and funding source, 36 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118"/>
        <w:gridCol w:w="1685"/>
        <w:gridCol w:w="3557"/>
      </w:tblGrid>
      <w:tr>
        <w:trPr>
          <w:cantSplit/>
          <w:tblHeader/>
        </w:trPr>
        <w:tc>
          <w:tcPr>
            <w:tcW w:type="dxa" w:w="411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b/>
                <w:bCs/>
                <w:sz w:val="19"/>
                <w:szCs w:val="19"/>
              </w:rPr>
              <w:t xml:space="preserve">Item</w:t>
            </w:r>
          </w:p>
        </w:tc>
        <w:tc>
          <w:tcPr>
            <w:tcW w:type="dxa" w:w="168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b/>
                <w:bCs/>
                <w:sz w:val="19"/>
                <w:szCs w:val="19"/>
              </w:rPr>
              <w:t xml:space="preserve">Cost (USD)</w:t>
            </w:r>
          </w:p>
        </w:tc>
        <w:tc>
          <w:tcPr>
            <w:tcW w:type="dxa" w:w="355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b/>
                <w:bCs/>
                <w:sz w:val="19"/>
                <w:szCs w:val="19"/>
              </w:rPr>
              <w:t xml:space="preserve">Funding source</w:t>
            </w:r>
          </w:p>
        </w:tc>
      </w:tr>
      <w:tr>
        <w:trPr>
          <w:cantSplit/>
          <w:tblHeader w:val="false"/>
        </w:trPr>
        <w:tc>
          <w:tcPr>
            <w:tcW w:type="dxa" w:w="411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Cloud test environments (compute, storage and identity tenants, about $100 a month)</w:t>
            </w:r>
          </w:p>
        </w:tc>
        <w:tc>
          <w:tcPr>
            <w:tcW w:type="dxa" w:w="168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3,600</w:t>
            </w:r>
          </w:p>
        </w:tc>
        <w:tc>
          <w:tcPr>
            <w:tcW w:type="dxa" w:w="355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Personal funds</w:t>
            </w:r>
          </w:p>
        </w:tc>
      </w:tr>
      <w:tr>
        <w:trPr>
          <w:cantSplit/>
          <w:tblHeader w:val="false"/>
        </w:trPr>
        <w:tc>
          <w:tcPr>
            <w:tcW w:type="dxa" w:w="411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Conference registration and travel (one U.S. conference a year)</w:t>
            </w:r>
          </w:p>
        </w:tc>
        <w:tc>
          <w:tcPr>
            <w:tcW w:type="dxa" w:w="168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3,000</w:t>
            </w:r>
          </w:p>
        </w:tc>
        <w:tc>
          <w:tcPr>
            <w:tcW w:type="dxa" w:w="355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Personal funds</w:t>
            </w:r>
          </w:p>
        </w:tc>
      </w:tr>
      <w:tr>
        <w:trPr>
          <w:cantSplit/>
          <w:tblHeader w:val="false"/>
        </w:trPr>
        <w:tc>
          <w:tcPr>
            <w:tcW w:type="dxa" w:w="411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Repository, domain and data hosting</w:t>
            </w:r>
          </w:p>
        </w:tc>
        <w:tc>
          <w:tcPr>
            <w:tcW w:type="dxa" w:w="168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300</w:t>
            </w:r>
          </w:p>
        </w:tc>
        <w:tc>
          <w:tcPr>
            <w:tcW w:type="dxa" w:w="355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Personal funds</w:t>
            </w:r>
          </w:p>
        </w:tc>
      </w:tr>
      <w:tr>
        <w:trPr>
          <w:cantSplit/>
          <w:tblHeader w:val="false"/>
        </w:trPr>
        <w:tc>
          <w:tcPr>
            <w:tcW w:type="dxa" w:w="411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Open-access publication fees</w:t>
            </w:r>
          </w:p>
        </w:tc>
        <w:tc>
          <w:tcPr>
            <w:tcW w:type="dxa" w:w="168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0</w:t>
            </w:r>
          </w:p>
        </w:tc>
        <w:tc>
          <w:tcPr>
            <w:tcW w:type="dxa" w:w="355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Venues without author fees selected (Table 23)</w:t>
            </w:r>
          </w:p>
        </w:tc>
      </w:tr>
      <w:tr>
        <w:trPr>
          <w:cantSplit/>
          <w:tblHeader w:val="false"/>
        </w:trPr>
        <w:tc>
          <w:tcPr>
            <w:tcW w:type="dxa" w:w="411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Workstation and software</w:t>
            </w:r>
          </w:p>
        </w:tc>
        <w:tc>
          <w:tcPr>
            <w:tcW w:type="dxa" w:w="168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0</w:t>
            </w:r>
          </w:p>
        </w:tc>
        <w:tc>
          <w:tcPr>
            <w:tcW w:type="dxa" w:w="355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Already owned; open-source tools</w:t>
            </w:r>
          </w:p>
        </w:tc>
      </w:tr>
      <w:tr>
        <w:trPr>
          <w:cantSplit/>
          <w:tblHeader w:val="false"/>
        </w:trPr>
        <w:tc>
          <w:tcPr>
            <w:tcW w:type="dxa" w:w="411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b/>
                <w:bCs/>
                <w:sz w:val="19"/>
                <w:szCs w:val="19"/>
              </w:rPr>
              <w:t xml:space="preserve">Total, 36 months</w:t>
            </w:r>
          </w:p>
        </w:tc>
        <w:tc>
          <w:tcPr>
            <w:tcW w:type="dxa" w:w="168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b/>
                <w:bCs/>
                <w:sz w:val="19"/>
                <w:szCs w:val="19"/>
              </w:rPr>
              <w:t xml:space="preserve">6,900</w:t>
            </w:r>
          </w:p>
        </w:tc>
        <w:tc>
          <w:tcPr>
            <w:tcW w:type="dxa" w:w="355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b/>
                <w:bCs/>
                <w:sz w:val="19"/>
                <w:szCs w:val="19"/>
              </w:rPr>
              <w:t xml:space="preserve">Self-funded from personal funds</w:t>
            </w:r>
          </w:p>
        </w:tc>
      </w:tr>
    </w:tbl>
    <w:p>
      <w:pPr>
        <w:spacing w:after="80"/>
      </w:pPr>
    </w:p>
    <w:p>
      <w:pPr>
        <w:spacing w:after="120" w:line="264"/>
        <w:jc w:val="both"/>
      </w:pPr>
      <w:r>
        <w:rPr>
          <w:rFonts w:ascii="Calibri" w:cs="Calibri" w:eastAsia="Calibri" w:hAnsi="Calibri"/>
          <w:sz w:val="22"/>
          <w:szCs w:val="22"/>
        </w:rPr>
        <w:t xml:space="preserve">The budget is deliberately small. The research needs no laboratory, no grant and no partner institution to produce its results, which is why the plan does not depend on funding I have yet to obtain. Where a later phase would benefit from outside funding, for example a funded validation study with a group of rural hospitals, I will apply for it on the strength of the published results, but no milestone in Table 7 depends on it.</w:t>
      </w:r>
    </w:p>
    <w:p>
      <w:pPr>
        <w:spacing w:after="120" w:line="264"/>
        <w:jc w:val="both"/>
      </w:pPr>
      <w:r>
        <w:rPr>
          <w:rFonts w:ascii="Calibri" w:cs="Calibri" w:eastAsia="Calibri" w:hAnsi="Calibri"/>
          <w:b/>
          <w:bCs/>
          <w:sz w:val="22"/>
          <w:szCs w:val="22"/>
        </w:rPr>
        <w:t xml:space="preserve">Living expenses.</w:t>
      </w:r>
      <w:r>
        <w:rPr>
          <w:rFonts w:ascii="Calibri" w:cs="Calibri" w:eastAsia="Calibri" w:hAnsi="Calibri"/>
          <w:sz w:val="22"/>
          <w:szCs w:val="22"/>
        </w:rPr>
        <w:t xml:space="preserve"> The Notice asks how I will meet my living expenses as well as the research costs. Table 10 states my household income, my monthly living costs, the research cost per month and the surplus that remains. The research costs about $192 a month (Table 9, $6,900 over 36 months), and my living expenses are met from my own income and savings, as the proof of funds at </w:t>
      </w:r>
      <w:r>
        <w:rPr>
          <w:rFonts w:ascii="Calibri" w:cs="Calibri" w:eastAsia="Calibri" w:hAnsi="Calibri"/>
          <w:b/>
          <w:bCs/>
          <w:color w:val="FF0000"/>
          <w:sz w:val="22"/>
          <w:szCs w:val="22"/>
        </w:rPr>
        <w:t xml:space="preserve">Exhibit RFE-3</w:t>
      </w:r>
      <w:r>
        <w:rPr>
          <w:rFonts w:ascii="Calibri" w:cs="Calibri" w:eastAsia="Calibri" w:hAnsi="Calibri"/>
          <w:sz w:val="22"/>
          <w:szCs w:val="22"/>
        </w:rPr>
        <w:t xml:space="preserve"> shows: bank statements together with income records.</w:t>
      </w:r>
    </w:p>
    <w:p>
      <w:pPr>
        <w:keepNext/>
        <w:spacing w:after="80" w:before="160"/>
      </w:pPr>
      <w:r>
        <w:rPr>
          <w:rFonts w:ascii="Calibri" w:cs="Calibri" w:eastAsia="Calibri" w:hAnsi="Calibri"/>
          <w:b/>
          <w:bCs/>
          <w:sz w:val="21"/>
          <w:szCs w:val="21"/>
        </w:rPr>
        <w:t xml:space="preserve">Table 10. Monthly household budget and funding surplus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42"/>
        <w:gridCol w:w="1872"/>
        <w:gridCol w:w="2246"/>
      </w:tblGrid>
      <w:tr>
        <w:trPr>
          <w:cantSplit/>
          <w:tblHeader/>
        </w:trPr>
        <w:tc>
          <w:tcPr>
            <w:tcW w:type="dxa" w:w="524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b/>
                <w:bCs/>
                <w:sz w:val="19"/>
                <w:szCs w:val="19"/>
              </w:rPr>
              <w:t xml:space="preserve">Item</w:t>
            </w:r>
          </w:p>
        </w:tc>
        <w:tc>
          <w:tcPr>
            <w:tcW w:type="dxa" w:w="187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b/>
                <w:bCs/>
                <w:sz w:val="19"/>
                <w:szCs w:val="19"/>
              </w:rPr>
              <w:t xml:space="preserve">Monthly (USD)</w:t>
            </w:r>
          </w:p>
        </w:tc>
        <w:tc>
          <w:tcPr>
            <w:tcW w:type="dxa" w:w="224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b/>
                <w:bCs/>
                <w:sz w:val="19"/>
                <w:szCs w:val="19"/>
              </w:rPr>
              <w:t xml:space="preserve">Evidence</w:t>
            </w:r>
          </w:p>
        </w:tc>
      </w:tr>
      <w:tr>
        <w:trPr>
          <w:cantSplit/>
          <w:tblHeader w:val="false"/>
        </w:trPr>
        <w:tc>
          <w:tcPr>
            <w:tcW w:type="dxa" w:w="524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Household net income after tax</w:t>
            </w:r>
          </w:p>
        </w:tc>
        <w:tc>
          <w:tcPr>
            <w:tcW w:type="dxa" w:w="187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color w:val="FF0000"/>
                <w:sz w:val="19"/>
                <w:szCs w:val="19"/>
              </w:rPr>
              <w:t xml:space="preserve">[amount]</w:t>
            </w:r>
          </w:p>
        </w:tc>
        <w:tc>
          <w:tcPr>
            <w:tcW w:type="dxa" w:w="224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color w:val="FF0000"/>
                <w:sz w:val="19"/>
                <w:szCs w:val="19"/>
              </w:rPr>
              <w:t xml:space="preserve">Exhibit RFE-3</w:t>
            </w:r>
          </w:p>
        </w:tc>
      </w:tr>
      <w:tr>
        <w:trPr>
          <w:cantSplit/>
          <w:tblHeader w:val="false"/>
        </w:trPr>
        <w:tc>
          <w:tcPr>
            <w:tcW w:type="dxa" w:w="524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Rent, Rockville, Maryland</w:t>
            </w:r>
          </w:p>
        </w:tc>
        <w:tc>
          <w:tcPr>
            <w:tcW w:type="dxa" w:w="187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color w:val="FF0000"/>
                <w:sz w:val="19"/>
                <w:szCs w:val="19"/>
              </w:rPr>
              <w:t xml:space="preserve">[amount]</w:t>
            </w:r>
          </w:p>
        </w:tc>
        <w:tc>
          <w:tcPr>
            <w:tcW w:type="dxa" w:w="224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color w:val="FF0000"/>
                <w:sz w:val="19"/>
                <w:szCs w:val="19"/>
              </w:rPr>
              <w:t xml:space="preserve">Exhibit RFE-3</w:t>
            </w:r>
          </w:p>
        </w:tc>
      </w:tr>
      <w:tr>
        <w:trPr>
          <w:cantSplit/>
          <w:tblHeader w:val="false"/>
        </w:trPr>
        <w:tc>
          <w:tcPr>
            <w:tcW w:type="dxa" w:w="524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Utilities, phone and internet</w:t>
            </w:r>
          </w:p>
        </w:tc>
        <w:tc>
          <w:tcPr>
            <w:tcW w:type="dxa" w:w="187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color w:val="FF0000"/>
                <w:sz w:val="19"/>
                <w:szCs w:val="19"/>
              </w:rPr>
              <w:t xml:space="preserve">[amount]</w:t>
            </w:r>
          </w:p>
        </w:tc>
        <w:tc>
          <w:tcPr>
            <w:tcW w:type="dxa" w:w="224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color w:val="FF0000"/>
                <w:sz w:val="19"/>
                <w:szCs w:val="19"/>
              </w:rPr>
              <w:t xml:space="preserve">Exhibit RFE-3</w:t>
            </w:r>
          </w:p>
        </w:tc>
      </w:tr>
      <w:tr>
        <w:trPr>
          <w:cantSplit/>
          <w:tblHeader w:val="false"/>
        </w:trPr>
        <w:tc>
          <w:tcPr>
            <w:tcW w:type="dxa" w:w="524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Food and household</w:t>
            </w:r>
          </w:p>
        </w:tc>
        <w:tc>
          <w:tcPr>
            <w:tcW w:type="dxa" w:w="187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color w:val="FF0000"/>
                <w:sz w:val="19"/>
                <w:szCs w:val="19"/>
              </w:rPr>
              <w:t xml:space="preserve">[amount]</w:t>
            </w:r>
          </w:p>
        </w:tc>
        <w:tc>
          <w:tcPr>
            <w:tcW w:type="dxa" w:w="224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color w:val="FF0000"/>
                <w:sz w:val="19"/>
                <w:szCs w:val="19"/>
              </w:rPr>
              <w:t xml:space="preserve">Exhibit RFE-3</w:t>
            </w:r>
          </w:p>
        </w:tc>
      </w:tr>
      <w:tr>
        <w:trPr>
          <w:cantSplit/>
          <w:tblHeader w:val="false"/>
        </w:trPr>
        <w:tc>
          <w:tcPr>
            <w:tcW w:type="dxa" w:w="524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Transport</w:t>
            </w:r>
          </w:p>
        </w:tc>
        <w:tc>
          <w:tcPr>
            <w:tcW w:type="dxa" w:w="187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color w:val="FF0000"/>
                <w:sz w:val="19"/>
                <w:szCs w:val="19"/>
              </w:rPr>
              <w:t xml:space="preserve">[amount]</w:t>
            </w:r>
          </w:p>
        </w:tc>
        <w:tc>
          <w:tcPr>
            <w:tcW w:type="dxa" w:w="224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color w:val="FF0000"/>
                <w:sz w:val="19"/>
                <w:szCs w:val="19"/>
              </w:rPr>
              <w:t xml:space="preserve">Exhibit RFE-3</w:t>
            </w:r>
          </w:p>
        </w:tc>
      </w:tr>
      <w:tr>
        <w:trPr>
          <w:cantSplit/>
          <w:tblHeader w:val="false"/>
        </w:trPr>
        <w:tc>
          <w:tcPr>
            <w:tcW w:type="dxa" w:w="524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Insurance and health costs</w:t>
            </w:r>
          </w:p>
        </w:tc>
        <w:tc>
          <w:tcPr>
            <w:tcW w:type="dxa" w:w="187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color w:val="FF0000"/>
                <w:sz w:val="19"/>
                <w:szCs w:val="19"/>
              </w:rPr>
              <w:t xml:space="preserve">[amount]</w:t>
            </w:r>
          </w:p>
        </w:tc>
        <w:tc>
          <w:tcPr>
            <w:tcW w:type="dxa" w:w="224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color w:val="FF0000"/>
                <w:sz w:val="19"/>
                <w:szCs w:val="19"/>
              </w:rPr>
              <w:t xml:space="preserve">Exhibit RFE-3</w:t>
            </w:r>
          </w:p>
        </w:tc>
      </w:tr>
      <w:tr>
        <w:trPr>
          <w:cantSplit/>
          <w:tblHeader w:val="false"/>
        </w:trPr>
        <w:tc>
          <w:tcPr>
            <w:tcW w:type="dxa" w:w="524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Other regular obligations</w:t>
            </w:r>
          </w:p>
        </w:tc>
        <w:tc>
          <w:tcPr>
            <w:tcW w:type="dxa" w:w="187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color w:val="FF0000"/>
                <w:sz w:val="19"/>
                <w:szCs w:val="19"/>
              </w:rPr>
              <w:t xml:space="preserve">[amount]</w:t>
            </w:r>
          </w:p>
        </w:tc>
        <w:tc>
          <w:tcPr>
            <w:tcW w:type="dxa" w:w="224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color w:val="FF0000"/>
                <w:sz w:val="19"/>
                <w:szCs w:val="19"/>
              </w:rPr>
              <w:t xml:space="preserve">Exhibit RFE-3</w:t>
            </w:r>
          </w:p>
        </w:tc>
      </w:tr>
      <w:tr>
        <w:trPr>
          <w:cantSplit/>
          <w:tblHeader w:val="false"/>
        </w:trPr>
        <w:tc>
          <w:tcPr>
            <w:tcW w:type="dxa" w:w="524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b/>
                <w:bCs/>
                <w:sz w:val="19"/>
                <w:szCs w:val="19"/>
              </w:rPr>
              <w:t xml:space="preserve">Total living expenses</w:t>
            </w:r>
          </w:p>
        </w:tc>
        <w:tc>
          <w:tcPr>
            <w:tcW w:type="dxa" w:w="187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color w:val="FF0000"/>
                <w:sz w:val="19"/>
                <w:szCs w:val="19"/>
              </w:rPr>
              <w:t xml:space="preserve">[amount]</w:t>
            </w:r>
          </w:p>
        </w:tc>
        <w:tc>
          <w:tcPr>
            <w:tcW w:type="dxa" w:w="224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p>
        </w:tc>
      </w:tr>
      <w:tr>
        <w:trPr>
          <w:cantSplit/>
          <w:tblHeader w:val="false"/>
        </w:trPr>
        <w:tc>
          <w:tcPr>
            <w:tcW w:type="dxa" w:w="524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Research budget (Table 9 total divided by 36)</w:t>
            </w:r>
          </w:p>
        </w:tc>
        <w:tc>
          <w:tcPr>
            <w:tcW w:type="dxa" w:w="187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192</w:t>
            </w:r>
          </w:p>
        </w:tc>
        <w:tc>
          <w:tcPr>
            <w:tcW w:type="dxa" w:w="224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Table 9; </w:t>
            </w:r>
            <w:r>
              <w:rPr>
                <w:rFonts w:ascii="Calibri" w:cs="Calibri" w:eastAsia="Calibri" w:hAnsi="Calibri"/>
                <w:color w:val="FF0000"/>
                <w:sz w:val="19"/>
                <w:szCs w:val="19"/>
              </w:rPr>
              <w:t xml:space="preserve">Exhibit RFE-4</w:t>
            </w:r>
          </w:p>
        </w:tc>
      </w:tr>
      <w:tr>
        <w:trPr>
          <w:cantSplit/>
          <w:tblHeader w:val="false"/>
        </w:trPr>
        <w:tc>
          <w:tcPr>
            <w:tcW w:type="dxa" w:w="524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b/>
                <w:bCs/>
                <w:sz w:val="19"/>
                <w:szCs w:val="19"/>
              </w:rPr>
              <w:t xml:space="preserve">Monthly surplus after living expenses and research</w:t>
            </w:r>
          </w:p>
        </w:tc>
        <w:tc>
          <w:tcPr>
            <w:tcW w:type="dxa" w:w="187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color w:val="FF0000"/>
                <w:sz w:val="19"/>
                <w:szCs w:val="19"/>
              </w:rPr>
              <w:t xml:space="preserve">[amount]</w:t>
            </w:r>
          </w:p>
        </w:tc>
        <w:tc>
          <w:tcPr>
            <w:tcW w:type="dxa" w:w="224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p>
        </w:tc>
      </w:tr>
      <w:tr>
        <w:trPr>
          <w:cantSplit/>
          <w:tblHeader w:val="false"/>
        </w:trPr>
        <w:tc>
          <w:tcPr>
            <w:tcW w:type="dxa" w:w="524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Savings available at the date of this response</w:t>
            </w:r>
          </w:p>
        </w:tc>
        <w:tc>
          <w:tcPr>
            <w:tcW w:type="dxa" w:w="187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color w:val="FF0000"/>
                <w:sz w:val="19"/>
                <w:szCs w:val="19"/>
              </w:rPr>
              <w:t xml:space="preserve">[amount]</w:t>
            </w:r>
          </w:p>
        </w:tc>
        <w:tc>
          <w:tcPr>
            <w:tcW w:type="dxa" w:w="224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color w:val="FF0000"/>
                <w:sz w:val="19"/>
                <w:szCs w:val="19"/>
              </w:rPr>
              <w:t xml:space="preserve">Exhibit RFE-3</w:t>
            </w:r>
          </w:p>
        </w:tc>
      </w:tr>
    </w:tbl>
    <w:p>
      <w:pPr>
        <w:spacing w:after="80"/>
      </w:pPr>
    </w:p>
    <w:p>
      <w:pPr>
        <w:spacing w:after="120" w:line="264"/>
        <w:jc w:val="both"/>
      </w:pPr>
      <w:r>
        <w:rPr>
          <w:rFonts w:ascii="Calibri" w:cs="Calibri" w:eastAsia="Calibri" w:hAnsi="Calibri"/>
          <w:sz w:val="22"/>
          <w:szCs w:val="22"/>
        </w:rPr>
        <w:t xml:space="preserve">The research cost is </w:t>
      </w:r>
      <w:r>
        <w:rPr>
          <w:rFonts w:ascii="Calibri" w:cs="Calibri" w:eastAsia="Calibri" w:hAnsi="Calibri"/>
          <w:b/>
          <w:bCs/>
          <w:color w:val="FF0000"/>
          <w:sz w:val="22"/>
          <w:szCs w:val="22"/>
        </w:rPr>
        <w:t xml:space="preserve">[percentage]</w:t>
      </w:r>
      <w:r>
        <w:rPr>
          <w:rFonts w:ascii="Calibri" w:cs="Calibri" w:eastAsia="Calibri" w:hAnsi="Calibri"/>
          <w:sz w:val="22"/>
          <w:szCs w:val="22"/>
        </w:rPr>
        <w:t xml:space="preserve"> of the monthly surplus, and my savings alone would cover the full 36-month budget </w:t>
      </w:r>
      <w:r>
        <w:rPr>
          <w:rFonts w:ascii="Calibri" w:cs="Calibri" w:eastAsia="Calibri" w:hAnsi="Calibri"/>
          <w:b/>
          <w:bCs/>
          <w:color w:val="FF0000"/>
          <w:sz w:val="22"/>
          <w:szCs w:val="22"/>
        </w:rPr>
        <w:t xml:space="preserve">[number]</w:t>
      </w:r>
      <w:r>
        <w:rPr>
          <w:rFonts w:ascii="Calibri" w:cs="Calibri" w:eastAsia="Calibri" w:hAnsi="Calibri"/>
          <w:sz w:val="22"/>
          <w:szCs w:val="22"/>
        </w:rPr>
        <w:t xml:space="preserve"> times over. The programme therefore does not depend on any grant, investor or employer to proceed.</w:t>
      </w:r>
    </w:p>
    <w:p>
      <w:pPr>
        <w:pStyle w:val="Heading2"/>
        <w:keepNext/>
        <w:spacing w:after="100" w:before="200"/>
      </w:pPr>
      <w:r>
        <w:rPr>
          <w:rFonts w:ascii="Calibri" w:cs="Calibri" w:eastAsia="Calibri" w:hAnsi="Calibri"/>
          <w:b/>
          <w:bCs/>
          <w:color w:val="1F3864"/>
          <w:sz w:val="23"/>
          <w:szCs w:val="23"/>
        </w:rPr>
        <w:t xml:space="preserve">E. Research environment, collaboration and mechanisms</w:t>
      </w:r>
    </w:p>
    <w:p>
      <w:pPr>
        <w:spacing w:after="120" w:line="264"/>
        <w:jc w:val="both"/>
      </w:pPr>
      <w:r>
        <w:rPr>
          <w:rFonts w:ascii="Calibri" w:cs="Calibri" w:eastAsia="Calibri" w:hAnsi="Calibri"/>
          <w:sz w:val="22"/>
          <w:szCs w:val="22"/>
        </w:rPr>
        <w:t xml:space="preserve">The programme is carried out through three mechanisms. The first is my own research environment: the reference environments, test tenants and code repository described above, which I control. The second is the peer review and editorial network in which I already work: I completed at least eighteen documented manuscript reviews for seven journals between 2023 and 2025 (petition </w:t>
      </w:r>
      <w:r>
        <w:rPr>
          <w:rFonts w:ascii="Calibri" w:cs="Calibri" w:eastAsia="Calibri" w:hAnsi="Calibri"/>
          <w:b/>
          <w:bCs/>
          <w:color w:val="FF0000"/>
          <w:sz w:val="22"/>
          <w:szCs w:val="22"/>
        </w:rPr>
        <w:t xml:space="preserve">Exhibit 14</w:t>
      </w:r>
      <w:r>
        <w:rPr>
          <w:rFonts w:ascii="Calibri" w:cs="Calibri" w:eastAsia="Calibri" w:hAnsi="Calibri"/>
          <w:sz w:val="22"/>
          <w:szCs w:val="22"/>
        </w:rPr>
        <w:t xml:space="preserve">), and the papers of this programme go to the same community for review. The third is open release, which turns collaboration into a matter of public access. Any researcher or institution can download the environments, rerun the tests and report what they find, without needing my permission. The rebuild test at months 25 to 30 uses exactly this route.</w:t>
      </w:r>
    </w:p>
    <w:p>
      <w:pPr>
        <w:pStyle w:val="Heading2"/>
        <w:keepNext/>
        <w:spacing w:after="100" w:before="200"/>
      </w:pPr>
      <w:r>
        <w:rPr>
          <w:rFonts w:ascii="Calibri" w:cs="Calibri" w:eastAsia="Calibri" w:hAnsi="Calibri"/>
          <w:b/>
          <w:bCs/>
          <w:color w:val="1F3864"/>
          <w:sz w:val="23"/>
          <w:szCs w:val="23"/>
        </w:rPr>
        <w:t xml:space="preserve">F. Risks and how the plan absorbs them</w:t>
      </w:r>
    </w:p>
    <w:p>
      <w:pPr>
        <w:spacing w:after="120" w:line="264"/>
        <w:jc w:val="both"/>
      </w:pPr>
      <w:r>
        <w:rPr>
          <w:rFonts w:ascii="Calibri" w:cs="Calibri" w:eastAsia="Calibri" w:hAnsi="Calibri"/>
          <w:sz w:val="22"/>
          <w:szCs w:val="22"/>
        </w:rPr>
        <w:t xml:space="preserve">If a reference environment proves less representative than intended, the comparison with published sector profiles and with the cited incidents identifies the gap and the environment is revised in the next release, with the change recorded. If a control closes fewer attack paths than expected, that result is published, because it tells institutions where not to spend first. If the overlap between cost and security findings is smaller in one institution class than in another, Project 3 reports where the self-financing claim holds and where it does not. If fewer institutions volunteer for field validation at months 25 to 36 than planned, the independent rebuild test still checks the results, because it depends only on the published code, and the field results are reported for the institutions that did take part. In every case the result enters the public record.</w:t>
      </w:r>
    </w:p>
    <w:p>
      <w:pPr>
        <w:pStyle w:val="Heading2"/>
        <w:keepNext/>
        <w:spacing w:after="100" w:before="200"/>
      </w:pPr>
      <w:r>
        <w:rPr>
          <w:rFonts w:ascii="Calibri" w:cs="Calibri" w:eastAsia="Calibri" w:hAnsi="Calibri"/>
          <w:b/>
          <w:bCs/>
          <w:color w:val="1F3864"/>
          <w:sz w:val="23"/>
          <w:szCs w:val="23"/>
        </w:rPr>
        <w:t xml:space="preserve">G. Allocation of my working time</w:t>
      </w:r>
    </w:p>
    <w:p>
      <w:pPr>
        <w:spacing w:after="120" w:line="264"/>
        <w:jc w:val="both"/>
      </w:pPr>
      <w:r>
        <w:rPr>
          <w:rFonts w:ascii="Calibri" w:cs="Calibri" w:eastAsia="Calibri" w:hAnsi="Calibri"/>
          <w:sz w:val="22"/>
          <w:szCs w:val="22"/>
        </w:rPr>
        <w:t xml:space="preserve">The Notice asks how I "will allocate her time." Table 11 states it. I carry out the endeavor in a fixed block of time each week throughout the 36 months. I give the endeavor seventeen hours every week: two and a half hours each weekday and four and a half hours across the weekend. Table 12 sets out when those hours fall.</w:t>
      </w:r>
    </w:p>
    <w:p>
      <w:pPr>
        <w:keepNext/>
        <w:spacing w:after="80" w:before="160"/>
      </w:pPr>
      <w:r>
        <w:rPr>
          <w:rFonts w:ascii="Calibri" w:cs="Calibri" w:eastAsia="Calibri" w:hAnsi="Calibri"/>
          <w:b/>
          <w:bCs/>
          <w:sz w:val="21"/>
          <w:szCs w:val="21"/>
        </w:rPr>
        <w:t xml:space="preserve">Table 11. Planned allocation of time to the endeavor (17 hours a week)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06"/>
        <w:gridCol w:w="1685"/>
        <w:gridCol w:w="3369"/>
      </w:tblGrid>
      <w:tr>
        <w:trPr>
          <w:cantSplit/>
          <w:tblHeader/>
        </w:trPr>
        <w:tc>
          <w:tcPr>
            <w:tcW w:type="dxa" w:w="430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b/>
                <w:bCs/>
                <w:sz w:val="19"/>
                <w:szCs w:val="19"/>
              </w:rPr>
              <w:t xml:space="preserve">Activity</w:t>
            </w:r>
          </w:p>
        </w:tc>
        <w:tc>
          <w:tcPr>
            <w:tcW w:type="dxa" w:w="168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b/>
                <w:bCs/>
                <w:sz w:val="19"/>
                <w:szCs w:val="19"/>
              </w:rPr>
              <w:t xml:space="preserve">Hours a week</w:t>
            </w:r>
          </w:p>
        </w:tc>
        <w:tc>
          <w:tcPr>
            <w:tcW w:type="dxa" w:w="336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b/>
                <w:bCs/>
                <w:sz w:val="19"/>
                <w:szCs w:val="19"/>
              </w:rPr>
              <w:t xml:space="preserve">Typical outputs</w:t>
            </w:r>
          </w:p>
        </w:tc>
      </w:tr>
      <w:tr>
        <w:trPr>
          <w:cantSplit/>
          <w:tblHeader w:val="false"/>
        </w:trPr>
        <w:tc>
          <w:tcPr>
            <w:tcW w:type="dxa" w:w="430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Building and maintaining reference environments (Project 1)</w:t>
            </w:r>
          </w:p>
        </w:tc>
        <w:tc>
          <w:tcPr>
            <w:tcW w:type="dxa" w:w="168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4</w:t>
            </w:r>
          </w:p>
        </w:tc>
        <w:tc>
          <w:tcPr>
            <w:tcW w:type="dxa" w:w="336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Environment code; catalogue entries</w:t>
            </w:r>
          </w:p>
        </w:tc>
      </w:tr>
      <w:tr>
        <w:trPr>
          <w:cantSplit/>
          <w:tblHeader w:val="false"/>
        </w:trPr>
        <w:tc>
          <w:tcPr>
            <w:tcW w:type="dxa" w:w="430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Attack emulation and measurement (Project 2)</w:t>
            </w:r>
          </w:p>
        </w:tc>
        <w:tc>
          <w:tcPr>
            <w:tcW w:type="dxa" w:w="168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4.5</w:t>
            </w:r>
          </w:p>
        </w:tc>
        <w:tc>
          <w:tcPr>
            <w:tcW w:type="dxa" w:w="336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Results datasets</w:t>
            </w:r>
          </w:p>
        </w:tc>
      </w:tr>
      <w:tr>
        <w:trPr>
          <w:cantSplit/>
          <w:tblHeader w:val="false"/>
        </w:trPr>
        <w:tc>
          <w:tcPr>
            <w:tcW w:type="dxa" w:w="430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Audit scripts, departure workflow and financial analysis (Project 3)</w:t>
            </w:r>
          </w:p>
        </w:tc>
        <w:tc>
          <w:tcPr>
            <w:tcW w:type="dxa" w:w="168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3.5</w:t>
            </w:r>
          </w:p>
        </w:tc>
        <w:tc>
          <w:tcPr>
            <w:tcW w:type="dxa" w:w="336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Audit scripts; overlap analysis</w:t>
            </w:r>
          </w:p>
        </w:tc>
      </w:tr>
      <w:tr>
        <w:trPr>
          <w:cantSplit/>
          <w:tblHeader w:val="false"/>
        </w:trPr>
        <w:tc>
          <w:tcPr>
            <w:tcW w:type="dxa" w:w="430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Writing, peer review and conference preparation</w:t>
            </w:r>
          </w:p>
        </w:tc>
        <w:tc>
          <w:tcPr>
            <w:tcW w:type="dxa" w:w="168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3.5</w:t>
            </w:r>
          </w:p>
        </w:tc>
        <w:tc>
          <w:tcPr>
            <w:tcW w:type="dxa" w:w="336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Papers; presentations</w:t>
            </w:r>
          </w:p>
        </w:tc>
      </w:tr>
      <w:tr>
        <w:trPr>
          <w:cantSplit/>
          <w:tblHeader w:val="false"/>
        </w:trPr>
        <w:tc>
          <w:tcPr>
            <w:tcW w:type="dxa" w:w="430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Documentation, tutorials and answering outside users</w:t>
            </w:r>
          </w:p>
        </w:tc>
        <w:tc>
          <w:tcPr>
            <w:tcW w:type="dxa" w:w="168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1.5</w:t>
            </w:r>
          </w:p>
        </w:tc>
        <w:tc>
          <w:tcPr>
            <w:tcW w:type="dxa" w:w="336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Guides; repository responses</w:t>
            </w:r>
          </w:p>
        </w:tc>
      </w:tr>
      <w:tr>
        <w:trPr>
          <w:cantSplit/>
          <w:tblHeader w:val="false"/>
        </w:trPr>
        <w:tc>
          <w:tcPr>
            <w:tcW w:type="dxa" w:w="430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b/>
                <w:bCs/>
                <w:sz w:val="19"/>
                <w:szCs w:val="19"/>
              </w:rPr>
              <w:t xml:space="preserve">Total</w:t>
            </w:r>
          </w:p>
        </w:tc>
        <w:tc>
          <w:tcPr>
            <w:tcW w:type="dxa" w:w="168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b/>
                <w:bCs/>
                <w:sz w:val="19"/>
                <w:szCs w:val="19"/>
              </w:rPr>
              <w:t xml:space="preserve">17</w:t>
            </w:r>
          </w:p>
        </w:tc>
        <w:tc>
          <w:tcPr>
            <w:tcW w:type="dxa" w:w="336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p>
        </w:tc>
      </w:tr>
    </w:tbl>
    <w:p>
      <w:pPr>
        <w:spacing w:after="80"/>
      </w:pPr>
    </w:p>
    <w:p>
      <w:pPr>
        <w:keepNext/>
        <w:spacing w:after="80" w:before="160"/>
      </w:pPr>
      <w:r>
        <w:rPr>
          <w:rFonts w:ascii="Calibri" w:cs="Calibri" w:eastAsia="Calibri" w:hAnsi="Calibri"/>
          <w:b/>
          <w:bCs/>
          <w:sz w:val="21"/>
          <w:szCs w:val="21"/>
        </w:rPr>
        <w:t xml:space="preserve">Table 12. Weekly schedule of the 17 hours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1872"/>
        <w:gridCol w:w="4680"/>
      </w:tblGrid>
      <w:tr>
        <w:trPr>
          <w:cantSplit/>
          <w:tblHeader/>
        </w:trPr>
        <w:tc>
          <w:tcPr>
            <w:tcW w:type="dxa" w:w="280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b/>
                <w:bCs/>
                <w:sz w:val="19"/>
                <w:szCs w:val="19"/>
              </w:rPr>
              <w:t xml:space="preserve">Day</w:t>
            </w:r>
          </w:p>
        </w:tc>
        <w:tc>
          <w:tcPr>
            <w:tcW w:type="dxa" w:w="187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b/>
                <w:bCs/>
                <w:sz w:val="19"/>
                <w:szCs w:val="19"/>
              </w:rPr>
              <w:t xml:space="preserve">Hours</w:t>
            </w:r>
          </w:p>
        </w:tc>
        <w:tc>
          <w:tcPr>
            <w:tcW w:type="dxa" w:w="468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b/>
                <w:bCs/>
                <w:sz w:val="19"/>
                <w:szCs w:val="19"/>
              </w:rPr>
              <w:t xml:space="preserve">Work done in that block</w:t>
            </w:r>
          </w:p>
        </w:tc>
      </w:tr>
      <w:tr>
        <w:trPr>
          <w:cantSplit/>
          <w:tblHeader w:val="false"/>
        </w:trPr>
        <w:tc>
          <w:tcPr>
            <w:tcW w:type="dxa" w:w="280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Monday</w:t>
            </w:r>
          </w:p>
        </w:tc>
        <w:tc>
          <w:tcPr>
            <w:tcW w:type="dxa" w:w="187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2.5</w:t>
            </w:r>
          </w:p>
        </w:tc>
        <w:tc>
          <w:tcPr>
            <w:tcW w:type="dxa" w:w="468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Environment building and catalogue mapping (Project 1)</w:t>
            </w:r>
          </w:p>
        </w:tc>
      </w:tr>
      <w:tr>
        <w:trPr>
          <w:cantSplit/>
          <w:tblHeader w:val="false"/>
        </w:trPr>
        <w:tc>
          <w:tcPr>
            <w:tcW w:type="dxa" w:w="280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Tuesday</w:t>
            </w:r>
          </w:p>
        </w:tc>
        <w:tc>
          <w:tcPr>
            <w:tcW w:type="dxa" w:w="187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2.5</w:t>
            </w:r>
          </w:p>
        </w:tc>
        <w:tc>
          <w:tcPr>
            <w:tcW w:type="dxa" w:w="468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Attack emulation runs and recording of results (Project 2)</w:t>
            </w:r>
          </w:p>
        </w:tc>
      </w:tr>
      <w:tr>
        <w:trPr>
          <w:cantSplit/>
          <w:tblHeader w:val="false"/>
        </w:trPr>
        <w:tc>
          <w:tcPr>
            <w:tcW w:type="dxa" w:w="280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Wednesday</w:t>
            </w:r>
          </w:p>
        </w:tc>
        <w:tc>
          <w:tcPr>
            <w:tcW w:type="dxa" w:w="187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2.5</w:t>
            </w:r>
          </w:p>
        </w:tc>
        <w:tc>
          <w:tcPr>
            <w:tcW w:type="dxa" w:w="468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Audit scripts and departure-review workflow (Project 3)</w:t>
            </w:r>
          </w:p>
        </w:tc>
      </w:tr>
      <w:tr>
        <w:trPr>
          <w:cantSplit/>
          <w:tblHeader w:val="false"/>
        </w:trPr>
        <w:tc>
          <w:tcPr>
            <w:tcW w:type="dxa" w:w="280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Thursday</w:t>
            </w:r>
          </w:p>
        </w:tc>
        <w:tc>
          <w:tcPr>
            <w:tcW w:type="dxa" w:w="187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2.5</w:t>
            </w:r>
          </w:p>
        </w:tc>
        <w:tc>
          <w:tcPr>
            <w:tcW w:type="dxa" w:w="468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Attack emulation reruns after each control change (Project 2)</w:t>
            </w:r>
          </w:p>
        </w:tc>
      </w:tr>
      <w:tr>
        <w:trPr>
          <w:cantSplit/>
          <w:tblHeader w:val="false"/>
        </w:trPr>
        <w:tc>
          <w:tcPr>
            <w:tcW w:type="dxa" w:w="280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Friday</w:t>
            </w:r>
          </w:p>
        </w:tc>
        <w:tc>
          <w:tcPr>
            <w:tcW w:type="dxa" w:w="187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2.5</w:t>
            </w:r>
          </w:p>
        </w:tc>
        <w:tc>
          <w:tcPr>
            <w:tcW w:type="dxa" w:w="468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Writing and peer review</w:t>
            </w:r>
          </w:p>
        </w:tc>
      </w:tr>
      <w:tr>
        <w:trPr>
          <w:cantSplit/>
          <w:tblHeader w:val="false"/>
        </w:trPr>
        <w:tc>
          <w:tcPr>
            <w:tcW w:type="dxa" w:w="280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Saturday and Sunday</w:t>
            </w:r>
          </w:p>
        </w:tc>
        <w:tc>
          <w:tcPr>
            <w:tcW w:type="dxa" w:w="187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4.5</w:t>
            </w:r>
          </w:p>
        </w:tc>
        <w:tc>
          <w:tcPr>
            <w:tcW w:type="dxa" w:w="468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Analysis of the week's results, documentation, release preparation and outside-user questions</w:t>
            </w:r>
          </w:p>
        </w:tc>
      </w:tr>
      <w:tr>
        <w:trPr>
          <w:cantSplit/>
          <w:tblHeader w:val="false"/>
        </w:trPr>
        <w:tc>
          <w:tcPr>
            <w:tcW w:type="dxa" w:w="280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b/>
                <w:bCs/>
                <w:sz w:val="19"/>
                <w:szCs w:val="19"/>
              </w:rPr>
              <w:t xml:space="preserve">Total per week</w:t>
            </w:r>
          </w:p>
        </w:tc>
        <w:tc>
          <w:tcPr>
            <w:tcW w:type="dxa" w:w="187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b/>
                <w:bCs/>
                <w:sz w:val="19"/>
                <w:szCs w:val="19"/>
              </w:rPr>
              <w:t xml:space="preserve">17</w:t>
            </w:r>
          </w:p>
        </w:tc>
        <w:tc>
          <w:tcPr>
            <w:tcW w:type="dxa" w:w="468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p>
        </w:tc>
      </w:tr>
    </w:tbl>
    <w:p>
      <w:pPr>
        <w:spacing w:after="80"/>
      </w:pPr>
    </w:p>
    <w:p>
      <w:pPr>
        <w:spacing w:after="120" w:line="264"/>
        <w:jc w:val="both"/>
      </w:pPr>
      <w:r>
        <w:rPr>
          <w:rFonts w:ascii="Calibri" w:cs="Calibri" w:eastAsia="Calibri" w:hAnsi="Calibri"/>
          <w:sz w:val="22"/>
          <w:szCs w:val="22"/>
        </w:rPr>
        <w:t xml:space="preserve">The pattern is the same every week, so that each quarter's milestone in Table 7 rests on a known number of working hours: about 220 hours a quarter and about 2,650 hours over the 36 months.</w:t>
      </w:r>
    </w:p>
    <w:p>
      <w:pPr>
        <w:pStyle w:val="Heading2"/>
        <w:keepNext/>
        <w:spacing w:after="100" w:before="200"/>
      </w:pPr>
      <w:r>
        <w:rPr>
          <w:rFonts w:ascii="Calibri" w:cs="Calibri" w:eastAsia="Calibri" w:hAnsi="Calibri"/>
          <w:b/>
          <w:bCs/>
          <w:color w:val="1F3864"/>
          <w:sz w:val="23"/>
          <w:szCs w:val="23"/>
        </w:rPr>
        <w:t xml:space="preserve">H. What the endeavor adds to methods already in use in the United States</w:t>
      </w:r>
    </w:p>
    <w:p>
      <w:pPr>
        <w:spacing w:after="120" w:line="264"/>
        <w:jc w:val="both"/>
      </w:pPr>
      <w:r>
        <w:rPr>
          <w:rFonts w:ascii="Calibri" w:cs="Calibri" w:eastAsia="Calibri" w:hAnsi="Calibri"/>
          <w:b/>
          <w:bCs/>
          <w:sz w:val="22"/>
          <w:szCs w:val="22"/>
        </w:rPr>
        <w:t xml:space="preserve">What is standard.</w:t>
      </w:r>
      <w:r>
        <w:rPr>
          <w:rFonts w:ascii="Calibri" w:cs="Calibri" w:eastAsia="Calibri" w:hAnsi="Calibri"/>
          <w:sz w:val="22"/>
          <w:szCs w:val="22"/>
        </w:rPr>
        <w:t xml:space="preserve"> Zero Trust principles are defined by NIST SP 800-207 (petition </w:t>
      </w:r>
      <w:r>
        <w:rPr>
          <w:rFonts w:ascii="Calibri" w:cs="Calibri" w:eastAsia="Calibri" w:hAnsi="Calibri"/>
          <w:b/>
          <w:bCs/>
          <w:color w:val="FF0000"/>
          <w:sz w:val="22"/>
          <w:szCs w:val="22"/>
        </w:rPr>
        <w:t xml:space="preserve">Exhibit 21</w:t>
      </w:r>
      <w:r>
        <w:rPr>
          <w:rFonts w:ascii="Calibri" w:cs="Calibri" w:eastAsia="Calibri" w:hAnsi="Calibri"/>
          <w:sz w:val="22"/>
          <w:szCs w:val="22"/>
        </w:rPr>
        <w:t xml:space="preserve">) and staged by the CISA maturity model (petition </w:t>
      </w:r>
      <w:r>
        <w:rPr>
          <w:rFonts w:ascii="Calibri" w:cs="Calibri" w:eastAsia="Calibri" w:hAnsi="Calibri"/>
          <w:b/>
          <w:bCs/>
          <w:color w:val="FF0000"/>
          <w:sz w:val="22"/>
          <w:szCs w:val="22"/>
        </w:rPr>
        <w:t xml:space="preserve">Exhibit 22</w:t>
      </w:r>
      <w:r>
        <w:rPr>
          <w:rFonts w:ascii="Calibri" w:cs="Calibri" w:eastAsia="Calibri" w:hAnsi="Calibri"/>
          <w:sz w:val="22"/>
          <w:szCs w:val="22"/>
        </w:rPr>
        <w:t xml:space="preserve">). NIST SP 1800-35 documents enterprise example implementations (</w:t>
      </w:r>
      <w:r>
        <w:rPr>
          <w:rFonts w:ascii="Calibri" w:cs="Calibri" w:eastAsia="Calibri" w:hAnsi="Calibri"/>
          <w:b/>
          <w:bCs/>
          <w:color w:val="FF0000"/>
          <w:sz w:val="22"/>
          <w:szCs w:val="22"/>
        </w:rPr>
        <w:t xml:space="preserve">Exhibit RFE-7</w:t>
      </w:r>
      <w:r>
        <w:rPr>
          <w:rFonts w:ascii="Calibri" w:cs="Calibri" w:eastAsia="Calibri" w:hAnsi="Calibri"/>
          <w:sz w:val="22"/>
          <w:szCs w:val="22"/>
        </w:rPr>
        <w:t xml:space="preserve">). Cloud cost management is an established practice, usually run by finance teams. Attack emulation is an established technique for testing enterprise defences. The endeavor builds on all of these.</w:t>
      </w:r>
    </w:p>
    <w:p>
      <w:pPr>
        <w:spacing w:after="120" w:line="264"/>
        <w:jc w:val="both"/>
      </w:pPr>
      <w:r>
        <w:rPr>
          <w:rFonts w:ascii="Calibri" w:cs="Calibri" w:eastAsia="Calibri" w:hAnsi="Calibri"/>
          <w:b/>
          <w:bCs/>
          <w:sz w:val="22"/>
          <w:szCs w:val="22"/>
        </w:rPr>
        <w:t xml:space="preserve">Where the contribution lies.</w:t>
      </w:r>
      <w:r>
        <w:rPr>
          <w:rFonts w:ascii="Calibri" w:cs="Calibri" w:eastAsia="Calibri" w:hAnsi="Calibri"/>
          <w:sz w:val="22"/>
          <w:szCs w:val="22"/>
        </w:rPr>
        <w:t xml:space="preserve"> It lies in four design decisions, each of which addresses a gap in current practice.</w:t>
      </w:r>
    </w:p>
    <w:p>
      <w:pPr>
        <w:pStyle w:val="ListParagraph"/>
        <w:numPr>
          <w:ilvl w:val="0"/>
          <w:numId w:val="4"/>
        </w:numPr>
        <w:spacing w:after="70" w:line="260"/>
        <w:jc w:val="both"/>
      </w:pPr>
      <w:r>
        <w:rPr>
          <w:rFonts w:ascii="Calibri" w:cs="Calibri" w:eastAsia="Calibri" w:hAnsi="Calibri"/>
          <w:b/>
          <w:bCs/>
          <w:sz w:val="22"/>
          <w:szCs w:val="22"/>
        </w:rPr>
        <w:t xml:space="preserve">Reference environments sized to the institutions that need help.</w:t>
      </w:r>
      <w:r>
        <w:rPr>
          <w:rFonts w:ascii="Calibri" w:cs="Calibri" w:eastAsia="Calibri" w:hAnsi="Calibri"/>
          <w:sz w:val="22"/>
          <w:szCs w:val="22"/>
        </w:rPr>
        <w:t xml:space="preserve"> The NIST example implementations were built with large vendor stacks for enterprise use. The endeavor builds and releases test environments that model a critical access hospital, a community bank, a small business and a county government, with the staffing and budget assumptions of those institutions.</w:t>
      </w:r>
    </w:p>
    <w:p>
      <w:pPr>
        <w:pStyle w:val="ListParagraph"/>
        <w:numPr>
          <w:ilvl w:val="0"/>
          <w:numId w:val="4"/>
        </w:numPr>
        <w:spacing w:after="70" w:line="260"/>
        <w:jc w:val="both"/>
      </w:pPr>
      <w:r>
        <w:rPr>
          <w:rFonts w:ascii="Calibri" w:cs="Calibri" w:eastAsia="Calibri" w:hAnsi="Calibri"/>
          <w:b/>
          <w:bCs/>
          <w:sz w:val="22"/>
          <w:szCs w:val="22"/>
        </w:rPr>
        <w:t xml:space="preserve">Control value measured, not assumed.</w:t>
      </w:r>
      <w:r>
        <w:rPr>
          <w:rFonts w:ascii="Calibri" w:cs="Calibri" w:eastAsia="Calibri" w:hAnsi="Calibri"/>
          <w:sz w:val="22"/>
          <w:szCs w:val="22"/>
        </w:rPr>
        <w:t xml:space="preserve"> Maturity models list controls by pillar and stage. The endeavor measures, for each control, the attack paths it closes, its deployment time and its cost, and publishes a deployment order ranked on those measurements.</w:t>
      </w:r>
    </w:p>
    <w:p>
      <w:pPr>
        <w:pStyle w:val="ListParagraph"/>
        <w:numPr>
          <w:ilvl w:val="0"/>
          <w:numId w:val="4"/>
        </w:numPr>
        <w:spacing w:after="70" w:line="260"/>
        <w:jc w:val="both"/>
      </w:pPr>
      <w:r>
        <w:rPr>
          <w:rFonts w:ascii="Calibri" w:cs="Calibri" w:eastAsia="Calibri" w:hAnsi="Calibri"/>
          <w:b/>
          <w:bCs/>
          <w:sz w:val="22"/>
          <w:szCs w:val="22"/>
        </w:rPr>
        <w:t xml:space="preserve">Cost and security audited together.</w:t>
      </w:r>
      <w:r>
        <w:rPr>
          <w:rFonts w:ascii="Calibri" w:cs="Calibri" w:eastAsia="Calibri" w:hAnsi="Calibri"/>
          <w:sz w:val="22"/>
          <w:szCs w:val="22"/>
        </w:rPr>
        <w:t xml:space="preserve"> Cost management and security audit are normally separate disciplines with separate tools. The sixth pillar runs them as one audit, and Project 3 measures how much of the security work the cost audit surfaces and whether recovered waste can pay for the first controls.</w:t>
      </w:r>
    </w:p>
    <w:p>
      <w:pPr>
        <w:pStyle w:val="ListParagraph"/>
        <w:numPr>
          <w:ilvl w:val="0"/>
          <w:numId w:val="4"/>
        </w:numPr>
        <w:spacing w:after="70" w:line="260"/>
        <w:jc w:val="both"/>
      </w:pPr>
      <w:r>
        <w:rPr>
          <w:rFonts w:ascii="Calibri" w:cs="Calibri" w:eastAsia="Calibri" w:hAnsi="Calibri"/>
          <w:b/>
          <w:bCs/>
          <w:sz w:val="22"/>
          <w:szCs w:val="22"/>
        </w:rPr>
        <w:t xml:space="preserve">Everything reproducible and open.</w:t>
      </w:r>
      <w:r>
        <w:rPr>
          <w:rFonts w:ascii="Calibri" w:cs="Calibri" w:eastAsia="Calibri" w:hAnsi="Calibri"/>
          <w:sz w:val="22"/>
          <w:szCs w:val="22"/>
        </w:rPr>
        <w:t xml:space="preserve"> Results are published with the code that produced them, so they can be checked, rerun and extended by anyone.</w:t>
      </w:r>
    </w:p>
    <w:p>
      <w:pPr>
        <w:pStyle w:val="Heading2"/>
        <w:keepNext/>
        <w:spacing w:after="100" w:before="200"/>
      </w:pPr>
      <w:r>
        <w:rPr>
          <w:rFonts w:ascii="Calibri" w:cs="Calibri" w:eastAsia="Calibri" w:hAnsi="Calibri"/>
          <w:b/>
          <w:bCs/>
          <w:color w:val="1F3864"/>
          <w:sz w:val="23"/>
          <w:szCs w:val="23"/>
        </w:rPr>
        <w:t xml:space="preserve">I. Legal, safety and research-integrity safeguards</w:t>
      </w:r>
    </w:p>
    <w:p>
      <w:pPr>
        <w:spacing w:after="120" w:line="264"/>
        <w:jc w:val="both"/>
      </w:pPr>
      <w:r>
        <w:rPr>
          <w:rFonts w:ascii="Calibri" w:cs="Calibri" w:eastAsia="Calibri" w:hAnsi="Calibri"/>
          <w:b/>
          <w:bCs/>
          <w:sz w:val="22"/>
          <w:szCs w:val="22"/>
        </w:rPr>
        <w:t xml:space="preserve">Authorized testing only.</w:t>
      </w:r>
      <w:r>
        <w:rPr>
          <w:rFonts w:ascii="Calibri" w:cs="Calibri" w:eastAsia="Calibri" w:hAnsi="Calibri"/>
          <w:sz w:val="22"/>
          <w:szCs w:val="22"/>
        </w:rPr>
        <w:t xml:space="preserve"> Attack emulation runs only against environments I own, in accounts registered to me, within the cloud providers' published testing policies. </w:t>
      </w:r>
      <w:r>
        <w:rPr>
          <w:rFonts w:ascii="Calibri" w:cs="Calibri" w:eastAsia="Calibri" w:hAnsi="Calibri"/>
          <w:b/>
          <w:bCs/>
          <w:sz w:val="22"/>
          <w:szCs w:val="22"/>
        </w:rPr>
        <w:t xml:space="preserve">No real data.</w:t>
      </w:r>
      <w:r>
        <w:rPr>
          <w:rFonts w:ascii="Calibri" w:cs="Calibri" w:eastAsia="Calibri" w:hAnsi="Calibri"/>
          <w:sz w:val="22"/>
          <w:szCs w:val="22"/>
        </w:rPr>
        <w:t xml:space="preserve"> All user, patient, customer and citizen records in the reference environments are synthetic. </w:t>
      </w:r>
      <w:r>
        <w:rPr>
          <w:rFonts w:ascii="Calibri" w:cs="Calibri" w:eastAsia="Calibri" w:hAnsi="Calibri"/>
          <w:b/>
          <w:bCs/>
          <w:sz w:val="22"/>
          <w:szCs w:val="22"/>
        </w:rPr>
        <w:t xml:space="preserve">Responsible disclosure.</w:t>
      </w:r>
      <w:r>
        <w:rPr>
          <w:rFonts w:ascii="Calibri" w:cs="Calibri" w:eastAsia="Calibri" w:hAnsi="Calibri"/>
          <w:sz w:val="22"/>
          <w:szCs w:val="22"/>
        </w:rPr>
        <w:t xml:space="preserve"> If testing reveals a weakness in a commercial product rather than in a configuration, it is reported to the vendor and published only after the vendor has had a reasonable time to respond. </w:t>
      </w:r>
      <w:r>
        <w:rPr>
          <w:rFonts w:ascii="Calibri" w:cs="Calibri" w:eastAsia="Calibri" w:hAnsi="Calibri"/>
          <w:b/>
          <w:bCs/>
          <w:sz w:val="22"/>
          <w:szCs w:val="22"/>
        </w:rPr>
        <w:t xml:space="preserve">Pre-stated protocols.</w:t>
      </w:r>
      <w:r>
        <w:rPr>
          <w:rFonts w:ascii="Calibri" w:cs="Calibri" w:eastAsia="Calibri" w:hAnsi="Calibri"/>
          <w:sz w:val="22"/>
          <w:szCs w:val="22"/>
        </w:rPr>
        <w:t xml:space="preserve"> Each experiment's emulation plan and measures are published before the results, so that the results cannot be tuned to the test. </w:t>
      </w:r>
      <w:r>
        <w:rPr>
          <w:rFonts w:ascii="Calibri" w:cs="Calibri" w:eastAsia="Calibri" w:hAnsi="Calibri"/>
          <w:b/>
          <w:bCs/>
          <w:sz w:val="22"/>
          <w:szCs w:val="22"/>
        </w:rPr>
        <w:t xml:space="preserve">Independence.</w:t>
      </w:r>
      <w:r>
        <w:rPr>
          <w:rFonts w:ascii="Calibri" w:cs="Calibri" w:eastAsia="Calibri" w:hAnsi="Calibri"/>
          <w:sz w:val="22"/>
          <w:szCs w:val="22"/>
        </w:rPr>
        <w:t xml:space="preserve"> No system, data, client information or confidential method of any employer or client is used.</w:t>
      </w:r>
    </w:p>
    <w:p>
      <w:pPr>
        <w:pStyle w:val="Heading2"/>
        <w:keepNext/>
        <w:spacing w:after="100" w:before="200"/>
      </w:pPr>
      <w:r>
        <w:rPr>
          <w:rFonts w:ascii="Calibri" w:cs="Calibri" w:eastAsia="Calibri" w:hAnsi="Calibri"/>
          <w:b/>
          <w:bCs/>
          <w:color w:val="1F3864"/>
          <w:sz w:val="23"/>
          <w:szCs w:val="23"/>
        </w:rPr>
        <w:t xml:space="preserve">J. Data management and reproducibility</w:t>
      </w:r>
    </w:p>
    <w:p>
      <w:pPr>
        <w:spacing w:after="120" w:line="264"/>
        <w:jc w:val="both"/>
      </w:pPr>
      <w:r>
        <w:rPr>
          <w:rFonts w:ascii="Calibri" w:cs="Calibri" w:eastAsia="Calibri" w:hAnsi="Calibri"/>
          <w:sz w:val="22"/>
          <w:szCs w:val="22"/>
        </w:rPr>
        <w:t xml:space="preserve">Every environment, emulation plan, results dataset and audit script is version-controlled and released with a persistent identifier. Each paper cites the exact release on which its results rest and includes the scripts that regenerate its tables. A reader who doubts a result can rebuild the environment and rerun the test. These practices are what make the rebuild test at months 25 to 30 meaningful.</w:t>
      </w:r>
    </w:p>
    <w:p>
      <w:pPr>
        <w:pStyle w:val="Heading2"/>
        <w:keepNext/>
        <w:spacing w:after="100" w:before="200"/>
      </w:pPr>
      <w:r>
        <w:rPr>
          <w:rFonts w:ascii="Calibri" w:cs="Calibri" w:eastAsia="Calibri" w:hAnsi="Calibri"/>
          <w:b/>
          <w:bCs/>
          <w:color w:val="1F3864"/>
          <w:sz w:val="23"/>
          <w:szCs w:val="23"/>
        </w:rPr>
        <w:t xml:space="preserve">K. After the first 36 months</w:t>
      </w:r>
    </w:p>
    <w:p>
      <w:pPr>
        <w:spacing w:after="120" w:line="264"/>
        <w:jc w:val="both"/>
      </w:pPr>
      <w:r>
        <w:rPr>
          <w:rFonts w:ascii="Calibri" w:cs="Calibri" w:eastAsia="Calibri" w:hAnsi="Calibri"/>
          <w:sz w:val="22"/>
          <w:szCs w:val="22"/>
        </w:rPr>
        <w:t xml:space="preserve">The 36-month programme produces the framework, its reference environments, its measured results and its first four papers. It does not end there. The Zero Trust baseline it maps to keeps moving: CISA revises its maturity model, HHS is finalizing changes to the HIPAA Security Rule (petition </w:t>
      </w:r>
      <w:r>
        <w:rPr>
          <w:rFonts w:ascii="Calibri" w:cs="Calibri" w:eastAsia="Calibri" w:hAnsi="Calibri"/>
          <w:b/>
          <w:bCs/>
          <w:color w:val="FF0000"/>
          <w:sz w:val="22"/>
          <w:szCs w:val="22"/>
        </w:rPr>
        <w:t xml:space="preserve">Exhibit 54</w:t>
      </w:r>
      <w:r>
        <w:rPr>
          <w:rFonts w:ascii="Calibri" w:cs="Calibri" w:eastAsia="Calibri" w:hAnsi="Calibri"/>
          <w:sz w:val="22"/>
          <w:szCs w:val="22"/>
        </w:rPr>
        <w:t xml:space="preserve">), and NIST continues to issue practice guides (</w:t>
      </w:r>
      <w:r>
        <w:rPr>
          <w:rFonts w:ascii="Calibri" w:cs="Calibri" w:eastAsia="Calibri" w:hAnsi="Calibri"/>
          <w:b/>
          <w:bCs/>
          <w:color w:val="FF0000"/>
          <w:sz w:val="22"/>
          <w:szCs w:val="22"/>
        </w:rPr>
        <w:t xml:space="preserve">Exhibit RFE-7</w:t>
      </w:r>
      <w:r>
        <w:rPr>
          <w:rFonts w:ascii="Calibri" w:cs="Calibri" w:eastAsia="Calibri" w:hAnsi="Calibri"/>
          <w:sz w:val="22"/>
          <w:szCs w:val="22"/>
        </w:rPr>
        <w:t xml:space="preserve">). A framework that is not maintained against those changes goes stale within a few years. From month 37 onward the work continues in four streams.</w:t>
      </w:r>
    </w:p>
    <w:p>
      <w:pPr>
        <w:pStyle w:val="ListParagraph"/>
        <w:numPr>
          <w:ilvl w:val="0"/>
          <w:numId w:val="5"/>
        </w:numPr>
        <w:spacing w:after="70" w:line="260"/>
        <w:jc w:val="both"/>
      </w:pPr>
      <w:r>
        <w:rPr>
          <w:rFonts w:ascii="Calibri" w:cs="Calibri" w:eastAsia="Calibri" w:hAnsi="Calibri"/>
          <w:b/>
          <w:bCs/>
          <w:sz w:val="22"/>
          <w:szCs w:val="22"/>
        </w:rPr>
        <w:t xml:space="preserve">Maintenance releases.</w:t>
      </w:r>
      <w:r>
        <w:rPr>
          <w:rFonts w:ascii="Calibri" w:cs="Calibri" w:eastAsia="Calibri" w:hAnsi="Calibri"/>
          <w:sz w:val="22"/>
          <w:szCs w:val="22"/>
        </w:rPr>
        <w:t xml:space="preserve"> Each year I re-map the control catalogue to the current federal and sector requirements, rebuild the four reference environments on current cloud services, rerun the full emulation plan, and publish a versioned release with a change log, so that an institution using the framework always knows what changed and why.</w:t>
      </w:r>
    </w:p>
    <w:p>
      <w:pPr>
        <w:pStyle w:val="ListParagraph"/>
        <w:numPr>
          <w:ilvl w:val="0"/>
          <w:numId w:val="5"/>
        </w:numPr>
        <w:spacing w:after="70" w:line="260"/>
        <w:jc w:val="both"/>
      </w:pPr>
      <w:r>
        <w:rPr>
          <w:rFonts w:ascii="Calibri" w:cs="Calibri" w:eastAsia="Calibri" w:hAnsi="Calibri"/>
          <w:b/>
          <w:bCs/>
          <w:sz w:val="22"/>
          <w:szCs w:val="22"/>
        </w:rPr>
        <w:t xml:space="preserve">New institution classes.</w:t>
      </w:r>
      <w:r>
        <w:rPr>
          <w:rFonts w:ascii="Calibri" w:cs="Calibri" w:eastAsia="Calibri" w:hAnsi="Calibri"/>
          <w:sz w:val="22"/>
          <w:szCs w:val="22"/>
        </w:rPr>
        <w:t xml:space="preserve"> The same method extends to other under-resourced institutions that hold sensitive data with few staff, beginning with K-12 school districts and small water and wastewater utilities, each modelled as a fifth and sixth reference environment and published on the same terms.</w:t>
      </w:r>
    </w:p>
    <w:p>
      <w:pPr>
        <w:pStyle w:val="ListParagraph"/>
        <w:numPr>
          <w:ilvl w:val="0"/>
          <w:numId w:val="5"/>
        </w:numPr>
        <w:spacing w:after="70" w:line="260"/>
        <w:jc w:val="both"/>
      </w:pPr>
      <w:r>
        <w:rPr>
          <w:rFonts w:ascii="Calibri" w:cs="Calibri" w:eastAsia="Calibri" w:hAnsi="Calibri"/>
          <w:b/>
          <w:bCs/>
          <w:sz w:val="22"/>
          <w:szCs w:val="22"/>
        </w:rPr>
        <w:t xml:space="preserve">New questions.</w:t>
      </w:r>
      <w:r>
        <w:rPr>
          <w:rFonts w:ascii="Calibri" w:cs="Calibri" w:eastAsia="Calibri" w:hAnsi="Calibri"/>
          <w:sz w:val="22"/>
          <w:szCs w:val="22"/>
        </w:rPr>
        <w:t xml:space="preserve"> The research questions widen with the threat: the governance of AI agents and other non-human identities as their number grows, the order in which small institutions should migrate to post-quantum cryptography under the NIST standards issued in 2024, and the measured effect of the framework where volunteer institutions have applied it.</w:t>
      </w:r>
    </w:p>
    <w:p>
      <w:pPr>
        <w:pStyle w:val="ListParagraph"/>
        <w:numPr>
          <w:ilvl w:val="0"/>
          <w:numId w:val="5"/>
        </w:numPr>
        <w:spacing w:after="70" w:line="260"/>
        <w:jc w:val="both"/>
      </w:pPr>
      <w:r>
        <w:rPr>
          <w:rFonts w:ascii="Calibri" w:cs="Calibri" w:eastAsia="Calibri" w:hAnsi="Calibri"/>
          <w:b/>
          <w:bCs/>
          <w:sz w:val="22"/>
          <w:szCs w:val="22"/>
        </w:rPr>
        <w:t xml:space="preserve">Open stewardship.</w:t>
      </w:r>
      <w:r>
        <w:rPr>
          <w:rFonts w:ascii="Calibri" w:cs="Calibri" w:eastAsia="Calibri" w:hAnsi="Calibri"/>
          <w:sz w:val="22"/>
          <w:szCs w:val="22"/>
        </w:rPr>
        <w:t xml:space="preserve"> The code, catalogue and data are released under open licences from the first day, and from year four the repository is maintained so that outside contributors can propose changes and run the tests themselves. The framework is designed to outlast any one maintainer, including me.</w:t>
      </w:r>
    </w:p>
    <w:p>
      <w:pPr>
        <w:spacing w:after="120" w:line="264"/>
        <w:jc w:val="both"/>
      </w:pPr>
      <w:r>
        <w:rPr>
          <w:rFonts w:ascii="Calibri" w:cs="Calibri" w:eastAsia="Calibri" w:hAnsi="Calibri"/>
          <w:sz w:val="22"/>
          <w:szCs w:val="22"/>
        </w:rPr>
        <w:t xml:space="preserve">The continuing work is funded the same way as the first 36 months, from my own funds, at about the same cost (Table 9). Where a larger validation study with a group of rural hospitals or counties would add value, I will apply for competitive research funding on the strength of the published results; no part of the continuing work depends on it.</w:t>
      </w:r>
    </w:p>
    <w:p>
      <w:pPr>
        <w:pStyle w:val="Heading1"/>
        <w:keepNext/>
        <w:spacing w:after="140" w:before="280"/>
      </w:pPr>
      <w:r>
        <w:rPr>
          <w:rFonts w:ascii="Calibri" w:cs="Calibri" w:eastAsia="Calibri" w:hAnsi="Calibri"/>
          <w:b/>
          <w:bCs/>
          <w:color w:val="1F3864"/>
          <w:sz w:val="26"/>
          <w:szCs w:val="26"/>
        </w:rPr>
        <w:t xml:space="preserve">V. Prong One: Substantial Merit and National Importance</w:t>
      </w:r>
    </w:p>
    <w:p>
      <w:pPr>
        <w:spacing w:after="120" w:line="264"/>
        <w:jc w:val="both"/>
      </w:pPr>
      <w:r>
        <w:rPr>
          <w:rFonts w:ascii="Calibri" w:cs="Calibri" w:eastAsia="Calibri" w:hAnsi="Calibri"/>
          <w:sz w:val="22"/>
          <w:szCs w:val="22"/>
        </w:rPr>
        <w:t xml:space="preserve">The first prong "focuses on the specific endeavor that the foreign national proposes to undertake." </w:t>
      </w:r>
      <w:r>
        <w:rPr>
          <w:rFonts w:ascii="Calibri" w:cs="Calibri" w:eastAsia="Calibri" w:hAnsi="Calibri"/>
          <w:i/>
          <w:iCs/>
          <w:sz w:val="22"/>
          <w:szCs w:val="22"/>
        </w:rPr>
        <w:t xml:space="preserve">Dhanasar</w:t>
      </w:r>
      <w:r>
        <w:rPr>
          <w:rFonts w:ascii="Calibri" w:cs="Calibri" w:eastAsia="Calibri" w:hAnsi="Calibri"/>
          <w:sz w:val="22"/>
          <w:szCs w:val="22"/>
        </w:rPr>
        <w:t xml:space="preserve">, 26 I&amp;N Dec. at 889. The relevant question is "not the importance of the field, industry, or profession," but the endeavor's "potential prospective impact." </w:t>
      </w:r>
      <w:r>
        <w:rPr>
          <w:rFonts w:ascii="Calibri" w:cs="Calibri" w:eastAsia="Calibri" w:hAnsi="Calibri"/>
          <w:i/>
          <w:iCs/>
          <w:sz w:val="22"/>
          <w:szCs w:val="22"/>
        </w:rPr>
        <w:t xml:space="preserve">Id.</w:t>
      </w:r>
      <w:r>
        <w:rPr>
          <w:rFonts w:ascii="Calibri" w:cs="Calibri" w:eastAsia="Calibri" w:hAnsi="Calibri"/>
          <w:sz w:val="22"/>
          <w:szCs w:val="22"/>
        </w:rPr>
        <w:t xml:space="preserve"> The Notice applies the same test: "the relevant question is not the importance of the industry, field or profession in which the individual will work." This Part addresses that question for the endeavor defined in Part III, using the factors the Notice lists.</w:t>
      </w:r>
    </w:p>
    <w:p>
      <w:pPr>
        <w:pStyle w:val="Heading2"/>
        <w:keepNext/>
        <w:spacing w:after="100" w:before="200"/>
      </w:pPr>
      <w:r>
        <w:rPr>
          <w:rFonts w:ascii="Calibri" w:cs="Calibri" w:eastAsia="Calibri" w:hAnsi="Calibri"/>
          <w:b/>
          <w:bCs/>
          <w:color w:val="1F3864"/>
          <w:sz w:val="23"/>
          <w:szCs w:val="23"/>
        </w:rPr>
        <w:t xml:space="preserve">A. Substantial merit</w:t>
      </w:r>
    </w:p>
    <w:p>
      <w:pPr>
        <w:spacing w:after="120" w:line="264"/>
        <w:jc w:val="both"/>
      </w:pPr>
      <w:r>
        <w:rPr>
          <w:rFonts w:ascii="Calibri" w:cs="Calibri" w:eastAsia="Calibri" w:hAnsi="Calibri"/>
          <w:sz w:val="22"/>
          <w:szCs w:val="22"/>
        </w:rPr>
        <w:t xml:space="preserve">The Notice states that "USCIS agrees being an Information Security Analyst has substantial merit." The endeavor's merit is also independent of any occupation. It produces new knowledge on three open questions: which controls stop which documented attacks in environments the size of the institutions that are most often harmed; in what order a small team should deploy them; and whether the waste found by a cloud cost audit can pay for them. Each answer is published, and each is useful whether it confirms the hypothesis or bounds it.</w:t>
      </w:r>
    </w:p>
    <w:p>
      <w:pPr>
        <w:pStyle w:val="Heading2"/>
        <w:keepNext/>
        <w:spacing w:after="100" w:before="200"/>
      </w:pPr>
      <w:r>
        <w:rPr>
          <w:rFonts w:ascii="Calibri" w:cs="Calibri" w:eastAsia="Calibri" w:hAnsi="Calibri"/>
          <w:b/>
          <w:bCs/>
          <w:color w:val="1F3864"/>
          <w:sz w:val="23"/>
          <w:szCs w:val="23"/>
        </w:rPr>
        <w:t xml:space="preserve">B. National importance: the endeavor's prospective impact, limb by limb</w:t>
      </w:r>
    </w:p>
    <w:p>
      <w:pPr>
        <w:spacing w:after="120" w:line="264"/>
        <w:jc w:val="both"/>
      </w:pPr>
      <w:r>
        <w:rPr>
          <w:rFonts w:ascii="Calibri" w:cs="Calibri" w:eastAsia="Calibri" w:hAnsi="Calibri"/>
          <w:sz w:val="22"/>
          <w:szCs w:val="22"/>
        </w:rPr>
        <w:t xml:space="preserve">The Notice lists four ways in which an endeavor may show national importance. Table 13 answers each in the Notice's own words, and the paragraphs that follow give the evidence.</w:t>
      </w:r>
    </w:p>
    <w:p>
      <w:pPr>
        <w:keepNext/>
        <w:spacing w:after="80" w:before="160"/>
      </w:pPr>
      <w:r>
        <w:rPr>
          <w:rFonts w:ascii="Calibri" w:cs="Calibri" w:eastAsia="Calibri" w:hAnsi="Calibri"/>
          <w:b/>
          <w:bCs/>
          <w:sz w:val="21"/>
          <w:szCs w:val="21"/>
        </w:rPr>
        <w:t xml:space="preserve">Table 13. The Notice's national importance limbs, answered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4680"/>
        <w:gridCol w:w="1872"/>
      </w:tblGrid>
      <w:tr>
        <w:trPr>
          <w:cantSplit/>
          <w:tblHeader/>
        </w:trPr>
        <w:tc>
          <w:tcPr>
            <w:tcW w:type="dxa" w:w="280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b/>
                <w:bCs/>
                <w:sz w:val="19"/>
                <w:szCs w:val="19"/>
              </w:rPr>
              <w:t xml:space="preserve">Limb stated in the Notice</w:t>
            </w:r>
          </w:p>
        </w:tc>
        <w:tc>
          <w:tcPr>
            <w:tcW w:type="dxa" w:w="468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b/>
                <w:bCs/>
                <w:sz w:val="19"/>
                <w:szCs w:val="19"/>
              </w:rPr>
              <w:t xml:space="preserve">How the endeavor meets it</w:t>
            </w:r>
          </w:p>
        </w:tc>
        <w:tc>
          <w:tcPr>
            <w:tcW w:type="dxa" w:w="187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b/>
                <w:bCs/>
                <w:sz w:val="19"/>
                <w:szCs w:val="19"/>
              </w:rPr>
              <w:t xml:space="preserve">Evidence</w:t>
            </w:r>
          </w:p>
        </w:tc>
      </w:tr>
      <w:tr>
        <w:trPr>
          <w:cantSplit/>
          <w:tblHeader w:val="false"/>
        </w:trPr>
        <w:tc>
          <w:tcPr>
            <w:tcW w:type="dxa" w:w="280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(a) "Has national or even global implications within a particular field"</w:t>
            </w:r>
          </w:p>
        </w:tc>
        <w:tc>
          <w:tcPr>
            <w:tcW w:type="dxa" w:w="468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Its outputs are open environments, measured results, a control catalogue and audit scripts used by institutions and researchers anywhere; my published work is already cited by independent authors in twelve countries.</w:t>
            </w:r>
          </w:p>
        </w:tc>
        <w:tc>
          <w:tcPr>
            <w:tcW w:type="dxa" w:w="187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Tables 24 and 31; </w:t>
            </w:r>
            <w:r>
              <w:rPr>
                <w:rFonts w:ascii="Calibri" w:cs="Calibri" w:eastAsia="Calibri" w:hAnsi="Calibri"/>
                <w:color w:val="FF0000"/>
                <w:sz w:val="19"/>
                <w:szCs w:val="19"/>
              </w:rPr>
              <w:t xml:space="preserve">Exhibit RFE-6</w:t>
            </w:r>
          </w:p>
        </w:tc>
      </w:tr>
      <w:tr>
        <w:trPr>
          <w:cantSplit/>
          <w:tblHeader w:val="false"/>
        </w:trPr>
        <w:tc>
          <w:tcPr>
            <w:tcW w:type="dxa" w:w="280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(b) "Has significant potential to employ U.S. workers or has other substantial positive economic effects, particularly in an economically depressed area"</w:t>
            </w:r>
          </w:p>
        </w:tc>
        <w:tc>
          <w:tcPr>
            <w:tcW w:type="dxa" w:w="468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Breach losses avoided at institutions that apply the results, recovered cloud spending, and the continued operation of rural hospitals, which are often the largest employers in their counties.</w:t>
            </w:r>
          </w:p>
        </w:tc>
        <w:tc>
          <w:tcPr>
            <w:tcW w:type="dxa" w:w="187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color w:val="FF0000"/>
                <w:sz w:val="19"/>
                <w:szCs w:val="19"/>
              </w:rPr>
              <w:t xml:space="preserve">Exhibits RFE-9 and RFE-11</w:t>
            </w:r>
            <w:r>
              <w:rPr>
                <w:rFonts w:ascii="Calibri" w:cs="Calibri" w:eastAsia="Calibri" w:hAnsi="Calibri"/>
                <w:sz w:val="19"/>
                <w:szCs w:val="19"/>
              </w:rPr>
              <w:t xml:space="preserve">; petition </w:t>
            </w:r>
            <w:r>
              <w:rPr>
                <w:rFonts w:ascii="Calibri" w:cs="Calibri" w:eastAsia="Calibri" w:hAnsi="Calibri"/>
                <w:color w:val="FF0000"/>
                <w:sz w:val="19"/>
                <w:szCs w:val="19"/>
              </w:rPr>
              <w:t xml:space="preserve">Exhibits 29 and 31</w:t>
            </w:r>
          </w:p>
        </w:tc>
      </w:tr>
      <w:tr>
        <w:trPr>
          <w:cantSplit/>
          <w:tblHeader w:val="false"/>
        </w:trPr>
        <w:tc>
          <w:tcPr>
            <w:tcW w:type="dxa" w:w="280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(c) "Will broadly enhance societal welfare"</w:t>
            </w:r>
          </w:p>
        </w:tc>
        <w:tc>
          <w:tcPr>
            <w:tcW w:type="dxa" w:w="468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Continuity of hospital care, of community banking and of county services, and protection of the health, financial and civic data those institutions hold.</w:t>
            </w:r>
          </w:p>
        </w:tc>
        <w:tc>
          <w:tcPr>
            <w:tcW w:type="dxa" w:w="187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color w:val="FF0000"/>
                <w:sz w:val="19"/>
                <w:szCs w:val="19"/>
              </w:rPr>
              <w:t xml:space="preserve">Exhibits RFE-8, RFE-9 and RFE-11</w:t>
            </w:r>
          </w:p>
        </w:tc>
      </w:tr>
      <w:tr>
        <w:trPr>
          <w:cantSplit/>
          <w:tblHeader w:val="false"/>
        </w:trPr>
        <w:tc>
          <w:tcPr>
            <w:tcW w:type="dxa" w:w="280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(d) "Impacts a matter that a government entity has described as having national importance or is the subject of national initiatives"</w:t>
            </w:r>
          </w:p>
        </w:tc>
        <w:tc>
          <w:tcPr>
            <w:tcW w:type="dxa" w:w="468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Federal instruments name the exact deficiency the endeavor measures and closes, and the institution classes it serves.</w:t>
            </w:r>
          </w:p>
        </w:tc>
        <w:tc>
          <w:tcPr>
            <w:tcW w:type="dxa" w:w="187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Tables 14, 15 and 20; </w:t>
            </w:r>
            <w:r>
              <w:rPr>
                <w:rFonts w:ascii="Calibri" w:cs="Calibri" w:eastAsia="Calibri" w:hAnsi="Calibri"/>
                <w:color w:val="FF0000"/>
                <w:sz w:val="19"/>
                <w:szCs w:val="19"/>
              </w:rPr>
              <w:t xml:space="preserve">Exhibits RFE-7, RFE-8 and RFE-14 to RFE-17</w:t>
            </w:r>
            <w:r>
              <w:rPr>
                <w:rFonts w:ascii="Calibri" w:cs="Calibri" w:eastAsia="Calibri" w:hAnsi="Calibri"/>
                <w:sz w:val="19"/>
                <w:szCs w:val="19"/>
              </w:rPr>
              <w:t xml:space="preserve">; petition </w:t>
            </w:r>
            <w:r>
              <w:rPr>
                <w:rFonts w:ascii="Calibri" w:cs="Calibri" w:eastAsia="Calibri" w:hAnsi="Calibri"/>
                <w:color w:val="FF0000"/>
                <w:sz w:val="19"/>
                <w:szCs w:val="19"/>
              </w:rPr>
              <w:t xml:space="preserve">Exhibits 19 to 24, 41 and 54</w:t>
            </w:r>
          </w:p>
        </w:tc>
      </w:tr>
    </w:tbl>
    <w:p>
      <w:pPr>
        <w:spacing w:after="80"/>
      </w:pPr>
    </w:p>
    <w:p>
      <w:pPr>
        <w:keepNext/>
        <w:spacing w:after="60" w:before="140"/>
      </w:pPr>
      <w:r>
        <w:rPr>
          <w:rFonts w:ascii="Calibri" w:cs="Calibri" w:eastAsia="Calibri" w:hAnsi="Calibri"/>
          <w:b/>
          <w:bCs/>
          <w:i/>
          <w:iCs/>
          <w:sz w:val="22"/>
          <w:szCs w:val="22"/>
        </w:rPr>
        <w:t xml:space="preserve">(a) National and global implications within the field</w:t>
      </w:r>
    </w:p>
    <w:p>
      <w:pPr>
        <w:spacing w:after="120" w:line="264"/>
        <w:jc w:val="both"/>
      </w:pPr>
      <w:r>
        <w:rPr>
          <w:rFonts w:ascii="Calibri" w:cs="Calibri" w:eastAsia="Calibri" w:hAnsi="Calibri"/>
          <w:sz w:val="22"/>
          <w:szCs w:val="22"/>
        </w:rPr>
        <w:t xml:space="preserve">The endeavor's outputs are designed to travel. A released reference environment can be rebuilt by any security team or researcher in minutes; a measured control order can be followed by any hospital, bank or county; an audit script can be run on any cloud estate. None of these outputs requires my involvement once it is published, and none is confined to an employer or a client. The record shows that my published work already travels in this way: independent authors in twelve countries, from the United States, Nigeria and the United Kingdom to Pakistan, India, Saudi Arabia, Sweden and Brazil, have cited it in their own published work, none of them a co-author of the paper they cite (Part VI.K; Tables 24 and 31).</w:t>
      </w:r>
    </w:p>
    <w:p>
      <w:pPr>
        <w:keepNext/>
        <w:spacing w:after="60" w:before="140"/>
      </w:pPr>
      <w:r>
        <w:rPr>
          <w:rFonts w:ascii="Calibri" w:cs="Calibri" w:eastAsia="Calibri" w:hAnsi="Calibri"/>
          <w:b/>
          <w:bCs/>
          <w:i/>
          <w:iCs/>
          <w:sz w:val="22"/>
          <w:szCs w:val="22"/>
        </w:rPr>
        <w:t xml:space="preserve">(b) Economic effects and employment</w:t>
      </w:r>
    </w:p>
    <w:p>
      <w:pPr>
        <w:spacing w:after="120" w:line="264"/>
        <w:jc w:val="both"/>
      </w:pPr>
      <w:r>
        <w:rPr>
          <w:rFonts w:ascii="Calibri" w:cs="Calibri" w:eastAsia="Calibri" w:hAnsi="Calibri"/>
          <w:sz w:val="22"/>
          <w:szCs w:val="22"/>
        </w:rPr>
        <w:t xml:space="preserve">The Notice notes that it has no "projected U.S. economic impact or job creation attributable to her future work." The endeavor is research, and its economic effect works through the institutions that apply it, in three ways the record documents. The first is avoided loss. The petition record documents breach costs measured in millions of dollars per incident in healthcare (petition </w:t>
      </w:r>
      <w:r>
        <w:rPr>
          <w:rFonts w:ascii="Calibri" w:cs="Calibri" w:eastAsia="Calibri" w:hAnsi="Calibri"/>
          <w:b/>
          <w:bCs/>
          <w:color w:val="FF0000"/>
          <w:sz w:val="22"/>
          <w:szCs w:val="22"/>
        </w:rPr>
        <w:t xml:space="preserve">Exhibit 29</w:t>
      </w:r>
      <w:r>
        <w:rPr>
          <w:rFonts w:ascii="Calibri" w:cs="Calibri" w:eastAsia="Calibri" w:hAnsi="Calibri"/>
          <w:sz w:val="22"/>
          <w:szCs w:val="22"/>
        </w:rPr>
        <w:t xml:space="preserve">), and </w:t>
      </w:r>
      <w:r>
        <w:rPr>
          <w:rFonts w:ascii="Calibri" w:cs="Calibri" w:eastAsia="Calibri" w:hAnsi="Calibri"/>
          <w:b/>
          <w:bCs/>
          <w:color w:val="FF0000"/>
          <w:sz w:val="22"/>
          <w:szCs w:val="22"/>
        </w:rPr>
        <w:t xml:space="preserve">Exhibit RFE-9</w:t>
      </w:r>
      <w:r>
        <w:rPr>
          <w:rFonts w:ascii="Calibri" w:cs="Calibri" w:eastAsia="Calibri" w:hAnsi="Calibri"/>
          <w:sz w:val="22"/>
          <w:szCs w:val="22"/>
        </w:rPr>
        <w:t xml:space="preserve"> shows a single missing control producing the largest health data breach in U.S. history. The second is preserved employment. A rural hospital is often among the largest employers in its county, and St. Margaret's Health shows that a ransomware attack that stops billing can end a hospital, and with it the jobs it supported, in a small rural community (</w:t>
      </w:r>
      <w:r>
        <w:rPr>
          <w:rFonts w:ascii="Calibri" w:cs="Calibri" w:eastAsia="Calibri" w:hAnsi="Calibri"/>
          <w:b/>
          <w:bCs/>
          <w:color w:val="FF0000"/>
          <w:sz w:val="22"/>
          <w:szCs w:val="22"/>
        </w:rPr>
        <w:t xml:space="preserve">Exhibit RFE-11</w:t>
      </w:r>
      <w:r>
        <w:rPr>
          <w:rFonts w:ascii="Calibri" w:cs="Calibri" w:eastAsia="Calibri" w:hAnsi="Calibri"/>
          <w:sz w:val="22"/>
          <w:szCs w:val="22"/>
        </w:rPr>
        <w:t xml:space="preserve">). The third is recovered spending: Project 3 measures, and publishes, the cloud waste each institution class can recover, which the petition record places at roughly a third of cloud spending across the economy (petition </w:t>
      </w:r>
      <w:r>
        <w:rPr>
          <w:rFonts w:ascii="Calibri" w:cs="Calibri" w:eastAsia="Calibri" w:hAnsi="Calibri"/>
          <w:b/>
          <w:bCs/>
          <w:color w:val="FF0000"/>
          <w:sz w:val="22"/>
          <w:szCs w:val="22"/>
        </w:rPr>
        <w:t xml:space="preserve">Exhibit 31</w:t>
      </w:r>
      <w:r>
        <w:rPr>
          <w:rFonts w:ascii="Calibri" w:cs="Calibri" w:eastAsia="Calibri" w:hAnsi="Calibri"/>
          <w:sz w:val="22"/>
          <w:szCs w:val="22"/>
        </w:rPr>
        <w:t xml:space="preserve">). Each of these effects is measured by the research and reported at the level the data support. The rural hospitals and small towns the framework serves are often exactly the economically depressed areas the Notice refers to.</w:t>
      </w:r>
    </w:p>
    <w:p>
      <w:pPr>
        <w:keepNext/>
        <w:spacing w:after="60" w:before="140"/>
      </w:pPr>
      <w:r>
        <w:rPr>
          <w:rFonts w:ascii="Calibri" w:cs="Calibri" w:eastAsia="Calibri" w:hAnsi="Calibri"/>
          <w:b/>
          <w:bCs/>
          <w:i/>
          <w:iCs/>
          <w:sz w:val="22"/>
          <w:szCs w:val="22"/>
        </w:rPr>
        <w:t xml:space="preserve">(c) Broad enhancement of societal welfare</w:t>
      </w:r>
    </w:p>
    <w:p>
      <w:pPr>
        <w:spacing w:after="120" w:line="264"/>
        <w:jc w:val="both"/>
      </w:pPr>
      <w:r>
        <w:rPr>
          <w:rFonts w:ascii="Calibri" w:cs="Calibri" w:eastAsia="Calibri" w:hAnsi="Calibri"/>
          <w:sz w:val="22"/>
          <w:szCs w:val="22"/>
        </w:rPr>
        <w:t xml:space="preserve">When a small hospital's systems stop, patients are diverted and claims stop flowing; when a county's systems stop, permits, payroll and records stop with them. The HHS Cybersecurity Performance Goals were issued precisely because attacks on health care organizations affect patient care (</w:t>
      </w:r>
      <w:r>
        <w:rPr>
          <w:rFonts w:ascii="Calibri" w:cs="Calibri" w:eastAsia="Calibri" w:hAnsi="Calibri"/>
          <w:b/>
          <w:bCs/>
          <w:color w:val="FF0000"/>
          <w:sz w:val="22"/>
          <w:szCs w:val="22"/>
        </w:rPr>
        <w:t xml:space="preserve">Exhibit RFE-8</w:t>
      </w:r>
      <w:r>
        <w:rPr>
          <w:rFonts w:ascii="Calibri" w:cs="Calibri" w:eastAsia="Calibri" w:hAnsi="Calibri"/>
          <w:sz w:val="22"/>
          <w:szCs w:val="22"/>
        </w:rPr>
        <w:t xml:space="preserve">). An open, measured, low-cost path for small institutions to close the most common attack paths protects the public that depends on them, not a client.</w:t>
      </w:r>
    </w:p>
    <w:p>
      <w:pPr>
        <w:keepNext/>
        <w:spacing w:after="60" w:before="140"/>
      </w:pPr>
      <w:r>
        <w:rPr>
          <w:rFonts w:ascii="Calibri" w:cs="Calibri" w:eastAsia="Calibri" w:hAnsi="Calibri"/>
          <w:b/>
          <w:bCs/>
          <w:i/>
          <w:iCs/>
          <w:sz w:val="22"/>
          <w:szCs w:val="22"/>
        </w:rPr>
        <w:t xml:space="preserve">(d) A matter the government has described as nationally important</w:t>
      </w:r>
    </w:p>
    <w:p>
      <w:pPr>
        <w:spacing w:after="120" w:line="264"/>
        <w:jc w:val="both"/>
      </w:pPr>
      <w:r>
        <w:rPr>
          <w:rFonts w:ascii="Calibri" w:cs="Calibri" w:eastAsia="Calibri" w:hAnsi="Calibri"/>
          <w:sz w:val="22"/>
          <w:szCs w:val="22"/>
        </w:rPr>
        <w:t xml:space="preserve">The Notice states that "the fact that a beneficiary is qualified for and may accept a position in an industry or sector that is the subject of national initiatives is not sufficient." The documents in Table 15 are not offered for that purpose. Each is offered because it names the particular deficiency the endeavor measures, or the particular institutions it serves, and because the endeavor supplies something the document calls for and does not itself provide.</w:t>
      </w:r>
    </w:p>
    <w:p>
      <w:pPr>
        <w:spacing w:after="120" w:line="264"/>
        <w:jc w:val="both"/>
      </w:pPr>
      <w:r>
        <w:rPr>
          <w:rFonts w:ascii="Calibri" w:cs="Calibri" w:eastAsia="Calibri" w:hAnsi="Calibri"/>
          <w:b/>
          <w:bCs/>
          <w:sz w:val="22"/>
          <w:szCs w:val="22"/>
        </w:rPr>
        <w:t xml:space="preserve">The current administration has made this problem a national priority in its own words.</w:t>
      </w:r>
      <w:r>
        <w:rPr>
          <w:rFonts w:ascii="Calibri" w:cs="Calibri" w:eastAsia="Calibri" w:hAnsi="Calibri"/>
          <w:sz w:val="22"/>
          <w:szCs w:val="22"/>
        </w:rPr>
        <w:t xml:space="preserve"> Each of the four instruments in Table 14, all issued in 2025 and 2026, names the exposure the endeavor addresses: critical infrastructure such as hospitals and water utilities, owners with limited means, state and local responsibility for preparedness, and the need to deny attackers initial access. Each also asks for something the endeavor produces: measured, risk-based guidance rather than checklists, and security that small owners can actually apply.</w:t>
      </w:r>
    </w:p>
    <w:p>
      <w:pPr>
        <w:keepNext/>
        <w:spacing w:after="80" w:before="160"/>
      </w:pPr>
      <w:r>
        <w:rPr>
          <w:rFonts w:ascii="Calibri" w:cs="Calibri" w:eastAsia="Calibri" w:hAnsi="Calibri"/>
          <w:b/>
          <w:bCs/>
          <w:sz w:val="21"/>
          <w:szCs w:val="21"/>
        </w:rPr>
        <w:t xml:space="preserve">Table 14. Current national priorities the endeavor executes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4"/>
        <w:gridCol w:w="3744"/>
        <w:gridCol w:w="2246"/>
        <w:gridCol w:w="936"/>
      </w:tblGrid>
      <w:tr>
        <w:trPr>
          <w:cantSplit/>
          <w:tblHeader/>
        </w:trPr>
        <w:tc>
          <w:tcPr>
            <w:tcW w:type="dxa" w:w="243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b/>
                <w:bCs/>
                <w:sz w:val="19"/>
                <w:szCs w:val="19"/>
              </w:rPr>
              <w:t xml:space="preserve">Instrument</w:t>
            </w:r>
          </w:p>
        </w:tc>
        <w:tc>
          <w:tcPr>
            <w:tcW w:type="dxa" w:w="374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b/>
                <w:bCs/>
                <w:sz w:val="19"/>
                <w:szCs w:val="19"/>
              </w:rPr>
              <w:t xml:space="preserve">What it says</w:t>
            </w:r>
          </w:p>
        </w:tc>
        <w:tc>
          <w:tcPr>
            <w:tcW w:type="dxa" w:w="224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b/>
                <w:bCs/>
                <w:sz w:val="19"/>
                <w:szCs w:val="19"/>
              </w:rPr>
              <w:t xml:space="preserve">What the endeavor supplies</w:t>
            </w:r>
          </w:p>
        </w:tc>
        <w:tc>
          <w:tcPr>
            <w:tcW w:type="dxa" w:w="93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b/>
                <w:bCs/>
                <w:sz w:val="19"/>
                <w:szCs w:val="19"/>
              </w:rPr>
              <w:t xml:space="preserve">Exhibit</w:t>
            </w:r>
          </w:p>
        </w:tc>
      </w:tr>
      <w:tr>
        <w:trPr>
          <w:cantSplit/>
          <w:tblHeader w:val="false"/>
        </w:trPr>
        <w:tc>
          <w:tcPr>
            <w:tcW w:type="dxa" w:w="243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President Trump's Cyber Strategy for America (The White House, March 6, 2026)</w:t>
            </w:r>
          </w:p>
        </w:tc>
        <w:tc>
          <w:tcPr>
            <w:tcW w:type="dxa" w:w="374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Its pillar Secure Critical Infrastructure names "water utilities, and hospitals," commits that "we will deny our adversaries initial access," and pledges to "galvanize the role of state, local, Tribal, and territorial authorities." Its pillar Promote Common Sense Regulation favors risk-based standards over compliance burden, and Build Talent and Capacity calls for a talent "pipeline."</w:t>
            </w:r>
          </w:p>
        </w:tc>
        <w:tc>
          <w:tcPr>
            <w:tcW w:type="dxa" w:w="224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Measured evidence of which controls deny initial access in hospital, bank, small-business and county environments; a risk-ranked deployment order in place of a checklist; open tutorials for the workforce pipeline.</w:t>
            </w:r>
          </w:p>
        </w:tc>
        <w:tc>
          <w:tcPr>
            <w:tcW w:type="dxa" w:w="93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RFE-14</w:t>
            </w:r>
          </w:p>
        </w:tc>
      </w:tr>
      <w:tr>
        <w:trPr>
          <w:cantSplit/>
          <w:tblHeader w:val="false"/>
        </w:trPr>
        <w:tc>
          <w:tcPr>
            <w:tcW w:type="dxa" w:w="243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Winning the Race: America's AI Action Plan (The White House, July 2025)</w:t>
            </w:r>
          </w:p>
        </w:tc>
        <w:tc>
          <w:tcPr>
            <w:tcW w:type="dxa" w:w="374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"Maintaining a robust defensive posture will be especially important for owners of critical infrastructure, many of whom operate with limited financial resources." It also directs the promotion of secure-by-design AI and an AI Information Sharing and Analysis Center.</w:t>
            </w:r>
          </w:p>
        </w:tc>
        <w:tc>
          <w:tcPr>
            <w:tcW w:type="dxa" w:w="224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A framework built for exactly those owners, self-financing through recovered cloud waste, with an accountability record for the AI agents and other non-human identities that AI adoption adds.</w:t>
            </w:r>
          </w:p>
        </w:tc>
        <w:tc>
          <w:tcPr>
            <w:tcW w:type="dxa" w:w="93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RFE-15</w:t>
            </w:r>
          </w:p>
        </w:tc>
      </w:tr>
      <w:tr>
        <w:trPr>
          <w:cantSplit/>
          <w:tblHeader w:val="false"/>
        </w:trPr>
        <w:tc>
          <w:tcPr>
            <w:tcW w:type="dxa" w:w="243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Executive Order 14306, Sustaining Select Efforts to Strengthen the Nation's Cybersecurity (June 6, 2025), 90 Fed. Reg. 24723</w:t>
            </w:r>
          </w:p>
        </w:tc>
        <w:tc>
          <w:tcPr>
            <w:tcW w:type="dxa" w:w="374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Opens: "Foreign nations and criminals continue to conduct cyber campaigns targeting the United States and Americans." It directs that AI software vulnerabilities be brought into existing vulnerability management, and sets timelines for post-quantum cryptography.</w:t>
            </w:r>
          </w:p>
        </w:tc>
        <w:tc>
          <w:tcPr>
            <w:tcW w:type="dxa" w:w="224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Governance of AI agents and service identities (Projects 1 and 3); post-quantum migration ordering for small institutions after month 36 (Part IV.K).</w:t>
            </w:r>
          </w:p>
        </w:tc>
        <w:tc>
          <w:tcPr>
            <w:tcW w:type="dxa" w:w="93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RFE-16</w:t>
            </w:r>
          </w:p>
        </w:tc>
      </w:tr>
      <w:tr>
        <w:trPr>
          <w:cantSplit/>
          <w:tblHeader w:val="false"/>
        </w:trPr>
        <w:tc>
          <w:tcPr>
            <w:tcW w:type="dxa" w:w="243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Executive Order 14239, Achieving Efficiency Through State and Local Preparedness (March 18, 2025)</w:t>
            </w:r>
          </w:p>
        </w:tc>
        <w:tc>
          <w:tcPr>
            <w:tcW w:type="dxa" w:w="374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States that "preparedness is most effectively owned and managed at the State, local, and even individual levels," for risks "including cyber attacks."</w:t>
            </w:r>
          </w:p>
        </w:tc>
        <w:tc>
          <w:tcPr>
            <w:tcW w:type="dxa" w:w="224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The county reference environment, ranked plan and audit scripts that let a county own its cyber preparedness with its own staff.</w:t>
            </w:r>
          </w:p>
        </w:tc>
        <w:tc>
          <w:tcPr>
            <w:tcW w:type="dxa" w:w="93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RFE-17</w:t>
            </w:r>
          </w:p>
        </w:tc>
      </w:tr>
    </w:tbl>
    <w:p>
      <w:pPr>
        <w:spacing w:after="80"/>
      </w:pPr>
    </w:p>
    <w:p>
      <w:pPr>
        <w:keepNext/>
        <w:spacing w:after="80" w:before="160"/>
      </w:pPr>
      <w:r>
        <w:rPr>
          <w:rFonts w:ascii="Calibri" w:cs="Calibri" w:eastAsia="Calibri" w:hAnsi="Calibri"/>
          <w:b/>
          <w:bCs/>
          <w:sz w:val="21"/>
          <w:szCs w:val="21"/>
        </w:rPr>
        <w:t xml:space="preserve">Table 15. Federal documents identifying the specific problem the endeavor addresses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4493"/>
        <w:gridCol w:w="2059"/>
      </w:tblGrid>
      <w:tr>
        <w:trPr>
          <w:cantSplit/>
          <w:tblHeader/>
        </w:trPr>
        <w:tc>
          <w:tcPr>
            <w:tcW w:type="dxa" w:w="280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b/>
                <w:bCs/>
                <w:sz w:val="19"/>
                <w:szCs w:val="19"/>
              </w:rPr>
              <w:t xml:space="preserve">Document</w:t>
            </w:r>
          </w:p>
        </w:tc>
        <w:tc>
          <w:tcPr>
            <w:tcW w:type="dxa" w:w="449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b/>
                <w:bCs/>
                <w:sz w:val="19"/>
                <w:szCs w:val="19"/>
              </w:rPr>
              <w:t xml:space="preserve">What it establishes for this endeavor</w:t>
            </w:r>
          </w:p>
        </w:tc>
        <w:tc>
          <w:tcPr>
            <w:tcW w:type="dxa" w:w="205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b/>
                <w:bCs/>
                <w:sz w:val="19"/>
                <w:szCs w:val="19"/>
              </w:rPr>
              <w:t xml:space="preserve">Exhibit</w:t>
            </w:r>
          </w:p>
        </w:tc>
      </w:tr>
      <w:tr>
        <w:trPr>
          <w:cantSplit/>
          <w:tblHeader w:val="false"/>
        </w:trPr>
        <w:tc>
          <w:tcPr>
            <w:tcW w:type="dxa" w:w="280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Executive Order 14028 (2021) and OMB Memorandum M-22-09 (2022)</w:t>
            </w:r>
          </w:p>
        </w:tc>
        <w:tc>
          <w:tcPr>
            <w:tcW w:type="dxa" w:w="449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Federal policy adopts Zero Trust; M-22-09 requires phishing-resistant multi-factor authentication, the control whose absence opened the Change Healthcare and Snowflake incidents. Both bind federal agencies only.</w:t>
            </w:r>
          </w:p>
        </w:tc>
        <w:tc>
          <w:tcPr>
            <w:tcW w:type="dxa" w:w="205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Petition </w:t>
            </w:r>
            <w:r>
              <w:rPr>
                <w:rFonts w:ascii="Calibri" w:cs="Calibri" w:eastAsia="Calibri" w:hAnsi="Calibri"/>
                <w:color w:val="FF0000"/>
                <w:sz w:val="19"/>
                <w:szCs w:val="19"/>
              </w:rPr>
              <w:t xml:space="preserve">Exhibits 19 and 20</w:t>
            </w:r>
          </w:p>
        </w:tc>
      </w:tr>
      <w:tr>
        <w:trPr>
          <w:cantSplit/>
          <w:tblHeader w:val="false"/>
        </w:trPr>
        <w:tc>
          <w:tcPr>
            <w:tcW w:type="dxa" w:w="280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CISA Zero Trust Maturity Model, Version 2.0</w:t>
            </w:r>
          </w:p>
        </w:tc>
        <w:tc>
          <w:tcPr>
            <w:tcW w:type="dxa" w:w="449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Defines the five pillars and maturity stages that the endeavor's control catalogue maps to and extends with a sixth.</w:t>
            </w:r>
          </w:p>
        </w:tc>
        <w:tc>
          <w:tcPr>
            <w:tcW w:type="dxa" w:w="205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Petition </w:t>
            </w:r>
            <w:r>
              <w:rPr>
                <w:rFonts w:ascii="Calibri" w:cs="Calibri" w:eastAsia="Calibri" w:hAnsi="Calibri"/>
                <w:color w:val="FF0000"/>
                <w:sz w:val="19"/>
                <w:szCs w:val="19"/>
              </w:rPr>
              <w:t xml:space="preserve">Exhibit 22</w:t>
            </w:r>
          </w:p>
        </w:tc>
      </w:tr>
      <w:tr>
        <w:trPr>
          <w:cantSplit/>
          <w:tblHeader w:val="false"/>
        </w:trPr>
        <w:tc>
          <w:tcPr>
            <w:tcW w:type="dxa" w:w="280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NIST SP 1800-35, Implementing a Zero Trust Architecture (final, June 2025)</w:t>
            </w:r>
          </w:p>
        </w:tc>
        <w:tc>
          <w:tcPr>
            <w:tcW w:type="dxa" w:w="449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Documents nineteen example implementations built with twenty-four vendors, with their implementation and test results, for enterprise environments. It establishes laboratory builds as a sound way to test Zero Trust; the endeavor applies that method to models of institutions without enterprise staff or vendor stacks.</w:t>
            </w:r>
          </w:p>
        </w:tc>
        <w:tc>
          <w:tcPr>
            <w:tcW w:type="dxa" w:w="205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RFE-7</w:t>
            </w:r>
          </w:p>
        </w:tc>
      </w:tr>
      <w:tr>
        <w:trPr>
          <w:cantSplit/>
          <w:tblHeader w:val="false"/>
        </w:trPr>
        <w:tc>
          <w:tcPr>
            <w:tcW w:type="dxa" w:w="280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HHS, Healthcare and Public Health Sector Cybersecurity Performance Goals (January 24, 2024)</w:t>
            </w:r>
          </w:p>
        </w:tc>
        <w:tc>
          <w:tcPr>
            <w:tcW w:type="dxa" w:w="449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Names multi-factor authentication, asset inventory and network segmentation, among others, as goals for health care organizations; HHS said it would use them to inform enforceable standards.</w:t>
            </w:r>
          </w:p>
        </w:tc>
        <w:tc>
          <w:tcPr>
            <w:tcW w:type="dxa" w:w="205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RFE-8</w:t>
            </w:r>
          </w:p>
        </w:tc>
      </w:tr>
      <w:tr>
        <w:trPr>
          <w:cantSplit/>
          <w:tblHeader w:val="false"/>
        </w:trPr>
        <w:tc>
          <w:tcPr>
            <w:tcW w:type="dxa" w:w="280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HHS, HIPAA Security Rule Notice of Proposed Rulemaking, 90 Fed. Reg. 898 (Jan. 6, 2025)</w:t>
            </w:r>
          </w:p>
        </w:tc>
        <w:tc>
          <w:tcPr>
            <w:tcW w:type="dxa" w:w="449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Proposes to require multi-factor authentication, segmentation, encryption and asset inventory of all regulated entities, including the smallest.</w:t>
            </w:r>
          </w:p>
        </w:tc>
        <w:tc>
          <w:tcPr>
            <w:tcW w:type="dxa" w:w="205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Petition </w:t>
            </w:r>
            <w:r>
              <w:rPr>
                <w:rFonts w:ascii="Calibri" w:cs="Calibri" w:eastAsia="Calibri" w:hAnsi="Calibri"/>
                <w:color w:val="FF0000"/>
                <w:sz w:val="19"/>
                <w:szCs w:val="19"/>
              </w:rPr>
              <w:t xml:space="preserve">Exhibit 54</w:t>
            </w:r>
          </w:p>
        </w:tc>
      </w:tr>
      <w:tr>
        <w:trPr>
          <w:cantSplit/>
          <w:tblHeader w:val="false"/>
        </w:trPr>
        <w:tc>
          <w:tcPr>
            <w:tcW w:type="dxa" w:w="280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CISA State and Local Cybersecurity Grant Program</w:t>
            </w:r>
          </w:p>
        </w:tc>
        <w:tc>
          <w:tcPr>
            <w:tcW w:type="dxa" w:w="449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Federal funding created because state and local governments lack the means to defend themselves; the endeavor gives such recipients a measured, published plan to spend against.</w:t>
            </w:r>
          </w:p>
        </w:tc>
        <w:tc>
          <w:tcPr>
            <w:tcW w:type="dxa" w:w="205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Petition </w:t>
            </w:r>
            <w:r>
              <w:rPr>
                <w:rFonts w:ascii="Calibri" w:cs="Calibri" w:eastAsia="Calibri" w:hAnsi="Calibri"/>
                <w:color w:val="FF0000"/>
                <w:sz w:val="19"/>
                <w:szCs w:val="19"/>
              </w:rPr>
              <w:t xml:space="preserve">Exhibit 41</w:t>
            </w:r>
          </w:p>
        </w:tc>
      </w:tr>
    </w:tbl>
    <w:p>
      <w:pPr>
        <w:spacing w:after="80"/>
      </w:pPr>
    </w:p>
    <w:p>
      <w:pPr>
        <w:spacing w:after="120" w:line="264"/>
        <w:jc w:val="both"/>
      </w:pPr>
      <w:r>
        <w:rPr>
          <w:rFonts w:ascii="Calibri" w:cs="Calibri" w:eastAsia="Calibri" w:hAnsi="Calibri"/>
          <w:sz w:val="22"/>
          <w:szCs w:val="22"/>
        </w:rPr>
        <w:t xml:space="preserve">These instruments, and the current priorities in Table 14, establish the standard. They do not tell a 25-bed hospital with two IT staff which of the controls to deploy first, what each closes, or how to pay for them, because they were not measured at that scale. The endeavor produces exactly that evidence and publishes it. That is how it affects the problems these documents describe "on a commensurately meaningful level," in the Notice's words: by supplying the missing measured link between the federal standard and the institutions least able to meet it.</w:t>
      </w:r>
    </w:p>
    <w:p>
      <w:pPr>
        <w:keepNext/>
        <w:spacing w:after="60" w:before="140"/>
      </w:pPr>
      <w:r>
        <w:rPr>
          <w:rFonts w:ascii="Calibri" w:cs="Calibri" w:eastAsia="Calibri" w:hAnsi="Calibri"/>
          <w:b/>
          <w:bCs/>
          <w:i/>
          <w:iCs/>
          <w:sz w:val="22"/>
          <w:szCs w:val="22"/>
        </w:rPr>
        <w:t xml:space="preserve">(e) Evidence specific to this framework</w:t>
      </w:r>
    </w:p>
    <w:p>
      <w:pPr>
        <w:spacing w:after="120" w:line="264"/>
        <w:jc w:val="both"/>
      </w:pPr>
      <w:r>
        <w:rPr>
          <w:rFonts w:ascii="Calibri" w:cs="Calibri" w:eastAsia="Calibri" w:hAnsi="Calibri"/>
          <w:sz w:val="22"/>
          <w:szCs w:val="22"/>
        </w:rPr>
        <w:t xml:space="preserve">National importance turns on the prospective impact of the specific endeavor, not of the field. </w:t>
      </w:r>
      <w:r>
        <w:rPr>
          <w:rFonts w:ascii="Calibri" w:cs="Calibri" w:eastAsia="Calibri" w:hAnsi="Calibri"/>
          <w:i/>
          <w:iCs/>
          <w:sz w:val="22"/>
          <w:szCs w:val="22"/>
        </w:rPr>
        <w:t xml:space="preserve">Dhanasar</w:t>
      </w:r>
      <w:r>
        <w:rPr>
          <w:rFonts w:ascii="Calibri" w:cs="Calibri" w:eastAsia="Calibri" w:hAnsi="Calibri"/>
          <w:sz w:val="22"/>
          <w:szCs w:val="22"/>
        </w:rPr>
        <w:t xml:space="preserve">, 26 I&amp;N Dec. at 889. This subsection therefore sets out evidence that concerns this framework itself: what current federal guidance for small institutions already provides and what it leaves open; how each experiment maps to the healthcare goals HHS has set; preliminary results and artifacts; independent assessment and the interest of intended users; and a bounded statement of whom the outputs can reach.</w:t>
      </w:r>
    </w:p>
    <w:p>
      <w:pPr>
        <w:spacing w:after="120" w:line="264"/>
        <w:jc w:val="both"/>
      </w:pPr>
      <w:r>
        <w:rPr>
          <w:rFonts w:ascii="Calibri" w:cs="Calibri" w:eastAsia="Calibri" w:hAnsi="Calibri"/>
          <w:b/>
          <w:bCs/>
          <w:sz w:val="22"/>
          <w:szCs w:val="22"/>
        </w:rPr>
        <w:t xml:space="preserve">What existing guidance provides, and the question it leaves open.</w:t>
      </w:r>
      <w:r>
        <w:rPr>
          <w:rFonts w:ascii="Calibri" w:cs="Calibri" w:eastAsia="Calibri" w:hAnsi="Calibri"/>
          <w:sz w:val="22"/>
          <w:szCs w:val="22"/>
        </w:rPr>
        <w:t xml:space="preserve"> Federal agencies have already published good practice for small institutions, and the endeavor builds on it rather than duplicating it. HHS's Health Industry Cybersecurity Practices (HICP, 2023 edition) includes a separate Technical Volume 1 for small health care organizations and observes that "small organizations generally do not have dedicated information technology (IT) and security staff" (</w:t>
      </w:r>
      <w:r>
        <w:rPr>
          <w:rFonts w:ascii="Calibri" w:cs="Calibri" w:eastAsia="Calibri" w:hAnsi="Calibri"/>
          <w:b/>
          <w:bCs/>
          <w:color w:val="FF0000"/>
          <w:sz w:val="22"/>
          <w:szCs w:val="22"/>
        </w:rPr>
        <w:t xml:space="preserve">Exhibit RFE-18</w:t>
      </w:r>
      <w:r>
        <w:rPr>
          <w:rFonts w:ascii="Calibri" w:cs="Calibri" w:eastAsia="Calibri" w:hAnsi="Calibri"/>
          <w:sz w:val="22"/>
          <w:szCs w:val="22"/>
        </w:rPr>
        <w:t xml:space="preserve">). CISA's Cross-Sector Cybersecurity Performance Goals ask smaller organizations to prioritize "a limited number of essential actions with high-impact security outcomes" and state that they "are not comprehensive" (</w:t>
      </w:r>
      <w:r>
        <w:rPr>
          <w:rFonts w:ascii="Calibri" w:cs="Calibri" w:eastAsia="Calibri" w:hAnsi="Calibri"/>
          <w:b/>
          <w:bCs/>
          <w:color w:val="FF0000"/>
          <w:sz w:val="22"/>
          <w:szCs w:val="22"/>
        </w:rPr>
        <w:t xml:space="preserve">Exhibit RFE-19</w:t>
      </w:r>
      <w:r>
        <w:rPr>
          <w:rFonts w:ascii="Calibri" w:cs="Calibri" w:eastAsia="Calibri" w:hAnsi="Calibri"/>
          <w:sz w:val="22"/>
          <w:szCs w:val="22"/>
        </w:rPr>
        <w:t xml:space="preserve">). NIST's nineteen Zero Trust builds include implementation and test results, and NIST's own announcement records that "every ZTA is a custom build" and that "it's not always easy to find ZTA experts" (</w:t>
      </w:r>
      <w:r>
        <w:rPr>
          <w:rFonts w:ascii="Calibri" w:cs="Calibri" w:eastAsia="Calibri" w:hAnsi="Calibri"/>
          <w:b/>
          <w:bCs/>
          <w:color w:val="FF0000"/>
          <w:sz w:val="22"/>
          <w:szCs w:val="22"/>
        </w:rPr>
        <w:t xml:space="preserve">Exhibit RFE-20</w:t>
      </w:r>
      <w:r>
        <w:rPr>
          <w:rFonts w:ascii="Calibri" w:cs="Calibri" w:eastAsia="Calibri" w:hAnsi="Calibri"/>
          <w:sz w:val="22"/>
          <w:szCs w:val="22"/>
        </w:rPr>
        <w:t xml:space="preserve">). Table 16 sets out what each provides and the question each leaves open.</w:t>
      </w:r>
    </w:p>
    <w:p>
      <w:pPr>
        <w:keepNext/>
        <w:spacing w:after="80" w:before="160"/>
      </w:pPr>
      <w:r>
        <w:rPr>
          <w:rFonts w:ascii="Calibri" w:cs="Calibri" w:eastAsia="Calibri" w:hAnsi="Calibri"/>
          <w:b/>
          <w:bCs/>
          <w:sz w:val="21"/>
          <w:szCs w:val="21"/>
        </w:rPr>
        <w:t xml:space="preserve">Table 16. Existing federal guidance and what the endeavor adds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2621"/>
        <w:gridCol w:w="2340"/>
        <w:gridCol w:w="2340"/>
      </w:tblGrid>
      <w:tr>
        <w:trPr>
          <w:cantSplit/>
          <w:tblHeader/>
        </w:trPr>
        <w:tc>
          <w:tcPr>
            <w:tcW w:type="dxa" w:w="205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b/>
                <w:bCs/>
                <w:sz w:val="19"/>
                <w:szCs w:val="19"/>
              </w:rPr>
              <w:t xml:space="preserve">Guidance</w:t>
            </w:r>
          </w:p>
        </w:tc>
        <w:tc>
          <w:tcPr>
            <w:tcW w:type="dxa" w:w="262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b/>
                <w:bCs/>
                <w:sz w:val="19"/>
                <w:szCs w:val="19"/>
              </w:rPr>
              <w:t xml:space="preserve">What it provides</w:t>
            </w:r>
          </w:p>
        </w:tc>
        <w:tc>
          <w:tcPr>
            <w:tcW w:type="dxa" w:w="234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b/>
                <w:bCs/>
                <w:sz w:val="19"/>
                <w:szCs w:val="19"/>
              </w:rPr>
              <w:t xml:space="preserve">Question it leaves open</w:t>
            </w:r>
          </w:p>
        </w:tc>
        <w:tc>
          <w:tcPr>
            <w:tcW w:type="dxa" w:w="234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b/>
                <w:bCs/>
                <w:sz w:val="19"/>
                <w:szCs w:val="19"/>
              </w:rPr>
              <w:t xml:space="preserve">What the endeavor measures</w:t>
            </w:r>
          </w:p>
        </w:tc>
      </w:tr>
      <w:tr>
        <w:trPr>
          <w:cantSplit/>
          <w:tblHeader w:val="false"/>
        </w:trPr>
        <w:tc>
          <w:tcPr>
            <w:tcW w:type="dxa" w:w="205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HHS HICP 2023, Technical Volume 1: Cybersecurity Practices for Small Healthcare Organizations</w:t>
            </w:r>
          </w:p>
        </w:tc>
        <w:tc>
          <w:tcPr>
            <w:tcW w:type="dxa" w:w="262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Ten mitigating practices, with sub-practices sized for small organizations, including identity and access management and IT asset management</w:t>
            </w:r>
          </w:p>
        </w:tc>
        <w:tc>
          <w:tcPr>
            <w:tcW w:type="dxa" w:w="234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Which practice to adopt first, with two staff, and what each costs in time and money</w:t>
            </w:r>
          </w:p>
        </w:tc>
        <w:tc>
          <w:tcPr>
            <w:tcW w:type="dxa" w:w="234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Attack paths closed, deployment hours and annual cost for each control, in a critical access hospital model</w:t>
            </w:r>
          </w:p>
        </w:tc>
      </w:tr>
      <w:tr>
        <w:trPr>
          <w:cantSplit/>
          <w:tblHeader w:val="false"/>
        </w:trPr>
        <w:tc>
          <w:tcPr>
            <w:tcW w:type="dxa" w:w="205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CISA Cross-Sector Cybersecurity Performance Goals</w:t>
            </w:r>
          </w:p>
        </w:tc>
        <w:tc>
          <w:tcPr>
            <w:tcW w:type="dxa" w:w="262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A prioritized, voluntary subset of practices for organizations of every size</w:t>
            </w:r>
          </w:p>
        </w:tc>
        <w:tc>
          <w:tcPr>
            <w:tcW w:type="dxa" w:w="234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How much each goal reduces risk in a given institution class, and in what order</w:t>
            </w:r>
          </w:p>
        </w:tc>
        <w:tc>
          <w:tcPr>
            <w:tcW w:type="dxa" w:w="234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Ranked control order per institution class, measured by attack emulation</w:t>
            </w:r>
          </w:p>
        </w:tc>
      </w:tr>
      <w:tr>
        <w:trPr>
          <w:cantSplit/>
          <w:tblHeader w:val="false"/>
        </w:trPr>
        <w:tc>
          <w:tcPr>
            <w:tcW w:type="dxa" w:w="205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NIST SP 1800-35 (June 2025)</w:t>
            </w:r>
          </w:p>
        </w:tc>
        <w:tc>
          <w:tcPr>
            <w:tcW w:type="dxa" w:w="262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Nineteen enterprise builds with implementation and test results</w:t>
            </w:r>
          </w:p>
        </w:tc>
        <w:tc>
          <w:tcPr>
            <w:tcW w:type="dxa" w:w="234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How the same principles perform without an enterprise team or vendor stack</w:t>
            </w:r>
          </w:p>
        </w:tc>
        <w:tc>
          <w:tcPr>
            <w:tcW w:type="dxa" w:w="234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The same laboratory method applied to models of a hospital, bank, small business and county</w:t>
            </w:r>
          </w:p>
        </w:tc>
      </w:tr>
      <w:tr>
        <w:trPr>
          <w:cantSplit/>
          <w:tblHeader w:val="false"/>
        </w:trPr>
        <w:tc>
          <w:tcPr>
            <w:tcW w:type="dxa" w:w="205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HHS Healthcare and Public Health Sector Cybersecurity Performance Goals</w:t>
            </w:r>
          </w:p>
        </w:tc>
        <w:tc>
          <w:tcPr>
            <w:tcW w:type="dxa" w:w="262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Ten essential and ten enhanced goals that "directly address common attack vectors against U.S. domestic hospitals"</w:t>
            </w:r>
          </w:p>
        </w:tc>
        <w:tc>
          <w:tcPr>
            <w:tcW w:type="dxa" w:w="234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Measured effect and cost of each goal in a small hospital, and whether recovered waste can pay for them</w:t>
            </w:r>
          </w:p>
        </w:tc>
        <w:tc>
          <w:tcPr>
            <w:tcW w:type="dxa" w:w="234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Table 17</w:t>
            </w:r>
          </w:p>
        </w:tc>
      </w:tr>
    </w:tbl>
    <w:p>
      <w:pPr>
        <w:spacing w:after="80"/>
      </w:pPr>
    </w:p>
    <w:p>
      <w:pPr>
        <w:spacing w:after="120" w:line="264"/>
        <w:jc w:val="both"/>
      </w:pPr>
      <w:r>
        <w:rPr>
          <w:rFonts w:ascii="Calibri" w:cs="Calibri" w:eastAsia="Calibri" w:hAnsi="Calibri"/>
          <w:b/>
          <w:bCs/>
          <w:sz w:val="22"/>
          <w:szCs w:val="22"/>
        </w:rPr>
        <w:t xml:space="preserve">The experiments, goal by goal.</w:t>
      </w:r>
      <w:r>
        <w:rPr>
          <w:rFonts w:ascii="Calibri" w:cs="Calibri" w:eastAsia="Calibri" w:hAnsi="Calibri"/>
          <w:sz w:val="22"/>
          <w:szCs w:val="22"/>
        </w:rPr>
        <w:t xml:space="preserve"> Table 17 maps the HHS goals that the endeavor tests to the experiment, the measurement and the public output. It shows that each experiment is built to answer a question a small hospital faces when it reads the HHS goals (</w:t>
      </w:r>
      <w:r>
        <w:rPr>
          <w:rFonts w:ascii="Calibri" w:cs="Calibri" w:eastAsia="Calibri" w:hAnsi="Calibri"/>
          <w:b/>
          <w:bCs/>
          <w:color w:val="FF0000"/>
          <w:sz w:val="22"/>
          <w:szCs w:val="22"/>
        </w:rPr>
        <w:t xml:space="preserve">Exhibit RFE-8</w:t>
      </w:r>
      <w:r>
        <w:rPr>
          <w:rFonts w:ascii="Calibri" w:cs="Calibri" w:eastAsia="Calibri" w:hAnsi="Calibri"/>
          <w:sz w:val="22"/>
          <w:szCs w:val="22"/>
        </w:rPr>
        <w:t xml:space="preserve">).</w:t>
      </w:r>
    </w:p>
    <w:p>
      <w:pPr>
        <w:keepNext/>
        <w:spacing w:after="80" w:before="160"/>
      </w:pPr>
      <w:r>
        <w:rPr>
          <w:rFonts w:ascii="Calibri" w:cs="Calibri" w:eastAsia="Calibri" w:hAnsi="Calibri"/>
          <w:b/>
          <w:bCs/>
          <w:sz w:val="21"/>
          <w:szCs w:val="21"/>
        </w:rPr>
        <w:t xml:space="preserve">Table 17. HHS Cybersecurity Performance Goals mapped to the endeavor's experiments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2808"/>
        <w:gridCol w:w="2434"/>
        <w:gridCol w:w="2059"/>
      </w:tblGrid>
      <w:tr>
        <w:trPr>
          <w:cantSplit/>
          <w:tblHeader/>
        </w:trPr>
        <w:tc>
          <w:tcPr>
            <w:tcW w:type="dxa" w:w="205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b/>
                <w:bCs/>
                <w:sz w:val="19"/>
                <w:szCs w:val="19"/>
              </w:rPr>
              <w:t xml:space="preserve">HHS goal</w:t>
            </w:r>
          </w:p>
        </w:tc>
        <w:tc>
          <w:tcPr>
            <w:tcW w:type="dxa" w:w="280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b/>
                <w:bCs/>
                <w:sz w:val="19"/>
                <w:szCs w:val="19"/>
              </w:rPr>
              <w:t xml:space="preserve">Experiment</w:t>
            </w:r>
          </w:p>
        </w:tc>
        <w:tc>
          <w:tcPr>
            <w:tcW w:type="dxa" w:w="243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b/>
                <w:bCs/>
                <w:sz w:val="19"/>
                <w:szCs w:val="19"/>
              </w:rPr>
              <w:t xml:space="preserve">Measurement</w:t>
            </w:r>
          </w:p>
        </w:tc>
        <w:tc>
          <w:tcPr>
            <w:tcW w:type="dxa" w:w="205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b/>
                <w:bCs/>
                <w:sz w:val="19"/>
                <w:szCs w:val="19"/>
              </w:rPr>
              <w:t xml:space="preserve">Public output</w:t>
            </w:r>
          </w:p>
        </w:tc>
      </w:tr>
      <w:tr>
        <w:trPr>
          <w:cantSplit/>
          <w:tblHeader w:val="false"/>
        </w:trPr>
        <w:tc>
          <w:tcPr>
            <w:tcW w:type="dxa" w:w="205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Multifactor Authentication (essential)</w:t>
            </w:r>
          </w:p>
        </w:tc>
        <w:tc>
          <w:tcPr>
            <w:tcW w:type="dxa" w:w="280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Phishing-resistant MFA applied to remote access, administrator and cloud accounts in the hospital model, then the full emulation plan re-run</w:t>
            </w:r>
          </w:p>
        </w:tc>
        <w:tc>
          <w:tcPr>
            <w:tcW w:type="dxa" w:w="243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Attack paths blocked; deployment hours; annual cost</w:t>
            </w:r>
          </w:p>
        </w:tc>
        <w:tc>
          <w:tcPr>
            <w:tcW w:type="dxa" w:w="205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Results dataset; ranked control order</w:t>
            </w:r>
          </w:p>
        </w:tc>
      </w:tr>
      <w:tr>
        <w:trPr>
          <w:cantSplit/>
          <w:tblHeader w:val="false"/>
        </w:trPr>
        <w:tc>
          <w:tcPr>
            <w:tcW w:type="dxa" w:w="205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Revoke Credentials for Departing Workforce Members (essential)</w:t>
            </w:r>
          </w:p>
        </w:tc>
        <w:tc>
          <w:tcPr>
            <w:tcW w:type="dxa" w:w="280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Departure-review workflow against a disable-only baseline after a recorded departure</w:t>
            </w:r>
          </w:p>
        </w:tc>
        <w:tc>
          <w:tcPr>
            <w:tcW w:type="dxa" w:w="243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Identities and resources found and resolved; orphaned assets left by the baseline; cost recovered</w:t>
            </w:r>
          </w:p>
        </w:tc>
        <w:tc>
          <w:tcPr>
            <w:tcW w:type="dxa" w:w="205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Open workflow and audit scripts (Project 3)</w:t>
            </w:r>
          </w:p>
        </w:tc>
      </w:tr>
      <w:tr>
        <w:trPr>
          <w:cantSplit/>
          <w:tblHeader w:val="false"/>
        </w:trPr>
        <w:tc>
          <w:tcPr>
            <w:tcW w:type="dxa" w:w="205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Separate User and Privileged Accounts; Unique Credentials (essential)</w:t>
            </w:r>
          </w:p>
        </w:tc>
        <w:tc>
          <w:tcPr>
            <w:tcW w:type="dxa" w:w="280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Privileged access split and shared accounts removed, one change at a time</w:t>
            </w:r>
          </w:p>
        </w:tc>
        <w:tc>
          <w:tcPr>
            <w:tcW w:type="dxa" w:w="243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Privilege-escalation paths remaining; hours; disruption caused</w:t>
            </w:r>
          </w:p>
        </w:tc>
        <w:tc>
          <w:tcPr>
            <w:tcW w:type="dxa" w:w="205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Control catalogue entries with measured values</w:t>
            </w:r>
          </w:p>
        </w:tc>
      </w:tr>
      <w:tr>
        <w:trPr>
          <w:cantSplit/>
          <w:tblHeader w:val="false"/>
        </w:trPr>
        <w:tc>
          <w:tcPr>
            <w:tcW w:type="dxa" w:w="205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Mitigate Known Vulnerabilities (essential)</w:t>
            </w:r>
          </w:p>
        </w:tc>
        <w:tc>
          <w:tcPr>
            <w:tcW w:type="dxa" w:w="280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Emulation of documented exploitation techniques before and after patching and configuration fixes</w:t>
            </w:r>
          </w:p>
        </w:tc>
        <w:tc>
          <w:tcPr>
            <w:tcW w:type="dxa" w:w="243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Initial-access paths closed</w:t>
            </w:r>
          </w:p>
        </w:tc>
        <w:tc>
          <w:tcPr>
            <w:tcW w:type="dxa" w:w="205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Results dataset</w:t>
            </w:r>
          </w:p>
        </w:tc>
      </w:tr>
      <w:tr>
        <w:trPr>
          <w:cantSplit/>
          <w:tblHeader w:val="false"/>
        </w:trPr>
        <w:tc>
          <w:tcPr>
            <w:tcW w:type="dxa" w:w="205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Asset Inventory; Configuration Management (enhanced)</w:t>
            </w:r>
          </w:p>
        </w:tc>
        <w:tc>
          <w:tcPr>
            <w:tcW w:type="dxa" w:w="280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Discovery and accountability steps of the six-step method; continuous configuration audit</w:t>
            </w:r>
          </w:p>
        </w:tc>
        <w:tc>
          <w:tcPr>
            <w:tcW w:type="dxa" w:w="243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Share of assets inventoried with a validated owner; misconfigurations found and fixed</w:t>
            </w:r>
          </w:p>
        </w:tc>
        <w:tc>
          <w:tcPr>
            <w:tcW w:type="dxa" w:w="205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Audit scripts; accountability record template</w:t>
            </w:r>
          </w:p>
        </w:tc>
      </w:tr>
      <w:tr>
        <w:trPr>
          <w:cantSplit/>
          <w:tblHeader w:val="false"/>
        </w:trPr>
        <w:tc>
          <w:tcPr>
            <w:tcW w:type="dxa" w:w="205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Network Segmentation (enhanced)</w:t>
            </w:r>
          </w:p>
        </w:tc>
        <w:tc>
          <w:tcPr>
            <w:tcW w:type="dxa" w:w="280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Segmentation of clinical, business and cloud zones in the hospital model</w:t>
            </w:r>
          </w:p>
        </w:tc>
        <w:tc>
          <w:tcPr>
            <w:tcW w:type="dxa" w:w="243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Lateral-movement paths remaining</w:t>
            </w:r>
          </w:p>
        </w:tc>
        <w:tc>
          <w:tcPr>
            <w:tcW w:type="dxa" w:w="205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Results dataset; practitioner guide</w:t>
            </w:r>
          </w:p>
        </w:tc>
      </w:tr>
      <w:tr>
        <w:trPr>
          <w:cantSplit/>
          <w:tblHeader w:val="false"/>
        </w:trPr>
        <w:tc>
          <w:tcPr>
            <w:tcW w:type="dxa" w:w="205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Centralized Log Collection; Detect and Respond to Relevant Threats (enhanced)</w:t>
            </w:r>
          </w:p>
        </w:tc>
        <w:tc>
          <w:tcPr>
            <w:tcW w:type="dxa" w:w="280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Detection coverage of each emulated technique</w:t>
            </w:r>
          </w:p>
        </w:tc>
        <w:tc>
          <w:tcPr>
            <w:tcW w:type="dxa" w:w="243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Techniques detected against techniques run</w:t>
            </w:r>
          </w:p>
        </w:tc>
        <w:tc>
          <w:tcPr>
            <w:tcW w:type="dxa" w:w="205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Detection mapping in the catalogue</w:t>
            </w:r>
          </w:p>
        </w:tc>
      </w:tr>
      <w:tr>
        <w:trPr>
          <w:cantSplit/>
          <w:tblHeader w:val="false"/>
        </w:trPr>
        <w:tc>
          <w:tcPr>
            <w:tcW w:type="dxa" w:w="205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Cybersecurity Testing (enhanced)</w:t>
            </w:r>
          </w:p>
        </w:tc>
        <w:tc>
          <w:tcPr>
            <w:tcW w:type="dxa" w:w="280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The released emulation plan itself</w:t>
            </w:r>
          </w:p>
        </w:tc>
        <w:tc>
          <w:tcPr>
            <w:tcW w:type="dxa" w:w="243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Reproducibility by a second party (months 25 to 30)</w:t>
            </w:r>
          </w:p>
        </w:tc>
        <w:tc>
          <w:tcPr>
            <w:tcW w:type="dxa" w:w="205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Open emulation plan any hospital can run</w:t>
            </w:r>
          </w:p>
        </w:tc>
      </w:tr>
    </w:tbl>
    <w:p>
      <w:pPr>
        <w:spacing w:after="80"/>
      </w:pPr>
    </w:p>
    <w:p>
      <w:pPr>
        <w:spacing w:after="120" w:line="264"/>
        <w:jc w:val="both"/>
      </w:pPr>
      <w:r>
        <w:rPr>
          <w:rFonts w:ascii="Calibri" w:cs="Calibri" w:eastAsia="Calibri" w:hAnsi="Calibri"/>
          <w:b/>
          <w:bCs/>
          <w:sz w:val="22"/>
          <w:szCs w:val="22"/>
        </w:rPr>
        <w:t xml:space="preserve">Preliminary results, artifacts, assessment and interest.</w:t>
      </w:r>
      <w:r>
        <w:rPr>
          <w:rFonts w:ascii="Calibri" w:cs="Calibri" w:eastAsia="Calibri" w:hAnsi="Calibri"/>
          <w:sz w:val="22"/>
          <w:szCs w:val="22"/>
        </w:rPr>
        <w:t xml:space="preserve"> Table 18 lists the evidence, specific to this framework, that its outputs will be taken up beyond me.</w:t>
      </w:r>
    </w:p>
    <w:p>
      <w:pPr>
        <w:keepNext/>
        <w:spacing w:after="80" w:before="160"/>
      </w:pPr>
      <w:r>
        <w:rPr>
          <w:rFonts w:ascii="Calibri" w:cs="Calibri" w:eastAsia="Calibri" w:hAnsi="Calibri"/>
          <w:b/>
          <w:bCs/>
          <w:sz w:val="21"/>
          <w:szCs w:val="21"/>
        </w:rPr>
        <w:t xml:space="preserve">Table 18. Evidence that this framework will have impact beyond my own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5054"/>
        <w:gridCol w:w="2060"/>
      </w:tblGrid>
      <w:tr>
        <w:trPr>
          <w:cantSplit/>
          <w:tblHeader/>
        </w:trPr>
        <w:tc>
          <w:tcPr>
            <w:tcW w:type="dxa" w:w="224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b/>
                <w:bCs/>
                <w:sz w:val="19"/>
                <w:szCs w:val="19"/>
              </w:rPr>
              <w:t xml:space="preserve">Kind of evidence</w:t>
            </w:r>
          </w:p>
        </w:tc>
        <w:tc>
          <w:tcPr>
            <w:tcW w:type="dxa" w:w="505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b/>
                <w:bCs/>
                <w:sz w:val="19"/>
                <w:szCs w:val="19"/>
              </w:rPr>
              <w:t xml:space="preserve">What the record shows</w:t>
            </w:r>
          </w:p>
        </w:tc>
        <w:tc>
          <w:tcPr>
            <w:tcW w:type="dxa" w:w="206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b/>
                <w:bCs/>
                <w:sz w:val="19"/>
                <w:szCs w:val="19"/>
              </w:rPr>
              <w:t xml:space="preserve">Exhibit</w:t>
            </w:r>
          </w:p>
        </w:tc>
      </w:tr>
      <w:tr>
        <w:trPr>
          <w:cantSplit/>
          <w:tblHeader w:val="false"/>
        </w:trPr>
        <w:tc>
          <w:tcPr>
            <w:tcW w:type="dxa" w:w="224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Preliminary results</w:t>
            </w:r>
          </w:p>
        </w:tc>
        <w:tc>
          <w:tcPr>
            <w:tcW w:type="dxa" w:w="505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The framework's core controls have already produced measured results in production: a legacy access estate reduced from more than five hundred accounts to one hundred fifty verified users, plain-text protocols eliminated, unauthorized sign-in attempts reduced by an estimated forty-five percent, public exposure remediated on more than two hundred storage buckets, and eight hundred seventy-two redundant licences found, with more than forty thousand dollars in projected annual savings. These are the effects the experiments will now measure at small-institution scale.</w:t>
            </w:r>
          </w:p>
        </w:tc>
        <w:tc>
          <w:tcPr>
            <w:tcW w:type="dxa" w:w="206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Petition </w:t>
            </w:r>
            <w:r>
              <w:rPr>
                <w:rFonts w:ascii="Calibri" w:cs="Calibri" w:eastAsia="Calibri" w:hAnsi="Calibri"/>
                <w:color w:val="FF0000"/>
                <w:sz w:val="19"/>
                <w:szCs w:val="19"/>
              </w:rPr>
              <w:t xml:space="preserve">Exhibits 4, 5, 7, 11 and 18</w:t>
            </w:r>
          </w:p>
        </w:tc>
      </w:tr>
      <w:tr>
        <w:trPr>
          <w:cantSplit/>
          <w:tblHeader w:val="false"/>
        </w:trPr>
        <w:tc>
          <w:tcPr>
            <w:tcW w:type="dxa" w:w="224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Research artifacts</w:t>
            </w:r>
          </w:p>
        </w:tc>
        <w:tc>
          <w:tcPr>
            <w:tcW w:type="dxa" w:w="505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Research Artifacts version 0.1 (October 2026): a draft control catalogue of eighteen controls mapped to the CISA maturity stages, the HHS Cybersecurity Performance Goals and the HHS HICP practices; the accountability record template for non-human identities; the departure-review workflow and its design (Figure 2); the pre-stated attack-emulation protocol for the hospital environment, covering thirteen MITRE ATT&amp;CK techniques; and the departure audit script, with a dated demonstration run on a synthetic hospital estate.</w:t>
            </w:r>
          </w:p>
        </w:tc>
        <w:tc>
          <w:tcPr>
            <w:tcW w:type="dxa" w:w="206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color w:val="FF0000"/>
                <w:sz w:val="19"/>
                <w:szCs w:val="19"/>
              </w:rPr>
              <w:t xml:space="preserve">Exhibit RFE-21</w:t>
            </w:r>
          </w:p>
        </w:tc>
      </w:tr>
      <w:tr>
        <w:trPr>
          <w:cantSplit/>
          <w:tblHeader w:val="false"/>
        </w:trPr>
        <w:tc>
          <w:tcPr>
            <w:tcW w:type="dxa" w:w="224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Independent technical assessment</w:t>
            </w:r>
          </w:p>
        </w:tc>
        <w:tc>
          <w:tcPr>
            <w:tcW w:type="dxa" w:w="505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Mr. Ayoade, Vice President, Data Science, at Truist Financial, with no prior relationship to me, identifies the integration of security and cost governance as what an organization without a dedicated security team most needs. </w:t>
            </w:r>
            <w:r>
              <w:rPr>
                <w:rFonts w:ascii="Calibri" w:cs="Calibri" w:eastAsia="Calibri" w:hAnsi="Calibri"/>
                <w:color w:val="FF0000"/>
                <w:sz w:val="19"/>
                <w:szCs w:val="19"/>
              </w:rPr>
              <w:t xml:space="preserve">[Name, title and institution of the independent researcher who reviewed the framework, and the conclusion of that assessment on the research gap, the method and the value across institutions]</w:t>
            </w:r>
            <w:r>
              <w:rPr>
                <w:rFonts w:ascii="Calibri" w:cs="Calibri" w:eastAsia="Calibri" w:hAnsi="Calibri"/>
                <w:sz w:val="19"/>
                <w:szCs w:val="19"/>
              </w:rPr>
              <w:t xml:space="preserve">.</w:t>
            </w:r>
          </w:p>
        </w:tc>
        <w:tc>
          <w:tcPr>
            <w:tcW w:type="dxa" w:w="206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Petition </w:t>
            </w:r>
            <w:r>
              <w:rPr>
                <w:rFonts w:ascii="Calibri" w:cs="Calibri" w:eastAsia="Calibri" w:hAnsi="Calibri"/>
                <w:color w:val="FF0000"/>
                <w:sz w:val="19"/>
                <w:szCs w:val="19"/>
              </w:rPr>
              <w:t xml:space="preserve">Exhibit 10</w:t>
            </w:r>
            <w:r>
              <w:rPr>
                <w:rFonts w:ascii="Calibri" w:cs="Calibri" w:eastAsia="Calibri" w:hAnsi="Calibri"/>
                <w:sz w:val="19"/>
                <w:szCs w:val="19"/>
              </w:rPr>
              <w:t xml:space="preserve">; </w:t>
            </w:r>
            <w:r>
              <w:rPr>
                <w:rFonts w:ascii="Calibri" w:cs="Calibri" w:eastAsia="Calibri" w:hAnsi="Calibri"/>
                <w:color w:val="FF0000"/>
                <w:sz w:val="19"/>
                <w:szCs w:val="19"/>
              </w:rPr>
              <w:t xml:space="preserve">Exhibit RFE-22</w:t>
            </w:r>
          </w:p>
        </w:tc>
      </w:tr>
      <w:tr>
        <w:trPr>
          <w:cantSplit/>
          <w:tblHeader w:val="false"/>
        </w:trPr>
        <w:tc>
          <w:tcPr>
            <w:tcW w:type="dxa" w:w="224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Interest of intended users</w:t>
            </w:r>
          </w:p>
        </w:tc>
        <w:tc>
          <w:tcPr>
            <w:tcW w:type="dxa" w:w="505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color w:val="FF0000"/>
                <w:sz w:val="19"/>
                <w:szCs w:val="19"/>
              </w:rPr>
              <w:t xml:space="preserve">[Name of each organization (for example a state rural hospital association, a county IT office, a credit union league or a small-business support organization) and which output it states will address the needs of its members]</w:t>
            </w:r>
            <w:r>
              <w:rPr>
                <w:rFonts w:ascii="Calibri" w:cs="Calibri" w:eastAsia="Calibri" w:hAnsi="Calibri"/>
                <w:sz w:val="19"/>
                <w:szCs w:val="19"/>
              </w:rPr>
              <w:t xml:space="preserve">.</w:t>
            </w:r>
          </w:p>
        </w:tc>
        <w:tc>
          <w:tcPr>
            <w:tcW w:type="dxa" w:w="206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color w:val="FF0000"/>
                <w:sz w:val="19"/>
                <w:szCs w:val="19"/>
              </w:rPr>
              <w:t xml:space="preserve">Exhibit RFE-23</w:t>
            </w:r>
          </w:p>
        </w:tc>
      </w:tr>
      <w:tr>
        <w:trPr>
          <w:cantSplit/>
          <w:tblHeader w:val="false"/>
        </w:trPr>
        <w:tc>
          <w:tcPr>
            <w:tcW w:type="dxa" w:w="224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Uptake of my earlier frameworks</w:t>
            </w:r>
          </w:p>
        </w:tc>
        <w:tc>
          <w:tcPr>
            <w:tcW w:type="dxa" w:w="505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Thirty-four independent works in twelve countries cite my published frameworks, and several rely on them as the authority for specific technical statements in network security, firmware security and healthcare risk management (Table 32).</w:t>
            </w:r>
          </w:p>
        </w:tc>
        <w:tc>
          <w:tcPr>
            <w:tcW w:type="dxa" w:w="206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color w:val="FF0000"/>
                <w:sz w:val="19"/>
                <w:szCs w:val="19"/>
              </w:rPr>
              <w:t xml:space="preserve">Exhibits RFE-5 and RFE-6</w:t>
            </w:r>
          </w:p>
        </w:tc>
      </w:tr>
    </w:tbl>
    <w:p>
      <w:pPr>
        <w:spacing w:after="80"/>
      </w:pPr>
    </w:p>
    <w:p>
      <w:pPr>
        <w:keepNext/>
        <w:spacing w:after="60" w:before="120"/>
        <w:jc w:val="center"/>
      </w:pPr>
      <w:r>
        <w:drawing>
          <wp:inline distT="0" distB="0" distL="0" distR="0">
            <wp:extent cx="2857500" cy="3924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857500" cy="3924300"/>
                    </a:xfrm>
                    <a:prstGeom prst="rect">
                      <a:avLst/>
                    </a:prstGeom>
                  </pic:spPr>
                </pic:pic>
              </a:graphicData>
            </a:graphic>
          </wp:inline>
        </w:drawing>
      </w:r>
    </w:p>
    <w:p>
      <w:pPr>
        <w:spacing w:after="160"/>
        <w:jc w:val="center"/>
      </w:pPr>
      <w:r>
        <w:rPr>
          <w:rFonts w:ascii="Calibri" w:cs="Calibri" w:eastAsia="Calibri" w:hAnsi="Calibri"/>
          <w:b/>
          <w:bCs/>
          <w:sz w:val="20"/>
          <w:szCs w:val="20"/>
        </w:rPr>
        <w:t xml:space="preserve">Figure 2. Design of the departure-review workflow (Project 3): assets anchored to a departing person, with owner, cost and recommended action. Design mockup; the working version is an output of Project 3.</w:t>
      </w:r>
    </w:p>
    <w:p>
      <w:pPr>
        <w:spacing w:after="120" w:line="264"/>
        <w:jc w:val="both"/>
      </w:pPr>
      <w:r>
        <w:rPr>
          <w:rFonts w:ascii="Calibri" w:cs="Calibri" w:eastAsia="Calibri" w:hAnsi="Calibri"/>
          <w:b/>
          <w:bCs/>
          <w:sz w:val="22"/>
          <w:szCs w:val="22"/>
        </w:rPr>
        <w:t xml:space="preserve">Whom the outputs can reach.</w:t>
      </w:r>
      <w:r>
        <w:rPr>
          <w:rFonts w:ascii="Calibri" w:cs="Calibri" w:eastAsia="Calibri" w:hAnsi="Calibri"/>
          <w:sz w:val="22"/>
          <w:szCs w:val="22"/>
        </w:rPr>
        <w:t xml:space="preserve"> Table 19 states the intended users, how many there are and, for illustration only, how many institutions a given rate of adoption would represent. The counts come from the cited federal and academic sources. The adoption rates are assumptions, not forecasts, and no dollar benefit is projected: the benefit to each adopter is the quantity the research measures and publishes (attack paths closed, hours and cost of each control, and spending recovered).</w:t>
      </w:r>
    </w:p>
    <w:p>
      <w:pPr>
        <w:keepNext/>
        <w:spacing w:after="80" w:before="160"/>
      </w:pPr>
      <w:r>
        <w:rPr>
          <w:rFonts w:ascii="Calibri" w:cs="Calibri" w:eastAsia="Calibri" w:hAnsi="Calibri"/>
          <w:b/>
          <w:bCs/>
          <w:sz w:val="21"/>
          <w:szCs w:val="21"/>
        </w:rPr>
        <w:t xml:space="preserve">Table 19. Intended users and an illustrative, bounded reach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70"/>
        <w:gridCol w:w="1498"/>
        <w:gridCol w:w="2246"/>
        <w:gridCol w:w="1123"/>
        <w:gridCol w:w="1123"/>
      </w:tblGrid>
      <w:tr>
        <w:trPr>
          <w:cantSplit/>
          <w:tblHeader/>
        </w:trPr>
        <w:tc>
          <w:tcPr>
            <w:tcW w:type="dxa" w:w="337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b/>
                <w:bCs/>
                <w:sz w:val="19"/>
                <w:szCs w:val="19"/>
              </w:rPr>
              <w:t xml:space="preserve">Intended user class</w:t>
            </w:r>
          </w:p>
        </w:tc>
        <w:tc>
          <w:tcPr>
            <w:tcW w:type="dxa" w:w="149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b/>
                <w:bCs/>
                <w:sz w:val="19"/>
                <w:szCs w:val="19"/>
              </w:rPr>
              <w:t xml:space="preserve">Number in the U.S.</w:t>
            </w:r>
          </w:p>
        </w:tc>
        <w:tc>
          <w:tcPr>
            <w:tcW w:type="dxa" w:w="224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b/>
                <w:bCs/>
                <w:sz w:val="19"/>
                <w:szCs w:val="19"/>
              </w:rPr>
              <w:t xml:space="preserve">Source</w:t>
            </w:r>
          </w:p>
        </w:tc>
        <w:tc>
          <w:tcPr>
            <w:tcW w:type="dxa" w:w="112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b/>
                <w:bCs/>
                <w:sz w:val="19"/>
                <w:szCs w:val="19"/>
              </w:rPr>
              <w:t xml:space="preserve">At 1% adoption</w:t>
            </w:r>
          </w:p>
        </w:tc>
        <w:tc>
          <w:tcPr>
            <w:tcW w:type="dxa" w:w="112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b/>
                <w:bCs/>
                <w:sz w:val="19"/>
                <w:szCs w:val="19"/>
              </w:rPr>
              <w:t xml:space="preserve">At 5% adoption</w:t>
            </w:r>
          </w:p>
        </w:tc>
      </w:tr>
      <w:tr>
        <w:trPr>
          <w:cantSplit/>
          <w:tblHeader w:val="false"/>
        </w:trPr>
        <w:tc>
          <w:tcPr>
            <w:tcW w:type="dxa" w:w="337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Critical access hospitals</w:t>
            </w:r>
          </w:p>
        </w:tc>
        <w:tc>
          <w:tcPr>
            <w:tcW w:type="dxa" w:w="149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1,388</w:t>
            </w:r>
          </w:p>
        </w:tc>
        <w:tc>
          <w:tcPr>
            <w:tcW w:type="dxa" w:w="224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Flex Monitoring Team, CAH list, July 2026</w:t>
            </w:r>
          </w:p>
        </w:tc>
        <w:tc>
          <w:tcPr>
            <w:tcW w:type="dxa" w:w="112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14</w:t>
            </w:r>
          </w:p>
        </w:tc>
        <w:tc>
          <w:tcPr>
            <w:tcW w:type="dxa" w:w="112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69</w:t>
            </w:r>
          </w:p>
        </w:tc>
      </w:tr>
      <w:tr>
        <w:trPr>
          <w:cantSplit/>
          <w:tblHeader w:val="false"/>
        </w:trPr>
        <w:tc>
          <w:tcPr>
            <w:tcW w:type="dxa" w:w="337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Federally insured credit unions</w:t>
            </w:r>
          </w:p>
        </w:tc>
        <w:tc>
          <w:tcPr>
            <w:tcW w:type="dxa" w:w="149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4,214</w:t>
            </w:r>
          </w:p>
        </w:tc>
        <w:tc>
          <w:tcPr>
            <w:tcW w:type="dxa" w:w="224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NCUA Quarterly Data Summary, June 30, 2026</w:t>
            </w:r>
          </w:p>
        </w:tc>
        <w:tc>
          <w:tcPr>
            <w:tcW w:type="dxa" w:w="112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42</w:t>
            </w:r>
          </w:p>
        </w:tc>
        <w:tc>
          <w:tcPr>
            <w:tcW w:type="dxa" w:w="112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211</w:t>
            </w:r>
          </w:p>
        </w:tc>
      </w:tr>
      <w:tr>
        <w:trPr>
          <w:cantSplit/>
          <w:tblHeader w:val="false"/>
        </w:trPr>
        <w:tc>
          <w:tcPr>
            <w:tcW w:type="dxa" w:w="337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FDIC-insured banks and savings institutions</w:t>
            </w:r>
          </w:p>
        </w:tc>
        <w:tc>
          <w:tcPr>
            <w:tcW w:type="dxa" w:w="149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4,278</w:t>
            </w:r>
          </w:p>
        </w:tc>
        <w:tc>
          <w:tcPr>
            <w:tcW w:type="dxa" w:w="224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FDIC Quarterly Banking Profile, first quarter 2026</w:t>
            </w:r>
          </w:p>
        </w:tc>
        <w:tc>
          <w:tcPr>
            <w:tcW w:type="dxa" w:w="112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43</w:t>
            </w:r>
          </w:p>
        </w:tc>
        <w:tc>
          <w:tcPr>
            <w:tcW w:type="dxa" w:w="112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214</w:t>
            </w:r>
          </w:p>
        </w:tc>
      </w:tr>
      <w:tr>
        <w:trPr>
          <w:cantSplit/>
          <w:tblHeader w:val="false"/>
        </w:trPr>
        <w:tc>
          <w:tcPr>
            <w:tcW w:type="dxa" w:w="337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Local governments</w:t>
            </w:r>
          </w:p>
        </w:tc>
        <w:tc>
          <w:tcPr>
            <w:tcW w:type="dxa" w:w="149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90,837</w:t>
            </w:r>
          </w:p>
        </w:tc>
        <w:tc>
          <w:tcPr>
            <w:tcW w:type="dxa" w:w="224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U.S. Department of Commerce, 2022 Census of Governments</w:t>
            </w:r>
          </w:p>
        </w:tc>
        <w:tc>
          <w:tcPr>
            <w:tcW w:type="dxa" w:w="112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908</w:t>
            </w:r>
          </w:p>
        </w:tc>
        <w:tc>
          <w:tcPr>
            <w:tcW w:type="dxa" w:w="112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4,542</w:t>
            </w:r>
          </w:p>
        </w:tc>
      </w:tr>
    </w:tbl>
    <w:p>
      <w:pPr>
        <w:spacing w:after="80"/>
      </w:pPr>
    </w:p>
    <w:p>
      <w:pPr>
        <w:spacing w:after="120" w:line="264"/>
        <w:jc w:val="both"/>
      </w:pPr>
      <w:r>
        <w:rPr>
          <w:rFonts w:ascii="Calibri" w:cs="Calibri" w:eastAsia="Calibri" w:hAnsi="Calibri"/>
          <w:sz w:val="22"/>
          <w:szCs w:val="22"/>
        </w:rPr>
        <w:t xml:space="preserve">The sources for Table 19 are at </w:t>
      </w:r>
      <w:r>
        <w:rPr>
          <w:rFonts w:ascii="Calibri" w:cs="Calibri" w:eastAsia="Calibri" w:hAnsi="Calibri"/>
          <w:b/>
          <w:bCs/>
          <w:color w:val="FF0000"/>
          <w:sz w:val="22"/>
          <w:szCs w:val="22"/>
        </w:rPr>
        <w:t xml:space="preserve">Exhibit RFE-24</w:t>
      </w:r>
      <w:r>
        <w:rPr>
          <w:rFonts w:ascii="Calibri" w:cs="Calibri" w:eastAsia="Calibri" w:hAnsi="Calibri"/>
          <w:sz w:val="22"/>
          <w:szCs w:val="22"/>
        </w:rPr>
        <w:t xml:space="preserve">. The outputs reach these users through the open channels in Table 22, at no cost, and uptake is measured by the indicators in that table: downloads, reuse in published work and institutions reporting use.</w:t>
      </w:r>
    </w:p>
    <w:p>
      <w:pPr>
        <w:spacing w:after="120" w:line="264"/>
        <w:jc w:val="both"/>
      </w:pPr>
      <w:r>
        <w:rPr>
          <w:rFonts w:ascii="Calibri" w:cs="Calibri" w:eastAsia="Calibri" w:hAnsi="Calibri"/>
          <w:sz w:val="22"/>
          <w:szCs w:val="22"/>
        </w:rPr>
        <w:t xml:space="preserve">The same point holds across the federal government's own programmes. Table 20 lists 21 current federal programmes, run by CISA, NIST, HHS, FFIEC, NCUA, the FCC, EPA, the FBI and NSF, that address the institutions and the controls this endeavor serves. Each sets a goal, funds an effort or offers a service; none publishes measured, ranked evidence of which controls a small institution should deploy first and how to pay for them. The endeavor's outputs plug into each, and each programme's page is listed so that the adjudicator can open it.</w:t>
      </w:r>
    </w:p>
    <w:p>
      <w:pPr>
        <w:keepNext/>
        <w:spacing w:after="80" w:before="160"/>
      </w:pPr>
      <w:r>
        <w:rPr>
          <w:rFonts w:ascii="Calibri" w:cs="Calibri" w:eastAsia="Calibri" w:hAnsi="Calibri"/>
          <w:b/>
          <w:bCs/>
          <w:sz w:val="21"/>
          <w:szCs w:val="21"/>
        </w:rPr>
        <w:t xml:space="preserve">Table 20. Federal programmes the endeavor's outputs support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
        <w:gridCol w:w="2059"/>
        <w:gridCol w:w="2340"/>
        <w:gridCol w:w="2434"/>
        <w:gridCol w:w="2059"/>
      </w:tblGrid>
      <w:tr>
        <w:trPr>
          <w:cantSplit/>
          <w:tblHeader/>
        </w:trPr>
        <w:tc>
          <w:tcPr>
            <w:tcW w:type="dxa" w:w="46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b/>
                <w:bCs/>
                <w:sz w:val="19"/>
                <w:szCs w:val="19"/>
              </w:rPr>
              <w:t xml:space="preserve">No.</w:t>
            </w:r>
          </w:p>
        </w:tc>
        <w:tc>
          <w:tcPr>
            <w:tcW w:type="dxa" w:w="205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b/>
                <w:bCs/>
                <w:sz w:val="19"/>
                <w:szCs w:val="19"/>
              </w:rPr>
              <w:t xml:space="preserve">Programme (agency)</w:t>
            </w:r>
          </w:p>
        </w:tc>
        <w:tc>
          <w:tcPr>
            <w:tcW w:type="dxa" w:w="234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b/>
                <w:bCs/>
                <w:sz w:val="19"/>
                <w:szCs w:val="19"/>
              </w:rPr>
              <w:t xml:space="preserve">What it does</w:t>
            </w:r>
          </w:p>
        </w:tc>
        <w:tc>
          <w:tcPr>
            <w:tcW w:type="dxa" w:w="243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b/>
                <w:bCs/>
                <w:sz w:val="19"/>
                <w:szCs w:val="19"/>
              </w:rPr>
              <w:t xml:space="preserve">How the endeavor supports it</w:t>
            </w:r>
          </w:p>
        </w:tc>
        <w:tc>
          <w:tcPr>
            <w:tcW w:type="dxa" w:w="205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b/>
                <w:bCs/>
                <w:sz w:val="19"/>
                <w:szCs w:val="19"/>
              </w:rPr>
              <w:t xml:space="preserve">URL</w:t>
            </w:r>
          </w:p>
        </w:tc>
      </w:tr>
      <w:tr>
        <w:trPr>
          <w:cantSplit/>
          <w:tblHeader w:val="false"/>
        </w:trPr>
        <w:tc>
          <w:tcPr>
            <w:tcW w:type="dxa" w:w="46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1</w:t>
            </w:r>
          </w:p>
        </w:tc>
        <w:tc>
          <w:tcPr>
            <w:tcW w:type="dxa" w:w="205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Zero Trust Maturity Model (CISA)</w:t>
            </w:r>
          </w:p>
        </w:tc>
        <w:tc>
          <w:tcPr>
            <w:tcW w:type="dxa" w:w="234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Guides organizations to Zero Trust across five pillars and three cross-cutting capabilities.</w:t>
            </w:r>
          </w:p>
        </w:tc>
        <w:tc>
          <w:tcPr>
            <w:tcW w:type="dxa" w:w="243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The control catalogue maps every control to its stages and adds the sixth pillar.</w:t>
            </w:r>
          </w:p>
        </w:tc>
        <w:tc>
          <w:tcPr>
            <w:tcW w:type="dxa" w:w="205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https://www.cisa.gov/zero-trust-maturity-model</w:t>
            </w:r>
          </w:p>
        </w:tc>
      </w:tr>
      <w:tr>
        <w:trPr>
          <w:cantSplit/>
          <w:tblHeader w:val="false"/>
        </w:trPr>
        <w:tc>
          <w:tcPr>
            <w:tcW w:type="dxa" w:w="46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2</w:t>
            </w:r>
          </w:p>
        </w:tc>
        <w:tc>
          <w:tcPr>
            <w:tcW w:type="dxa" w:w="205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Cross-Sector Cybersecurity Performance Goals (CISA)</w:t>
            </w:r>
          </w:p>
        </w:tc>
        <w:tc>
          <w:tcPr>
            <w:tcW w:type="dxa" w:w="234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Voluntary high-impact practices meant to help small and medium organizations start.</w:t>
            </w:r>
          </w:p>
        </w:tc>
        <w:tc>
          <w:tcPr>
            <w:tcW w:type="dxa" w:w="243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Small-business and county environments are measured against these goals; the ranked order says which to meet first.</w:t>
            </w:r>
          </w:p>
        </w:tc>
        <w:tc>
          <w:tcPr>
            <w:tcW w:type="dxa" w:w="205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https://www.cisa.gov/cross-sector-cybersecurity-performance-goals</w:t>
            </w:r>
          </w:p>
        </w:tc>
      </w:tr>
      <w:tr>
        <w:trPr>
          <w:cantSplit/>
          <w:tblHeader w:val="false"/>
        </w:trPr>
        <w:tc>
          <w:tcPr>
            <w:tcW w:type="dxa" w:w="46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3</w:t>
            </w:r>
          </w:p>
        </w:tc>
        <w:tc>
          <w:tcPr>
            <w:tcW w:type="dxa" w:w="205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Cyber Guidance for Small Businesses (CISA)</w:t>
            </w:r>
          </w:p>
        </w:tc>
        <w:tc>
          <w:tcPr>
            <w:tcW w:type="dxa" w:w="234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CISA guidance for small businesses facing rising ransomware and incidents.</w:t>
            </w:r>
          </w:p>
        </w:tc>
        <w:tc>
          <w:tcPr>
            <w:tcW w:type="dxa" w:w="243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The small-business practitioner guide turns the guidance into a measured, ranked sequence.</w:t>
            </w:r>
          </w:p>
        </w:tc>
        <w:tc>
          <w:tcPr>
            <w:tcW w:type="dxa" w:w="205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https://www.cisa.gov/cyber-guidance-small-businesses</w:t>
            </w:r>
          </w:p>
        </w:tc>
      </w:tr>
      <w:tr>
        <w:trPr>
          <w:cantSplit/>
          <w:tblHeader w:val="false"/>
        </w:trPr>
        <w:tc>
          <w:tcPr>
            <w:tcW w:type="dxa" w:w="46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4</w:t>
            </w:r>
          </w:p>
        </w:tc>
        <w:tc>
          <w:tcPr>
            <w:tcW w:type="dxa" w:w="205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Cyber Hygiene Services (CISA)</w:t>
            </w:r>
          </w:p>
        </w:tc>
        <w:tc>
          <w:tcPr>
            <w:tcW w:type="dxa" w:w="234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Free scanning of internet-facing systems for government and critical-infrastructure organizations.</w:t>
            </w:r>
          </w:p>
        </w:tc>
        <w:tc>
          <w:tcPr>
            <w:tcW w:type="dxa" w:w="243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Scan findings feed the Discover step; the catalogue tells an institution which fix closes the most risk first.</w:t>
            </w:r>
          </w:p>
        </w:tc>
        <w:tc>
          <w:tcPr>
            <w:tcW w:type="dxa" w:w="205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https://www.cisa.gov/cyber-hygiene-services</w:t>
            </w:r>
          </w:p>
        </w:tc>
      </w:tr>
      <w:tr>
        <w:trPr>
          <w:cantSplit/>
          <w:tblHeader w:val="false"/>
        </w:trPr>
        <w:tc>
          <w:tcPr>
            <w:tcW w:type="dxa" w:w="46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5</w:t>
            </w:r>
          </w:p>
        </w:tc>
        <w:tc>
          <w:tcPr>
            <w:tcW w:type="dxa" w:w="205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#StopRansomware (CISA)</w:t>
            </w:r>
          </w:p>
        </w:tc>
        <w:tc>
          <w:tcPr>
            <w:tcW w:type="dxa" w:w="234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Federal ransomware prevention guidance and reporting.</w:t>
            </w:r>
          </w:p>
        </w:tc>
        <w:tc>
          <w:tcPr>
            <w:tcW w:type="dxa" w:w="243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The emulation plan reproduces ransomware entry paths and measures which prevention steps close them at small scale.</w:t>
            </w:r>
          </w:p>
        </w:tc>
        <w:tc>
          <w:tcPr>
            <w:tcW w:type="dxa" w:w="205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https://www.cisa.gov/stopransomware</w:t>
            </w:r>
          </w:p>
        </w:tc>
      </w:tr>
      <w:tr>
        <w:trPr>
          <w:cantSplit/>
          <w:tblHeader w:val="false"/>
        </w:trPr>
        <w:tc>
          <w:tcPr>
            <w:tcW w:type="dxa" w:w="46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6</w:t>
            </w:r>
          </w:p>
        </w:tc>
        <w:tc>
          <w:tcPr>
            <w:tcW w:type="dxa" w:w="205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Secure by Design (CISA)</w:t>
            </w:r>
          </w:p>
        </w:tc>
        <w:tc>
          <w:tcPr>
            <w:tcW w:type="dxa" w:w="234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Asks software makers to ship protections such as MFA on by default.</w:t>
            </w:r>
          </w:p>
        </w:tc>
        <w:tc>
          <w:tcPr>
            <w:tcW w:type="dxa" w:w="243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Measures how much each default protection closes, evidence that buyers can use in what they require of vendors.</w:t>
            </w:r>
          </w:p>
        </w:tc>
        <w:tc>
          <w:tcPr>
            <w:tcW w:type="dxa" w:w="205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https://www.cisa.gov/securebydesign</w:t>
            </w:r>
          </w:p>
        </w:tc>
      </w:tr>
      <w:tr>
        <w:trPr>
          <w:cantSplit/>
          <w:tblHeader w:val="false"/>
        </w:trPr>
        <w:tc>
          <w:tcPr>
            <w:tcW w:type="dxa" w:w="46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7</w:t>
            </w:r>
          </w:p>
        </w:tc>
        <w:tc>
          <w:tcPr>
            <w:tcW w:type="dxa" w:w="205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State and Local Cybersecurity Grant Program (CISA and FEMA)</w:t>
            </w:r>
          </w:p>
        </w:tc>
        <w:tc>
          <w:tcPr>
            <w:tcW w:type="dxa" w:w="234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Funds state, local and territorial cyber risk work; at least 25 percent of funds reach rural areas.</w:t>
            </w:r>
          </w:p>
        </w:tc>
        <w:tc>
          <w:tcPr>
            <w:tcW w:type="dxa" w:w="243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Gives county and municipal recipients a measured, ranked plan to spend grant funds against.</w:t>
            </w:r>
          </w:p>
        </w:tc>
        <w:tc>
          <w:tcPr>
            <w:tcW w:type="dxa" w:w="205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https://www.cisa.gov/state-and-local-cybersecurity-grant-program</w:t>
            </w:r>
          </w:p>
        </w:tc>
      </w:tr>
      <w:tr>
        <w:trPr>
          <w:cantSplit/>
          <w:tblHeader w:val="false"/>
        </w:trPr>
        <w:tc>
          <w:tcPr>
            <w:tcW w:type="dxa" w:w="46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8</w:t>
            </w:r>
          </w:p>
        </w:tc>
        <w:tc>
          <w:tcPr>
            <w:tcW w:type="dxa" w:w="205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Tribal Cybersecurity Grant Program (CISA and FEMA)</w:t>
            </w:r>
          </w:p>
        </w:tc>
        <w:tc>
          <w:tcPr>
            <w:tcW w:type="dxa" w:w="234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Helps tribal governments address cyber threats.</w:t>
            </w:r>
          </w:p>
        </w:tc>
        <w:tc>
          <w:tcPr>
            <w:tcW w:type="dxa" w:w="243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The county reference environment and plan apply to tribal governments with the same staffing limits.</w:t>
            </w:r>
          </w:p>
        </w:tc>
        <w:tc>
          <w:tcPr>
            <w:tcW w:type="dxa" w:w="205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https://www.cisa.gov/cybergrants/tcgp</w:t>
            </w:r>
          </w:p>
        </w:tc>
      </w:tr>
      <w:tr>
        <w:trPr>
          <w:cantSplit/>
          <w:tblHeader w:val="false"/>
        </w:trPr>
        <w:tc>
          <w:tcPr>
            <w:tcW w:type="dxa" w:w="46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9</w:t>
            </w:r>
          </w:p>
        </w:tc>
        <w:tc>
          <w:tcPr>
            <w:tcW w:type="dxa" w:w="205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Implementing a Zero Trust Architecture, SP 1800-35 (NIST NCCoE)</w:t>
            </w:r>
          </w:p>
        </w:tc>
        <w:tc>
          <w:tcPr>
            <w:tcW w:type="dxa" w:w="234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Example Zero Trust builds produced with twenty-four vendors.</w:t>
            </w:r>
          </w:p>
        </w:tc>
        <w:tc>
          <w:tcPr>
            <w:tcW w:type="dxa" w:w="243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Extends the enterprise example builds to environments sized to small institutions.</w:t>
            </w:r>
          </w:p>
        </w:tc>
        <w:tc>
          <w:tcPr>
            <w:tcW w:type="dxa" w:w="205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https://www.nccoe.nist.gov/projects/implementing-zero-trust-architecture</w:t>
            </w:r>
          </w:p>
        </w:tc>
      </w:tr>
      <w:tr>
        <w:trPr>
          <w:cantSplit/>
          <w:tblHeader w:val="false"/>
        </w:trPr>
        <w:tc>
          <w:tcPr>
            <w:tcW w:type="dxa" w:w="46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10</w:t>
            </w:r>
          </w:p>
        </w:tc>
        <w:tc>
          <w:tcPr>
            <w:tcW w:type="dxa" w:w="205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Cybersecurity Framework 2.0 (NIST)</w:t>
            </w:r>
          </w:p>
        </w:tc>
        <w:tc>
          <w:tcPr>
            <w:tcW w:type="dxa" w:w="234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Framework for organizations of all kinds to reduce cyber risk.</w:t>
            </w:r>
          </w:p>
        </w:tc>
        <w:tc>
          <w:tcPr>
            <w:tcW w:type="dxa" w:w="243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Every catalogue control is mapped to a CSF function; the sixth pillar sits within its Govern function.</w:t>
            </w:r>
          </w:p>
        </w:tc>
        <w:tc>
          <w:tcPr>
            <w:tcW w:type="dxa" w:w="205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https://www.nist.gov/cyberframework</w:t>
            </w:r>
          </w:p>
        </w:tc>
      </w:tr>
      <w:tr>
        <w:trPr>
          <w:cantSplit/>
          <w:tblHeader w:val="false"/>
        </w:trPr>
        <w:tc>
          <w:tcPr>
            <w:tcW w:type="dxa" w:w="46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11</w:t>
            </w:r>
          </w:p>
        </w:tc>
        <w:tc>
          <w:tcPr>
            <w:tcW w:type="dxa" w:w="205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Small Business Cybersecurity Corner (NIST)</w:t>
            </w:r>
          </w:p>
        </w:tc>
        <w:tc>
          <w:tcPr>
            <w:tcW w:type="dxa" w:w="234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Guidance, training and resources for small businesses.</w:t>
            </w:r>
          </w:p>
        </w:tc>
        <w:tc>
          <w:tcPr>
            <w:tcW w:type="dxa" w:w="243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Adds measured results and open audit scripts small businesses can run themselves.</w:t>
            </w:r>
          </w:p>
        </w:tc>
        <w:tc>
          <w:tcPr>
            <w:tcW w:type="dxa" w:w="205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https://www.nist.gov/itl/smallbusinesscyber</w:t>
            </w:r>
          </w:p>
        </w:tc>
      </w:tr>
      <w:tr>
        <w:trPr>
          <w:cantSplit/>
          <w:tblHeader w:val="false"/>
        </w:trPr>
        <w:tc>
          <w:tcPr>
            <w:tcW w:type="dxa" w:w="46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12</w:t>
            </w:r>
          </w:p>
        </w:tc>
        <w:tc>
          <w:tcPr>
            <w:tcW w:type="dxa" w:w="205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NICE, National Initiative for Cybersecurity Education (NIST)</w:t>
            </w:r>
          </w:p>
        </w:tc>
        <w:tc>
          <w:tcPr>
            <w:tcW w:type="dxa" w:w="234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Strengthens cybersecurity education, training and workforce development.</w:t>
            </w:r>
          </w:p>
        </w:tc>
        <w:tc>
          <w:tcPr>
            <w:tcW w:type="dxa" w:w="243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Open tutorials train generalist IT staff to do specialist-grade work.</w:t>
            </w:r>
          </w:p>
        </w:tc>
        <w:tc>
          <w:tcPr>
            <w:tcW w:type="dxa" w:w="205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https://www.nist.gov/itl/applied-cybersecurity/nice</w:t>
            </w:r>
          </w:p>
        </w:tc>
      </w:tr>
      <w:tr>
        <w:trPr>
          <w:cantSplit/>
          <w:tblHeader w:val="false"/>
        </w:trPr>
        <w:tc>
          <w:tcPr>
            <w:tcW w:type="dxa" w:w="46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13</w:t>
            </w:r>
          </w:p>
        </w:tc>
        <w:tc>
          <w:tcPr>
            <w:tcW w:type="dxa" w:w="205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405(d) Program and Health Industry Cybersecurity Practices (HHS)</w:t>
            </w:r>
          </w:p>
        </w:tc>
        <w:tc>
          <w:tcPr>
            <w:tcW w:type="dxa" w:w="234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Aligns health care cybersecurity practice with the industry.</w:t>
            </w:r>
          </w:p>
        </w:tc>
        <w:tc>
          <w:tcPr>
            <w:tcW w:type="dxa" w:w="243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The hospital environment is mapped to the practices for small organizations and measured against them.</w:t>
            </w:r>
          </w:p>
        </w:tc>
        <w:tc>
          <w:tcPr>
            <w:tcW w:type="dxa" w:w="205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https://405d.hhs.gov/</w:t>
            </w:r>
          </w:p>
        </w:tc>
      </w:tr>
      <w:tr>
        <w:trPr>
          <w:cantSplit/>
          <w:tblHeader w:val="false"/>
        </w:trPr>
        <w:tc>
          <w:tcPr>
            <w:tcW w:type="dxa" w:w="46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14</w:t>
            </w:r>
          </w:p>
        </w:tc>
        <w:tc>
          <w:tcPr>
            <w:tcW w:type="dxa" w:w="205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Healthcare and Public Health Cybersecurity Performance Goals (HHS)</w:t>
            </w:r>
          </w:p>
        </w:tc>
        <w:tc>
          <w:tcPr>
            <w:tcW w:type="dxa" w:w="234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Essential and Enhanced goals aimed at common attacks on U.S. hospitals.</w:t>
            </w:r>
          </w:p>
        </w:tc>
        <w:tc>
          <w:tcPr>
            <w:tcW w:type="dxa" w:w="243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Measures which Essential goals close which attack paths in a 25-bed hospital, and in what order.</w:t>
            </w:r>
          </w:p>
        </w:tc>
        <w:tc>
          <w:tcPr>
            <w:tcW w:type="dxa" w:w="205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https://hhscyber.hhs.gov/cybersecurity-performance-goals.html</w:t>
            </w:r>
          </w:p>
        </w:tc>
      </w:tr>
      <w:tr>
        <w:trPr>
          <w:cantSplit/>
          <w:tblHeader w:val="false"/>
        </w:trPr>
        <w:tc>
          <w:tcPr>
            <w:tcW w:type="dxa" w:w="46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15</w:t>
            </w:r>
          </w:p>
        </w:tc>
        <w:tc>
          <w:tcPr>
            <w:tcW w:type="dxa" w:w="205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Cybersecurity Awareness (FFIEC)</w:t>
            </w:r>
          </w:p>
        </w:tc>
        <w:tc>
          <w:tcPr>
            <w:tcW w:type="dxa" w:w="234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Alerts banks and their key third-party providers to cyber risk.</w:t>
            </w:r>
          </w:p>
        </w:tc>
        <w:tc>
          <w:tcPr>
            <w:tcW w:type="dxa" w:w="243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The community bank environment is mapped to the expectations of bank examiners.</w:t>
            </w:r>
          </w:p>
        </w:tc>
        <w:tc>
          <w:tcPr>
            <w:tcW w:type="dxa" w:w="205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https://www.ffiec.gov/resources/cybersecurity-awareness</w:t>
            </w:r>
          </w:p>
        </w:tc>
      </w:tr>
      <w:tr>
        <w:trPr>
          <w:cantSplit/>
          <w:tblHeader w:val="false"/>
        </w:trPr>
        <w:tc>
          <w:tcPr>
            <w:tcW w:type="dxa" w:w="46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16</w:t>
            </w:r>
          </w:p>
        </w:tc>
        <w:tc>
          <w:tcPr>
            <w:tcW w:type="dxa" w:w="205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Cybersecurity Resources (NCUA)</w:t>
            </w:r>
          </w:p>
        </w:tc>
        <w:tc>
          <w:tcPr>
            <w:tcW w:type="dxa" w:w="234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Credit union cybersecurity resources and incident reporting.</w:t>
            </w:r>
          </w:p>
        </w:tc>
        <w:tc>
          <w:tcPr>
            <w:tcW w:type="dxa" w:w="243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The same bank-class results serve credit unions.</w:t>
            </w:r>
          </w:p>
        </w:tc>
        <w:tc>
          <w:tcPr>
            <w:tcW w:type="dxa" w:w="205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https://ncua.gov/regulation-supervision/regulatory-compliance-resources/cybersecurity-resources</w:t>
            </w:r>
          </w:p>
        </w:tc>
      </w:tr>
      <w:tr>
        <w:trPr>
          <w:cantSplit/>
          <w:tblHeader w:val="false"/>
        </w:trPr>
        <w:tc>
          <w:tcPr>
            <w:tcW w:type="dxa" w:w="46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17</w:t>
            </w:r>
          </w:p>
        </w:tc>
        <w:tc>
          <w:tcPr>
            <w:tcW w:type="dxa" w:w="205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Schools and Libraries Cybersecurity Pilot Program (FCC, administered by USAC)</w:t>
            </w:r>
          </w:p>
        </w:tc>
        <w:tc>
          <w:tcPr>
            <w:tcW w:type="dxa" w:w="234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Three-year pilot of up to $200 million for school and library cybersecurity.</w:t>
            </w:r>
          </w:p>
        </w:tc>
        <w:tc>
          <w:tcPr>
            <w:tcW w:type="dxa" w:w="243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School districts are the first new institution class after month 36 (Part IV.K).</w:t>
            </w:r>
          </w:p>
        </w:tc>
        <w:tc>
          <w:tcPr>
            <w:tcW w:type="dxa" w:w="205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https://www.usac.org/e-rate/cybersecurity-pilot-program/</w:t>
            </w:r>
          </w:p>
        </w:tc>
      </w:tr>
      <w:tr>
        <w:trPr>
          <w:cantSplit/>
          <w:tblHeader w:val="false"/>
        </w:trPr>
        <w:tc>
          <w:tcPr>
            <w:tcW w:type="dxa" w:w="46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18</w:t>
            </w:r>
          </w:p>
        </w:tc>
        <w:tc>
          <w:tcPr>
            <w:tcW w:type="dxa" w:w="205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Cybersecurity for the Water Sector (EPA)</w:t>
            </w:r>
          </w:p>
        </w:tc>
        <w:tc>
          <w:tcPr>
            <w:tcW w:type="dxa" w:w="234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The EPA water and wastewater cybersecurity programme.</w:t>
            </w:r>
          </w:p>
        </w:tc>
        <w:tc>
          <w:tcPr>
            <w:tcW w:type="dxa" w:w="243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Small water utilities are the second new institution class after month 36 (Part IV.K).</w:t>
            </w:r>
          </w:p>
        </w:tc>
        <w:tc>
          <w:tcPr>
            <w:tcW w:type="dxa" w:w="205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https://www.epa.gov/cyberwater/epa-cybersecurity-water-sector</w:t>
            </w:r>
          </w:p>
        </w:tc>
      </w:tr>
      <w:tr>
        <w:trPr>
          <w:cantSplit/>
          <w:tblHeader w:val="false"/>
        </w:trPr>
        <w:tc>
          <w:tcPr>
            <w:tcW w:type="dxa" w:w="46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19</w:t>
            </w:r>
          </w:p>
        </w:tc>
        <w:tc>
          <w:tcPr>
            <w:tcW w:type="dxa" w:w="205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MS-ISAC (Center for Internet Security)</w:t>
            </w:r>
          </w:p>
        </w:tc>
        <w:tc>
          <w:tcPr>
            <w:tcW w:type="dxa" w:w="234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Cybersecurity resource for state, local, tribal and territorial governments.</w:t>
            </w:r>
          </w:p>
        </w:tc>
        <w:tc>
          <w:tcPr>
            <w:tcW w:type="dxa" w:w="243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County results and audit scripts are usable by its member governments.</w:t>
            </w:r>
          </w:p>
        </w:tc>
        <w:tc>
          <w:tcPr>
            <w:tcW w:type="dxa" w:w="205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https://www.cisecurity.org/ms-isac</w:t>
            </w:r>
          </w:p>
        </w:tc>
      </w:tr>
      <w:tr>
        <w:trPr>
          <w:cantSplit/>
          <w:tblHeader w:val="false"/>
        </w:trPr>
        <w:tc>
          <w:tcPr>
            <w:tcW w:type="dxa" w:w="46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20</w:t>
            </w:r>
          </w:p>
        </w:tc>
        <w:tc>
          <w:tcPr>
            <w:tcW w:type="dxa" w:w="205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Internet Crime Complaint Center (FBI)</w:t>
            </w:r>
          </w:p>
        </w:tc>
        <w:tc>
          <w:tcPr>
            <w:tcW w:type="dxa" w:w="234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The central FBI hub for reporting cyber-enabled crime.</w:t>
            </w:r>
          </w:p>
        </w:tc>
        <w:tc>
          <w:tcPr>
            <w:tcW w:type="dxa" w:w="243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Its annual reports inform which credential and fraud techniques the emulation plan reproduces.</w:t>
            </w:r>
          </w:p>
        </w:tc>
        <w:tc>
          <w:tcPr>
            <w:tcW w:type="dxa" w:w="205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https://www.ic3.gov/</w:t>
            </w:r>
          </w:p>
        </w:tc>
      </w:tr>
      <w:tr>
        <w:trPr>
          <w:cantSplit/>
          <w:tblHeader w:val="false"/>
        </w:trPr>
        <w:tc>
          <w:tcPr>
            <w:tcW w:type="dxa" w:w="46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21</w:t>
            </w:r>
          </w:p>
        </w:tc>
        <w:tc>
          <w:tcPr>
            <w:tcW w:type="dxa" w:w="205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Security, Privacy, and Trust in Cyberspace, SaTC 2.0 (NSF)</w:t>
            </w:r>
          </w:p>
        </w:tc>
        <w:tc>
          <w:tcPr>
            <w:tcW w:type="dxa" w:w="234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Funds research that builds trust in cyber systems.</w:t>
            </w:r>
          </w:p>
        </w:tc>
        <w:tc>
          <w:tcPr>
            <w:tcW w:type="dxa" w:w="243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The open results and data of the endeavor are the preliminary results such proposals require (Part IV.D).</w:t>
            </w:r>
          </w:p>
        </w:tc>
        <w:tc>
          <w:tcPr>
            <w:tcW w:type="dxa" w:w="205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https://www.nsf.gov/funding/opportunities/satc-20-security-privacy-trust-cyberspace/nsf25-515/solicitation</w:t>
            </w:r>
          </w:p>
        </w:tc>
      </w:tr>
    </w:tbl>
    <w:p>
      <w:pPr>
        <w:spacing w:after="80"/>
      </w:pPr>
    </w:p>
    <w:p>
      <w:pPr>
        <w:pStyle w:val="Heading2"/>
        <w:keepNext/>
        <w:spacing w:after="100" w:before="200"/>
      </w:pPr>
      <w:r>
        <w:rPr>
          <w:rFonts w:ascii="Calibri" w:cs="Calibri" w:eastAsia="Calibri" w:hAnsi="Calibri"/>
          <w:b/>
          <w:bCs/>
          <w:color w:val="1F3864"/>
          <w:sz w:val="23"/>
          <w:szCs w:val="23"/>
        </w:rPr>
        <w:t xml:space="preserve">C. Impact beyond a single employer, organization or client</w:t>
      </w:r>
    </w:p>
    <w:p>
      <w:pPr>
        <w:spacing w:after="120" w:line="264"/>
        <w:jc w:val="both"/>
      </w:pPr>
      <w:r>
        <w:rPr>
          <w:rFonts w:ascii="Calibri" w:cs="Calibri" w:eastAsia="Calibri" w:hAnsi="Calibri"/>
          <w:sz w:val="22"/>
          <w:szCs w:val="22"/>
        </w:rPr>
        <w:t xml:space="preserve">The Notice finds that the benefit "appears to be localized to the beneficiary and would be of most benefit to her current or future employer(s) and/or clients." The specified endeavor is of the opposite kind, for three reasons.</w:t>
      </w:r>
    </w:p>
    <w:p>
      <w:pPr>
        <w:spacing w:after="120" w:line="264"/>
        <w:jc w:val="both"/>
      </w:pPr>
      <w:r>
        <w:rPr>
          <w:rFonts w:ascii="Calibri" w:cs="Calibri" w:eastAsia="Calibri" w:hAnsi="Calibri"/>
          <w:b/>
          <w:bCs/>
          <w:sz w:val="22"/>
          <w:szCs w:val="22"/>
        </w:rPr>
        <w:t xml:space="preserve">Ownership.</w:t>
      </w:r>
      <w:r>
        <w:rPr>
          <w:rFonts w:ascii="Calibri" w:cs="Calibri" w:eastAsia="Calibri" w:hAnsi="Calibri"/>
          <w:sz w:val="22"/>
          <w:szCs w:val="22"/>
        </w:rPr>
        <w:t xml:space="preserve"> The outputs belong to the public record. Papers are published open access, and environments, results and scripts are released under open licences with persistent identifiers. No employer or client holds them.</w:t>
      </w:r>
    </w:p>
    <w:p>
      <w:pPr>
        <w:spacing w:after="120" w:line="264"/>
        <w:jc w:val="both"/>
      </w:pPr>
      <w:r>
        <w:rPr>
          <w:rFonts w:ascii="Calibri" w:cs="Calibri" w:eastAsia="Calibri" w:hAnsi="Calibri"/>
          <w:b/>
          <w:bCs/>
          <w:sz w:val="22"/>
          <w:szCs w:val="22"/>
        </w:rPr>
        <w:t xml:space="preserve">Execution.</w:t>
      </w:r>
      <w:r>
        <w:rPr>
          <w:rFonts w:ascii="Calibri" w:cs="Calibri" w:eastAsia="Calibri" w:hAnsi="Calibri"/>
          <w:sz w:val="22"/>
          <w:szCs w:val="22"/>
        </w:rPr>
        <w:t xml:space="preserve"> The research has no client. It is performed in environments I build and own, so its results are produced for the field from the start, not adapted from work done for a customer. No employer has any role in it (Part III.B).</w:t>
      </w:r>
    </w:p>
    <w:p>
      <w:pPr>
        <w:spacing w:after="120" w:line="264"/>
        <w:jc w:val="both"/>
      </w:pPr>
      <w:r>
        <w:rPr>
          <w:rFonts w:ascii="Calibri" w:cs="Calibri" w:eastAsia="Calibri" w:hAnsi="Calibri"/>
          <w:b/>
          <w:bCs/>
          <w:sz w:val="22"/>
          <w:szCs w:val="22"/>
        </w:rPr>
        <w:t xml:space="preserve">Benefit.</w:t>
      </w:r>
      <w:r>
        <w:rPr>
          <w:rFonts w:ascii="Calibri" w:cs="Calibri" w:eastAsia="Calibri" w:hAnsi="Calibri"/>
          <w:sz w:val="22"/>
          <w:szCs w:val="22"/>
        </w:rPr>
        <w:t xml:space="preserve"> The beneficiaries are classes of institution, not named clients. Table 21 identifies them.</w:t>
      </w:r>
    </w:p>
    <w:p>
      <w:pPr>
        <w:keepNext/>
        <w:spacing w:after="80" w:before="160"/>
      </w:pPr>
      <w:r>
        <w:rPr>
          <w:rFonts w:ascii="Calibri" w:cs="Calibri" w:eastAsia="Calibri" w:hAnsi="Calibri"/>
          <w:b/>
          <w:bCs/>
          <w:sz w:val="21"/>
          <w:szCs w:val="21"/>
        </w:rPr>
        <w:t xml:space="preserve">Table 21. Who uses the results, and how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3744"/>
        <w:gridCol w:w="2808"/>
      </w:tblGrid>
      <w:tr>
        <w:trPr>
          <w:cantSplit/>
          <w:tblHeader/>
        </w:trPr>
        <w:tc>
          <w:tcPr>
            <w:tcW w:type="dxa" w:w="280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b/>
                <w:bCs/>
                <w:sz w:val="19"/>
                <w:szCs w:val="19"/>
              </w:rPr>
              <w:t xml:space="preserve">User</w:t>
            </w:r>
          </w:p>
        </w:tc>
        <w:tc>
          <w:tcPr>
            <w:tcW w:type="dxa" w:w="374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b/>
                <w:bCs/>
                <w:sz w:val="19"/>
                <w:szCs w:val="19"/>
              </w:rPr>
              <w:t xml:space="preserve">How the results are used</w:t>
            </w:r>
          </w:p>
        </w:tc>
        <w:tc>
          <w:tcPr>
            <w:tcW w:type="dxa" w:w="280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b/>
                <w:bCs/>
                <w:sz w:val="19"/>
                <w:szCs w:val="19"/>
              </w:rPr>
              <w:t xml:space="preserve">Output used</w:t>
            </w:r>
          </w:p>
        </w:tc>
      </w:tr>
      <w:tr>
        <w:trPr>
          <w:cantSplit/>
          <w:tblHeader w:val="false"/>
        </w:trPr>
        <w:tc>
          <w:tcPr>
            <w:tcW w:type="dxa" w:w="280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Critical access and rural hospitals</w:t>
            </w:r>
          </w:p>
        </w:tc>
        <w:tc>
          <w:tcPr>
            <w:tcW w:type="dxa" w:w="374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Run the audit scripts on their own estate; follow the measured control order; show regulators a plan mapped to HHS goals and the HIPAA Security Rule.</w:t>
            </w:r>
          </w:p>
        </w:tc>
        <w:tc>
          <w:tcPr>
            <w:tcW w:type="dxa" w:w="280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Projects 1 to 3</w:t>
            </w:r>
          </w:p>
        </w:tc>
      </w:tr>
      <w:tr>
        <w:trPr>
          <w:cantSplit/>
          <w:tblHeader w:val="false"/>
        </w:trPr>
        <w:tc>
          <w:tcPr>
            <w:tcW w:type="dxa" w:w="280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Community banks and credit unions</w:t>
            </w:r>
          </w:p>
        </w:tc>
        <w:tc>
          <w:tcPr>
            <w:tcW w:type="dxa" w:w="374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Map controls to the Safeguards Rule and FFIEC expectations; prioritize identity controls by measured value.</w:t>
            </w:r>
          </w:p>
        </w:tc>
        <w:tc>
          <w:tcPr>
            <w:tcW w:type="dxa" w:w="280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Control catalogue; results</w:t>
            </w:r>
          </w:p>
        </w:tc>
      </w:tr>
      <w:tr>
        <w:trPr>
          <w:cantSplit/>
          <w:tblHeader w:val="false"/>
        </w:trPr>
        <w:tc>
          <w:tcPr>
            <w:tcW w:type="dxa" w:w="280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Small and mid-sized businesses</w:t>
            </w:r>
          </w:p>
        </w:tc>
        <w:tc>
          <w:tcPr>
            <w:tcW w:type="dxa" w:w="374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Apply the first five ranked controls; recover licence waste.</w:t>
            </w:r>
          </w:p>
        </w:tc>
        <w:tc>
          <w:tcPr>
            <w:tcW w:type="dxa" w:w="280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Practitioner guide; audit scripts</w:t>
            </w:r>
          </w:p>
        </w:tc>
      </w:tr>
      <w:tr>
        <w:trPr>
          <w:cantSplit/>
          <w:tblHeader w:val="false"/>
        </w:trPr>
        <w:tc>
          <w:tcPr>
            <w:tcW w:type="dxa" w:w="280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County and municipal IT offices</w:t>
            </w:r>
          </w:p>
        </w:tc>
        <w:tc>
          <w:tcPr>
            <w:tcW w:type="dxa" w:w="374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Plan grant-funded work in measured order.</w:t>
            </w:r>
          </w:p>
        </w:tc>
        <w:tc>
          <w:tcPr>
            <w:tcW w:type="dxa" w:w="280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Control catalogue; results</w:t>
            </w:r>
          </w:p>
        </w:tc>
      </w:tr>
      <w:tr>
        <w:trPr>
          <w:cantSplit/>
          <w:tblHeader w:val="false"/>
        </w:trPr>
        <w:tc>
          <w:tcPr>
            <w:tcW w:type="dxa" w:w="280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Managed service providers serving these institutions</w:t>
            </w:r>
          </w:p>
        </w:tc>
        <w:tc>
          <w:tcPr>
            <w:tcW w:type="dxa" w:w="374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Apply one tested order across many small clients.</w:t>
            </w:r>
          </w:p>
        </w:tc>
        <w:tc>
          <w:tcPr>
            <w:tcW w:type="dxa" w:w="280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Environments; results</w:t>
            </w:r>
          </w:p>
        </w:tc>
      </w:tr>
      <w:tr>
        <w:trPr>
          <w:cantSplit/>
          <w:tblHeader w:val="false"/>
        </w:trPr>
        <w:tc>
          <w:tcPr>
            <w:tcW w:type="dxa" w:w="280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Regulators, examiners and cyber insurers</w:t>
            </w:r>
          </w:p>
        </w:tc>
        <w:tc>
          <w:tcPr>
            <w:tcW w:type="dxa" w:w="374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Judge whether a small institution's plan is reasonable against published measurements.</w:t>
            </w:r>
          </w:p>
        </w:tc>
        <w:tc>
          <w:tcPr>
            <w:tcW w:type="dxa" w:w="280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Results datasets; papers</w:t>
            </w:r>
          </w:p>
        </w:tc>
      </w:tr>
      <w:tr>
        <w:trPr>
          <w:cantSplit/>
          <w:tblHeader w:val="false"/>
        </w:trPr>
        <w:tc>
          <w:tcPr>
            <w:tcW w:type="dxa" w:w="280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Researchers and students</w:t>
            </w:r>
          </w:p>
        </w:tc>
        <w:tc>
          <w:tcPr>
            <w:tcW w:type="dxa" w:w="374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Rebuild, rerun and extend every experiment.</w:t>
            </w:r>
          </w:p>
        </w:tc>
        <w:tc>
          <w:tcPr>
            <w:tcW w:type="dxa" w:w="280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All code and data</w:t>
            </w:r>
          </w:p>
        </w:tc>
      </w:tr>
    </w:tbl>
    <w:p>
      <w:pPr>
        <w:spacing w:after="80"/>
      </w:pPr>
    </w:p>
    <w:p>
      <w:pPr>
        <w:pStyle w:val="Heading2"/>
        <w:keepNext/>
        <w:spacing w:after="100" w:before="200"/>
      </w:pPr>
      <w:r>
        <w:rPr>
          <w:rFonts w:ascii="Calibri" w:cs="Calibri" w:eastAsia="Calibri" w:hAnsi="Calibri"/>
          <w:b/>
          <w:bCs/>
          <w:color w:val="1F3864"/>
          <w:sz w:val="23"/>
          <w:szCs w:val="23"/>
        </w:rPr>
        <w:t xml:space="preserve">D. How knowledge will be shared and disseminated</w:t>
      </w:r>
    </w:p>
    <w:p>
      <w:pPr>
        <w:spacing w:after="120" w:line="264"/>
        <w:jc w:val="both"/>
      </w:pPr>
      <w:r>
        <w:rPr>
          <w:rFonts w:ascii="Calibri" w:cs="Calibri" w:eastAsia="Calibri" w:hAnsi="Calibri"/>
          <w:sz w:val="22"/>
          <w:szCs w:val="22"/>
        </w:rPr>
        <w:t xml:space="preserve">Table 22 lists the dissemination channels. Two rules govern them all: every output is openly accessible without a paywall, and every output carries a persistent identifier so that a result used years later can be traced to the exact environment and data that produced it.</w:t>
      </w:r>
    </w:p>
    <w:p>
      <w:pPr>
        <w:keepNext/>
        <w:spacing w:after="80" w:before="160"/>
      </w:pPr>
      <w:r>
        <w:rPr>
          <w:rFonts w:ascii="Calibri" w:cs="Calibri" w:eastAsia="Calibri" w:hAnsi="Calibri"/>
          <w:b/>
          <w:bCs/>
          <w:sz w:val="21"/>
          <w:szCs w:val="21"/>
        </w:rPr>
        <w:t xml:space="preserve">Table 22. Dissemination channels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4"/>
        <w:gridCol w:w="2808"/>
        <w:gridCol w:w="1685"/>
        <w:gridCol w:w="2433"/>
      </w:tblGrid>
      <w:tr>
        <w:trPr>
          <w:cantSplit/>
          <w:tblHeader/>
        </w:trPr>
        <w:tc>
          <w:tcPr>
            <w:tcW w:type="dxa" w:w="243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b/>
                <w:bCs/>
                <w:sz w:val="19"/>
                <w:szCs w:val="19"/>
              </w:rPr>
              <w:t xml:space="preserve">Channel</w:t>
            </w:r>
          </w:p>
        </w:tc>
        <w:tc>
          <w:tcPr>
            <w:tcW w:type="dxa" w:w="280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b/>
                <w:bCs/>
                <w:sz w:val="19"/>
                <w:szCs w:val="19"/>
              </w:rPr>
              <w:t xml:space="preserve">What is released</w:t>
            </w:r>
          </w:p>
        </w:tc>
        <w:tc>
          <w:tcPr>
            <w:tcW w:type="dxa" w:w="168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b/>
                <w:bCs/>
                <w:sz w:val="19"/>
                <w:szCs w:val="19"/>
              </w:rPr>
              <w:t xml:space="preserve">Cadence</w:t>
            </w:r>
          </w:p>
        </w:tc>
        <w:tc>
          <w:tcPr>
            <w:tcW w:type="dxa" w:w="243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b/>
                <w:bCs/>
                <w:sz w:val="19"/>
                <w:szCs w:val="19"/>
              </w:rPr>
              <w:t xml:space="preserve">Measure of uptake</w:t>
            </w:r>
          </w:p>
        </w:tc>
      </w:tr>
      <w:tr>
        <w:trPr>
          <w:cantSplit/>
          <w:tblHeader w:val="false"/>
        </w:trPr>
        <w:tc>
          <w:tcPr>
            <w:tcW w:type="dxa" w:w="243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Peer-reviewed open-access journals</w:t>
            </w:r>
          </w:p>
        </w:tc>
        <w:tc>
          <w:tcPr>
            <w:tcW w:type="dxa" w:w="280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Methods and measured results</w:t>
            </w:r>
          </w:p>
        </w:tc>
        <w:tc>
          <w:tcPr>
            <w:tcW w:type="dxa" w:w="168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At least four over 36 months (Table 7)</w:t>
            </w:r>
          </w:p>
        </w:tc>
        <w:tc>
          <w:tcPr>
            <w:tcW w:type="dxa" w:w="243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Citations by independent authors</w:t>
            </w:r>
          </w:p>
        </w:tc>
      </w:tr>
      <w:tr>
        <w:trPr>
          <w:cantSplit/>
          <w:tblHeader w:val="false"/>
        </w:trPr>
        <w:tc>
          <w:tcPr>
            <w:tcW w:type="dxa" w:w="243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U.S. security and information systems conferences</w:t>
            </w:r>
          </w:p>
        </w:tc>
        <w:tc>
          <w:tcPr>
            <w:tcW w:type="dxa" w:w="280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Presentations with published slides</w:t>
            </w:r>
          </w:p>
        </w:tc>
        <w:tc>
          <w:tcPr>
            <w:tcW w:type="dxa" w:w="168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One a year</w:t>
            </w:r>
          </w:p>
        </w:tc>
        <w:tc>
          <w:tcPr>
            <w:tcW w:type="dxa" w:w="243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Follow-up contacts; proceedings citations</w:t>
            </w:r>
          </w:p>
        </w:tc>
      </w:tr>
      <w:tr>
        <w:trPr>
          <w:cantSplit/>
          <w:tblHeader w:val="false"/>
        </w:trPr>
        <w:tc>
          <w:tcPr>
            <w:tcW w:type="dxa" w:w="243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Open code repository</w:t>
            </w:r>
          </w:p>
        </w:tc>
        <w:tc>
          <w:tcPr>
            <w:tcW w:type="dxa" w:w="280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Reference environments, emulation plans, audit scripts</w:t>
            </w:r>
          </w:p>
        </w:tc>
        <w:tc>
          <w:tcPr>
            <w:tcW w:type="dxa" w:w="168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Quarterly releases</w:t>
            </w:r>
          </w:p>
        </w:tc>
        <w:tc>
          <w:tcPr>
            <w:tcW w:type="dxa" w:w="243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Downloads, forks, issues raised by outside users</w:t>
            </w:r>
          </w:p>
        </w:tc>
      </w:tr>
      <w:tr>
        <w:trPr>
          <w:cantSplit/>
          <w:tblHeader w:val="false"/>
        </w:trPr>
        <w:tc>
          <w:tcPr>
            <w:tcW w:type="dxa" w:w="243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Open data repository</w:t>
            </w:r>
          </w:p>
        </w:tc>
        <w:tc>
          <w:tcPr>
            <w:tcW w:type="dxa" w:w="280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Results datasets</w:t>
            </w:r>
          </w:p>
        </w:tc>
        <w:tc>
          <w:tcPr>
            <w:tcW w:type="dxa" w:w="168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With each paper</w:t>
            </w:r>
          </w:p>
        </w:tc>
        <w:tc>
          <w:tcPr>
            <w:tcW w:type="dxa" w:w="243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Dataset downloads; reuse in papers</w:t>
            </w:r>
          </w:p>
        </w:tc>
      </w:tr>
      <w:tr>
        <w:trPr>
          <w:cantSplit/>
          <w:tblHeader w:val="false"/>
        </w:trPr>
        <w:tc>
          <w:tcPr>
            <w:tcW w:type="dxa" w:w="243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Practitioner guides</w:t>
            </w:r>
          </w:p>
        </w:tc>
        <w:tc>
          <w:tcPr>
            <w:tcW w:type="dxa" w:w="280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Plain-language deployment order per institution class</w:t>
            </w:r>
          </w:p>
        </w:tc>
        <w:tc>
          <w:tcPr>
            <w:tcW w:type="dxa" w:w="168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Annually</w:t>
            </w:r>
          </w:p>
        </w:tc>
        <w:tc>
          <w:tcPr>
            <w:tcW w:type="dxa" w:w="243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Downloads; institutions reporting use</w:t>
            </w:r>
          </w:p>
        </w:tc>
      </w:tr>
      <w:tr>
        <w:trPr>
          <w:cantSplit/>
          <w:tblHeader w:val="false"/>
        </w:trPr>
        <w:tc>
          <w:tcPr>
            <w:tcW w:type="dxa" w:w="243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Journal peer review</w:t>
            </w:r>
          </w:p>
        </w:tc>
        <w:tc>
          <w:tcPr>
            <w:tcW w:type="dxa" w:w="280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Review of others' work in the field</w:t>
            </w:r>
          </w:p>
        </w:tc>
        <w:tc>
          <w:tcPr>
            <w:tcW w:type="dxa" w:w="168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Continuous</w:t>
            </w:r>
          </w:p>
        </w:tc>
        <w:tc>
          <w:tcPr>
            <w:tcW w:type="dxa" w:w="243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Completed reviews</w:t>
            </w:r>
          </w:p>
        </w:tc>
      </w:tr>
    </w:tbl>
    <w:p>
      <w:pPr>
        <w:spacing w:after="80"/>
      </w:pPr>
    </w:p>
    <w:p>
      <w:pPr>
        <w:spacing w:after="120" w:line="264"/>
        <w:jc w:val="both"/>
      </w:pPr>
      <w:r>
        <w:rPr>
          <w:rFonts w:ascii="Calibri" w:cs="Calibri" w:eastAsia="Calibri" w:hAnsi="Calibri"/>
          <w:sz w:val="22"/>
          <w:szCs w:val="22"/>
        </w:rPr>
        <w:t xml:space="preserve">Table 23 lists the twenty-six peer-reviewed journals to which the papers will be submitted, beginning with the seventeen based in the United States, followed by Springer and SpringerOpen titles and then other publishers. Each charges authors nothing: it has no article processing charge and no submission or page fee, either because it is diamond open access or because a sponsoring institution covers the charge, as its own pages or its record in the Directory of Open Access Journals state. Publication cost therefore never limits who can read the results.</w:t>
      </w:r>
    </w:p>
    <w:p>
      <w:pPr>
        <w:keepNext/>
        <w:spacing w:after="80" w:before="160"/>
      </w:pPr>
      <w:r>
        <w:rPr>
          <w:rFonts w:ascii="Calibri" w:cs="Calibri" w:eastAsia="Calibri" w:hAnsi="Calibri"/>
          <w:b/>
          <w:bCs/>
          <w:sz w:val="21"/>
          <w:szCs w:val="21"/>
        </w:rPr>
        <w:t xml:space="preserve">Table 23. Target journals (open access, no author fees)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
        <w:gridCol w:w="4025"/>
        <w:gridCol w:w="3182"/>
        <w:gridCol w:w="1685"/>
      </w:tblGrid>
      <w:tr>
        <w:trPr>
          <w:cantSplit/>
          <w:tblHeader/>
        </w:trPr>
        <w:tc>
          <w:tcPr>
            <w:tcW w:type="dxa" w:w="46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b/>
                <w:bCs/>
                <w:sz w:val="19"/>
                <w:szCs w:val="19"/>
              </w:rPr>
              <w:t xml:space="preserve">No.</w:t>
            </w:r>
          </w:p>
        </w:tc>
        <w:tc>
          <w:tcPr>
            <w:tcW w:type="dxa" w:w="402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b/>
                <w:bCs/>
                <w:sz w:val="19"/>
                <w:szCs w:val="19"/>
              </w:rPr>
              <w:t xml:space="preserve">Journal</w:t>
            </w:r>
          </w:p>
        </w:tc>
        <w:tc>
          <w:tcPr>
            <w:tcW w:type="dxa" w:w="318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b/>
                <w:bCs/>
                <w:sz w:val="19"/>
                <w:szCs w:val="19"/>
              </w:rPr>
              <w:t xml:space="preserve">Publisher</w:t>
            </w:r>
          </w:p>
        </w:tc>
        <w:tc>
          <w:tcPr>
            <w:tcW w:type="dxa" w:w="168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b/>
                <w:bCs/>
                <w:sz w:val="19"/>
                <w:szCs w:val="19"/>
              </w:rPr>
              <w:t xml:space="preserve">Country</w:t>
            </w:r>
          </w:p>
        </w:tc>
      </w:tr>
      <w:tr>
        <w:trPr>
          <w:cantSplit/>
          <w:tblHeader w:val="false"/>
        </w:trPr>
        <w:tc>
          <w:tcPr>
            <w:tcW w:type="dxa" w:w="46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1</w:t>
            </w:r>
          </w:p>
        </w:tc>
        <w:tc>
          <w:tcPr>
            <w:tcW w:type="dxa" w:w="402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Journal of Cybersecurity Education, Research and Practice</w:t>
            </w:r>
          </w:p>
        </w:tc>
        <w:tc>
          <w:tcPr>
            <w:tcW w:type="dxa" w:w="318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Kennesaw State University</w:t>
            </w:r>
          </w:p>
        </w:tc>
        <w:tc>
          <w:tcPr>
            <w:tcW w:type="dxa" w:w="168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United States</w:t>
            </w:r>
          </w:p>
        </w:tc>
      </w:tr>
      <w:tr>
        <w:trPr>
          <w:cantSplit/>
          <w:tblHeader w:val="false"/>
        </w:trPr>
        <w:tc>
          <w:tcPr>
            <w:tcW w:type="dxa" w:w="46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2</w:t>
            </w:r>
          </w:p>
        </w:tc>
        <w:tc>
          <w:tcPr>
            <w:tcW w:type="dxa" w:w="402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Journal of Digital Forensics, Security and Law</w:t>
            </w:r>
          </w:p>
        </w:tc>
        <w:tc>
          <w:tcPr>
            <w:tcW w:type="dxa" w:w="318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Association of Digital Forensics, Security and Law</w:t>
            </w:r>
          </w:p>
        </w:tc>
        <w:tc>
          <w:tcPr>
            <w:tcW w:type="dxa" w:w="168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United States</w:t>
            </w:r>
          </w:p>
        </w:tc>
      </w:tr>
      <w:tr>
        <w:trPr>
          <w:cantSplit/>
          <w:tblHeader w:val="false"/>
        </w:trPr>
        <w:tc>
          <w:tcPr>
            <w:tcW w:type="dxa" w:w="46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3</w:t>
            </w:r>
          </w:p>
        </w:tc>
        <w:tc>
          <w:tcPr>
            <w:tcW w:type="dxa" w:w="402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Journal of Strategic Security</w:t>
            </w:r>
          </w:p>
        </w:tc>
        <w:tc>
          <w:tcPr>
            <w:tcW w:type="dxa" w:w="318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Henley-Putnam University; hosted by the University of South Florida</w:t>
            </w:r>
          </w:p>
        </w:tc>
        <w:tc>
          <w:tcPr>
            <w:tcW w:type="dxa" w:w="168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United States</w:t>
            </w:r>
          </w:p>
        </w:tc>
      </w:tr>
      <w:tr>
        <w:trPr>
          <w:cantSplit/>
          <w:tblHeader w:val="false"/>
        </w:trPr>
        <w:tc>
          <w:tcPr>
            <w:tcW w:type="dxa" w:w="46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4</w:t>
            </w:r>
          </w:p>
        </w:tc>
        <w:tc>
          <w:tcPr>
            <w:tcW w:type="dxa" w:w="402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Military Cyber Affairs</w:t>
            </w:r>
          </w:p>
        </w:tc>
        <w:tc>
          <w:tcPr>
            <w:tcW w:type="dxa" w:w="318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University of South Florida Libraries</w:t>
            </w:r>
          </w:p>
        </w:tc>
        <w:tc>
          <w:tcPr>
            <w:tcW w:type="dxa" w:w="168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United States</w:t>
            </w:r>
          </w:p>
        </w:tc>
      </w:tr>
      <w:tr>
        <w:trPr>
          <w:cantSplit/>
          <w:tblHeader w:val="false"/>
        </w:trPr>
        <w:tc>
          <w:tcPr>
            <w:tcW w:type="dxa" w:w="46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5</w:t>
            </w:r>
          </w:p>
        </w:tc>
        <w:tc>
          <w:tcPr>
            <w:tcW w:type="dxa" w:w="402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The Cyber Defense Review</w:t>
            </w:r>
          </w:p>
        </w:tc>
        <w:tc>
          <w:tcPr>
            <w:tcW w:type="dxa" w:w="318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West Point Press</w:t>
            </w:r>
          </w:p>
        </w:tc>
        <w:tc>
          <w:tcPr>
            <w:tcW w:type="dxa" w:w="168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United States</w:t>
            </w:r>
          </w:p>
        </w:tc>
      </w:tr>
      <w:tr>
        <w:trPr>
          <w:cantSplit/>
          <w:tblHeader w:val="false"/>
        </w:trPr>
        <w:tc>
          <w:tcPr>
            <w:tcW w:type="dxa" w:w="46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6</w:t>
            </w:r>
          </w:p>
        </w:tc>
        <w:tc>
          <w:tcPr>
            <w:tcW w:type="dxa" w:w="402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Homeland Security Affairs</w:t>
            </w:r>
          </w:p>
        </w:tc>
        <w:tc>
          <w:tcPr>
            <w:tcW w:type="dxa" w:w="318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Naval Postgraduate School</w:t>
            </w:r>
          </w:p>
        </w:tc>
        <w:tc>
          <w:tcPr>
            <w:tcW w:type="dxa" w:w="168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United States</w:t>
            </w:r>
          </w:p>
        </w:tc>
      </w:tr>
      <w:tr>
        <w:trPr>
          <w:cantSplit/>
          <w:tblHeader w:val="false"/>
        </w:trPr>
        <w:tc>
          <w:tcPr>
            <w:tcW w:type="dxa" w:w="46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7</w:t>
            </w:r>
          </w:p>
        </w:tc>
        <w:tc>
          <w:tcPr>
            <w:tcW w:type="dxa" w:w="402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Journal of Information Systems Education</w:t>
            </w:r>
          </w:p>
        </w:tc>
        <w:tc>
          <w:tcPr>
            <w:tcW w:type="dxa" w:w="318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Information Systems and Computing Academic Professionals</w:t>
            </w:r>
          </w:p>
        </w:tc>
        <w:tc>
          <w:tcPr>
            <w:tcW w:type="dxa" w:w="168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United States</w:t>
            </w:r>
          </w:p>
        </w:tc>
      </w:tr>
      <w:tr>
        <w:trPr>
          <w:cantSplit/>
          <w:tblHeader w:val="false"/>
        </w:trPr>
        <w:tc>
          <w:tcPr>
            <w:tcW w:type="dxa" w:w="46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8</w:t>
            </w:r>
          </w:p>
        </w:tc>
        <w:tc>
          <w:tcPr>
            <w:tcW w:type="dxa" w:w="402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Issues in Information Systems</w:t>
            </w:r>
          </w:p>
        </w:tc>
        <w:tc>
          <w:tcPr>
            <w:tcW w:type="dxa" w:w="318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International Association for Computer Information Systems</w:t>
            </w:r>
          </w:p>
        </w:tc>
        <w:tc>
          <w:tcPr>
            <w:tcW w:type="dxa" w:w="168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United States</w:t>
            </w:r>
          </w:p>
        </w:tc>
      </w:tr>
      <w:tr>
        <w:trPr>
          <w:cantSplit/>
          <w:tblHeader w:val="false"/>
        </w:trPr>
        <w:tc>
          <w:tcPr>
            <w:tcW w:type="dxa" w:w="46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9</w:t>
            </w:r>
          </w:p>
        </w:tc>
        <w:tc>
          <w:tcPr>
            <w:tcW w:type="dxa" w:w="402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The African Journal of Information Systems</w:t>
            </w:r>
          </w:p>
        </w:tc>
        <w:tc>
          <w:tcPr>
            <w:tcW w:type="dxa" w:w="318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Kennesaw State University</w:t>
            </w:r>
          </w:p>
        </w:tc>
        <w:tc>
          <w:tcPr>
            <w:tcW w:type="dxa" w:w="168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United States</w:t>
            </w:r>
          </w:p>
        </w:tc>
      </w:tr>
      <w:tr>
        <w:trPr>
          <w:cantSplit/>
          <w:tblHeader w:val="false"/>
        </w:trPr>
        <w:tc>
          <w:tcPr>
            <w:tcW w:type="dxa" w:w="46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10</w:t>
            </w:r>
          </w:p>
        </w:tc>
        <w:tc>
          <w:tcPr>
            <w:tcW w:type="dxa" w:w="402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Online Journal of Applied Knowledge Management</w:t>
            </w:r>
          </w:p>
        </w:tc>
        <w:tc>
          <w:tcPr>
            <w:tcW w:type="dxa" w:w="318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International Institute for Applied Knowledge Management</w:t>
            </w:r>
          </w:p>
        </w:tc>
        <w:tc>
          <w:tcPr>
            <w:tcW w:type="dxa" w:w="168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United States</w:t>
            </w:r>
          </w:p>
        </w:tc>
      </w:tr>
      <w:tr>
        <w:trPr>
          <w:cantSplit/>
          <w:tblHeader w:val="false"/>
        </w:trPr>
        <w:tc>
          <w:tcPr>
            <w:tcW w:type="dxa" w:w="46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11</w:t>
            </w:r>
          </w:p>
        </w:tc>
        <w:tc>
          <w:tcPr>
            <w:tcW w:type="dxa" w:w="402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Journal of Big Data and Artificial Intelligence</w:t>
            </w:r>
          </w:p>
        </w:tc>
        <w:tc>
          <w:tcPr>
            <w:tcW w:type="dxa" w:w="318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New Jersey Big Data Alliance</w:t>
            </w:r>
          </w:p>
        </w:tc>
        <w:tc>
          <w:tcPr>
            <w:tcW w:type="dxa" w:w="168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United States</w:t>
            </w:r>
          </w:p>
        </w:tc>
      </w:tr>
      <w:tr>
        <w:trPr>
          <w:cantSplit/>
          <w:tblHeader w:val="false"/>
        </w:trPr>
        <w:tc>
          <w:tcPr>
            <w:tcW w:type="dxa" w:w="46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12</w:t>
            </w:r>
          </w:p>
        </w:tc>
        <w:tc>
          <w:tcPr>
            <w:tcW w:type="dxa" w:w="402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Transactions on Machine Learning Research</w:t>
            </w:r>
          </w:p>
        </w:tc>
        <w:tc>
          <w:tcPr>
            <w:tcW w:type="dxa" w:w="318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JMLR, Inc.</w:t>
            </w:r>
          </w:p>
        </w:tc>
        <w:tc>
          <w:tcPr>
            <w:tcW w:type="dxa" w:w="168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United States</w:t>
            </w:r>
          </w:p>
        </w:tc>
      </w:tr>
      <w:tr>
        <w:trPr>
          <w:cantSplit/>
          <w:tblHeader w:val="false"/>
        </w:trPr>
        <w:tc>
          <w:tcPr>
            <w:tcW w:type="dxa" w:w="46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13</w:t>
            </w:r>
          </w:p>
        </w:tc>
        <w:tc>
          <w:tcPr>
            <w:tcW w:type="dxa" w:w="402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Journal of Artificial Intelligence Research</w:t>
            </w:r>
          </w:p>
        </w:tc>
        <w:tc>
          <w:tcPr>
            <w:tcW w:type="dxa" w:w="318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AI Access Foundation</w:t>
            </w:r>
          </w:p>
        </w:tc>
        <w:tc>
          <w:tcPr>
            <w:tcW w:type="dxa" w:w="168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United States</w:t>
            </w:r>
          </w:p>
        </w:tc>
      </w:tr>
      <w:tr>
        <w:trPr>
          <w:cantSplit/>
          <w:tblHeader w:val="false"/>
        </w:trPr>
        <w:tc>
          <w:tcPr>
            <w:tcW w:type="dxa" w:w="46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14</w:t>
            </w:r>
          </w:p>
        </w:tc>
        <w:tc>
          <w:tcPr>
            <w:tcW w:type="dxa" w:w="402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Harvard Data Science Review</w:t>
            </w:r>
          </w:p>
        </w:tc>
        <w:tc>
          <w:tcPr>
            <w:tcW w:type="dxa" w:w="318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MIT Press</w:t>
            </w:r>
          </w:p>
        </w:tc>
        <w:tc>
          <w:tcPr>
            <w:tcW w:type="dxa" w:w="168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United States</w:t>
            </w:r>
          </w:p>
        </w:tc>
      </w:tr>
      <w:tr>
        <w:trPr>
          <w:cantSplit/>
          <w:tblHeader w:val="false"/>
        </w:trPr>
        <w:tc>
          <w:tcPr>
            <w:tcW w:type="dxa" w:w="46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15</w:t>
            </w:r>
          </w:p>
        </w:tc>
        <w:tc>
          <w:tcPr>
            <w:tcW w:type="dxa" w:w="402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Journal of Open Source Software</w:t>
            </w:r>
          </w:p>
        </w:tc>
        <w:tc>
          <w:tcPr>
            <w:tcW w:type="dxa" w:w="318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Open Journals</w:t>
            </w:r>
          </w:p>
        </w:tc>
        <w:tc>
          <w:tcPr>
            <w:tcW w:type="dxa" w:w="168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United States</w:t>
            </w:r>
          </w:p>
        </w:tc>
      </w:tr>
      <w:tr>
        <w:trPr>
          <w:cantSplit/>
          <w:tblHeader w:val="false"/>
        </w:trPr>
        <w:tc>
          <w:tcPr>
            <w:tcW w:type="dxa" w:w="46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16</w:t>
            </w:r>
          </w:p>
        </w:tc>
        <w:tc>
          <w:tcPr>
            <w:tcW w:type="dxa" w:w="402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Journal of Privacy and Confidentiality</w:t>
            </w:r>
          </w:p>
        </w:tc>
        <w:tc>
          <w:tcPr>
            <w:tcW w:type="dxa" w:w="318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Labor Dynamics Institute, Cornell University</w:t>
            </w:r>
          </w:p>
        </w:tc>
        <w:tc>
          <w:tcPr>
            <w:tcW w:type="dxa" w:w="168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United States</w:t>
            </w:r>
          </w:p>
        </w:tc>
      </w:tr>
      <w:tr>
        <w:trPr>
          <w:cantSplit/>
          <w:tblHeader w:val="false"/>
        </w:trPr>
        <w:tc>
          <w:tcPr>
            <w:tcW w:type="dxa" w:w="46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17</w:t>
            </w:r>
          </w:p>
        </w:tc>
        <w:tc>
          <w:tcPr>
            <w:tcW w:type="dxa" w:w="402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Intelligent Computing</w:t>
            </w:r>
          </w:p>
        </w:tc>
        <w:tc>
          <w:tcPr>
            <w:tcW w:type="dxa" w:w="318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American Association for the Advancement of Science</w:t>
            </w:r>
          </w:p>
        </w:tc>
        <w:tc>
          <w:tcPr>
            <w:tcW w:type="dxa" w:w="168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United States</w:t>
            </w:r>
          </w:p>
        </w:tc>
      </w:tr>
      <w:tr>
        <w:trPr>
          <w:cantSplit/>
          <w:tblHeader w:val="false"/>
        </w:trPr>
        <w:tc>
          <w:tcPr>
            <w:tcW w:type="dxa" w:w="46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18</w:t>
            </w:r>
          </w:p>
        </w:tc>
        <w:tc>
          <w:tcPr>
            <w:tcW w:type="dxa" w:w="402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Autonomous Intelligent Systems</w:t>
            </w:r>
          </w:p>
        </w:tc>
        <w:tc>
          <w:tcPr>
            <w:tcW w:type="dxa" w:w="318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Springer</w:t>
            </w:r>
          </w:p>
        </w:tc>
        <w:tc>
          <w:tcPr>
            <w:tcW w:type="dxa" w:w="168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Singapore</w:t>
            </w:r>
          </w:p>
        </w:tc>
      </w:tr>
      <w:tr>
        <w:trPr>
          <w:cantSplit/>
          <w:tblHeader w:val="false"/>
        </w:trPr>
        <w:tc>
          <w:tcPr>
            <w:tcW w:type="dxa" w:w="46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19</w:t>
            </w:r>
          </w:p>
        </w:tc>
        <w:tc>
          <w:tcPr>
            <w:tcW w:type="dxa" w:w="402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Journal of Electrical Systems and Information Technology</w:t>
            </w:r>
          </w:p>
        </w:tc>
        <w:tc>
          <w:tcPr>
            <w:tcW w:type="dxa" w:w="318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SpringerOpen</w:t>
            </w:r>
          </w:p>
        </w:tc>
        <w:tc>
          <w:tcPr>
            <w:tcW w:type="dxa" w:w="168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United Kingdom</w:t>
            </w:r>
          </w:p>
        </w:tc>
      </w:tr>
      <w:tr>
        <w:trPr>
          <w:cantSplit/>
          <w:tblHeader w:val="false"/>
        </w:trPr>
        <w:tc>
          <w:tcPr>
            <w:tcW w:type="dxa" w:w="46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20</w:t>
            </w:r>
          </w:p>
        </w:tc>
        <w:tc>
          <w:tcPr>
            <w:tcW w:type="dxa" w:w="402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Journal of Engineering and Applied Science</w:t>
            </w:r>
          </w:p>
        </w:tc>
        <w:tc>
          <w:tcPr>
            <w:tcW w:type="dxa" w:w="318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SpringerOpen</w:t>
            </w:r>
          </w:p>
        </w:tc>
        <w:tc>
          <w:tcPr>
            <w:tcW w:type="dxa" w:w="168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United Kingdom</w:t>
            </w:r>
          </w:p>
        </w:tc>
      </w:tr>
      <w:tr>
        <w:trPr>
          <w:cantSplit/>
          <w:tblHeader w:val="false"/>
        </w:trPr>
        <w:tc>
          <w:tcPr>
            <w:tcW w:type="dxa" w:w="46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21</w:t>
            </w:r>
          </w:p>
        </w:tc>
        <w:tc>
          <w:tcPr>
            <w:tcW w:type="dxa" w:w="402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IACR Communications in Cryptology</w:t>
            </w:r>
          </w:p>
        </w:tc>
        <w:tc>
          <w:tcPr>
            <w:tcW w:type="dxa" w:w="318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International Association for Cryptologic Research</w:t>
            </w:r>
          </w:p>
        </w:tc>
        <w:tc>
          <w:tcPr>
            <w:tcW w:type="dxa" w:w="168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International</w:t>
            </w:r>
          </w:p>
        </w:tc>
      </w:tr>
      <w:tr>
        <w:trPr>
          <w:cantSplit/>
          <w:tblHeader w:val="false"/>
        </w:trPr>
        <w:tc>
          <w:tcPr>
            <w:tcW w:type="dxa" w:w="46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22</w:t>
            </w:r>
          </w:p>
        </w:tc>
        <w:tc>
          <w:tcPr>
            <w:tcW w:type="dxa" w:w="402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IACR Transactions on Symmetric Cryptology</w:t>
            </w:r>
          </w:p>
        </w:tc>
        <w:tc>
          <w:tcPr>
            <w:tcW w:type="dxa" w:w="318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Ruhr-Universität Bochum for the IACR</w:t>
            </w:r>
          </w:p>
        </w:tc>
        <w:tc>
          <w:tcPr>
            <w:tcW w:type="dxa" w:w="168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Germany</w:t>
            </w:r>
          </w:p>
        </w:tc>
      </w:tr>
      <w:tr>
        <w:trPr>
          <w:cantSplit/>
          <w:tblHeader w:val="false"/>
        </w:trPr>
        <w:tc>
          <w:tcPr>
            <w:tcW w:type="dxa" w:w="46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23</w:t>
            </w:r>
          </w:p>
        </w:tc>
        <w:tc>
          <w:tcPr>
            <w:tcW w:type="dxa" w:w="402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High-Confidence Computing</w:t>
            </w:r>
          </w:p>
        </w:tc>
        <w:tc>
          <w:tcPr>
            <w:tcW w:type="dxa" w:w="318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Elsevier with Shandong University</w:t>
            </w:r>
          </w:p>
        </w:tc>
        <w:tc>
          <w:tcPr>
            <w:tcW w:type="dxa" w:w="168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China</w:t>
            </w:r>
          </w:p>
        </w:tc>
      </w:tr>
      <w:tr>
        <w:trPr>
          <w:cantSplit/>
          <w:tblHeader w:val="false"/>
        </w:trPr>
        <w:tc>
          <w:tcPr>
            <w:tcW w:type="dxa" w:w="46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24</w:t>
            </w:r>
          </w:p>
        </w:tc>
        <w:tc>
          <w:tcPr>
            <w:tcW w:type="dxa" w:w="402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Organizational Cybersecurity Journal</w:t>
            </w:r>
          </w:p>
        </w:tc>
        <w:tc>
          <w:tcPr>
            <w:tcW w:type="dxa" w:w="318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Emerald Publishing</w:t>
            </w:r>
          </w:p>
        </w:tc>
        <w:tc>
          <w:tcPr>
            <w:tcW w:type="dxa" w:w="168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United Kingdom</w:t>
            </w:r>
          </w:p>
        </w:tc>
      </w:tr>
      <w:tr>
        <w:trPr>
          <w:cantSplit/>
          <w:tblHeader w:val="false"/>
        </w:trPr>
        <w:tc>
          <w:tcPr>
            <w:tcW w:type="dxa" w:w="46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25</w:t>
            </w:r>
          </w:p>
        </w:tc>
        <w:tc>
          <w:tcPr>
            <w:tcW w:type="dxa" w:w="402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Digital Communications and Networks</w:t>
            </w:r>
          </w:p>
        </w:tc>
        <w:tc>
          <w:tcPr>
            <w:tcW w:type="dxa" w:w="318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KeAi</w:t>
            </w:r>
          </w:p>
        </w:tc>
        <w:tc>
          <w:tcPr>
            <w:tcW w:type="dxa" w:w="168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China</w:t>
            </w:r>
          </w:p>
        </w:tc>
      </w:tr>
      <w:tr>
        <w:trPr>
          <w:cantSplit/>
          <w:tblHeader w:val="false"/>
        </w:trPr>
        <w:tc>
          <w:tcPr>
            <w:tcW w:type="dxa" w:w="46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26</w:t>
            </w:r>
          </w:p>
        </w:tc>
        <w:tc>
          <w:tcPr>
            <w:tcW w:type="dxa" w:w="402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ETRI Journal</w:t>
            </w:r>
          </w:p>
        </w:tc>
        <w:tc>
          <w:tcPr>
            <w:tcW w:type="dxa" w:w="318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Electronics and Telecommunications Research Institute</w:t>
            </w:r>
          </w:p>
        </w:tc>
        <w:tc>
          <w:tcPr>
            <w:tcW w:type="dxa" w:w="168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South Korea</w:t>
            </w:r>
          </w:p>
        </w:tc>
      </w:tr>
    </w:tbl>
    <w:p>
      <w:pPr>
        <w:spacing w:after="80"/>
      </w:pPr>
    </w:p>
    <w:p>
      <w:pPr>
        <w:pStyle w:val="Heading2"/>
        <w:keepNext/>
        <w:spacing w:after="100" w:before="200"/>
      </w:pPr>
      <w:r>
        <w:rPr>
          <w:rFonts w:ascii="Calibri" w:cs="Calibri" w:eastAsia="Calibri" w:hAnsi="Calibri"/>
          <w:b/>
          <w:bCs/>
          <w:color w:val="1F3864"/>
          <w:sz w:val="23"/>
          <w:szCs w:val="23"/>
        </w:rPr>
        <w:t xml:space="preserve">E. Contribution broader than the duties of a normal job</w:t>
      </w:r>
    </w:p>
    <w:p>
      <w:pPr>
        <w:spacing w:after="120" w:line="264"/>
        <w:jc w:val="both"/>
      </w:pPr>
      <w:r>
        <w:rPr>
          <w:rFonts w:ascii="Calibri" w:cs="Calibri" w:eastAsia="Calibri" w:hAnsi="Calibri"/>
          <w:sz w:val="22"/>
          <w:szCs w:val="22"/>
        </w:rPr>
        <w:t xml:space="preserve">The Notice states that "an occupation and the general work performed in an occupation does not constitute an endeavor." The endeavor is not an occupation. A security engineer employed by one company secures that company. This endeavor builds and attacks environments that model institutions for which I do not work, measures what works, and publishes the result for all of them. Its schedule is set by research milestones, and its success is measured by what other people do with what it publishes. Those are the "broader implications" </w:t>
      </w:r>
      <w:r>
        <w:rPr>
          <w:rFonts w:ascii="Calibri" w:cs="Calibri" w:eastAsia="Calibri" w:hAnsi="Calibri"/>
          <w:i/>
          <w:iCs/>
          <w:sz w:val="22"/>
          <w:szCs w:val="22"/>
        </w:rPr>
        <w:t xml:space="preserve">Dhanasar</w:t>
      </w:r>
      <w:r>
        <w:rPr>
          <w:rFonts w:ascii="Calibri" w:cs="Calibri" w:eastAsia="Calibri" w:hAnsi="Calibri"/>
          <w:sz w:val="22"/>
          <w:szCs w:val="22"/>
        </w:rPr>
        <w:t xml:space="preserve"> looks for. 26 I&amp;N Dec. at 889.</w:t>
      </w:r>
    </w:p>
    <w:p>
      <w:pPr>
        <w:pStyle w:val="Heading2"/>
        <w:keepNext/>
        <w:spacing w:after="100" w:before="200"/>
      </w:pPr>
      <w:r>
        <w:rPr>
          <w:rFonts w:ascii="Calibri" w:cs="Calibri" w:eastAsia="Calibri" w:hAnsi="Calibri"/>
          <w:b/>
          <w:bCs/>
          <w:color w:val="1F3864"/>
          <w:sz w:val="23"/>
          <w:szCs w:val="23"/>
        </w:rPr>
        <w:t xml:space="preserve">F. The record as a whole on the first prong</w:t>
      </w:r>
    </w:p>
    <w:p>
      <w:pPr>
        <w:spacing w:after="120" w:line="264"/>
        <w:jc w:val="both"/>
      </w:pPr>
      <w:r>
        <w:rPr>
          <w:rFonts w:ascii="Calibri" w:cs="Calibri" w:eastAsia="Calibri" w:hAnsi="Calibri"/>
          <w:sz w:val="22"/>
          <w:szCs w:val="22"/>
        </w:rPr>
        <w:t xml:space="preserve">The record on the first prong is now specific in each respect the Notice identified as missing. The endeavor is defined by a problem, the recurring identity and configuration failure that opened the cited incidents, and not by a field. Its projects, research questions, objectives, methods, schedule, funding and time allocation are stated. Its outputs are public and serve classes of institution across the country. It supplies a measured link that the federal documents in Table 15 call for and do not provide.</w:t>
      </w:r>
    </w:p>
    <w:p>
      <w:pPr>
        <w:pStyle w:val="Heading2"/>
        <w:keepNext/>
        <w:spacing w:after="100" w:before="200"/>
      </w:pPr>
      <w:r>
        <w:rPr>
          <w:rFonts w:ascii="Calibri" w:cs="Calibri" w:eastAsia="Calibri" w:hAnsi="Calibri"/>
          <w:b/>
          <w:bCs/>
          <w:color w:val="1F3864"/>
          <w:sz w:val="23"/>
          <w:szCs w:val="23"/>
        </w:rPr>
        <w:t xml:space="preserve">G. The Notice's other observations on the first prong</w:t>
      </w:r>
    </w:p>
    <w:p>
      <w:pPr>
        <w:spacing w:after="120" w:line="264"/>
        <w:jc w:val="both"/>
      </w:pPr>
      <w:r>
        <w:rPr>
          <w:rFonts w:ascii="Calibri" w:cs="Calibri" w:eastAsia="Calibri" w:hAnsi="Calibri"/>
          <w:b/>
          <w:bCs/>
          <w:sz w:val="22"/>
          <w:szCs w:val="22"/>
        </w:rPr>
        <w:t xml:space="preserve">Research and publication.</w:t>
      </w:r>
      <w:r>
        <w:rPr>
          <w:rFonts w:ascii="Calibri" w:cs="Calibri" w:eastAsia="Calibri" w:hAnsi="Calibri"/>
          <w:sz w:val="22"/>
          <w:szCs w:val="22"/>
        </w:rPr>
        <w:t xml:space="preserve"> The Notice states that "simply proposing to conduct research ... and publish findings" is not enough. The response does not rest on an intention to publish. It rests on what the research measures, why that measurement is missing, and who applies it. Publication is the delivery mechanism; the measured control order and the audit scripts are the contribution.</w:t>
      </w:r>
    </w:p>
    <w:p>
      <w:pPr>
        <w:spacing w:after="120" w:line="264"/>
        <w:jc w:val="both"/>
      </w:pPr>
      <w:r>
        <w:rPr>
          <w:rFonts w:ascii="Calibri" w:cs="Calibri" w:eastAsia="Calibri" w:hAnsi="Calibri"/>
          <w:b/>
          <w:bCs/>
          <w:sz w:val="22"/>
          <w:szCs w:val="22"/>
        </w:rPr>
        <w:t xml:space="preserve">Past work.</w:t>
      </w:r>
      <w:r>
        <w:rPr>
          <w:rFonts w:ascii="Calibri" w:cs="Calibri" w:eastAsia="Calibri" w:hAnsi="Calibri"/>
          <w:sz w:val="22"/>
          <w:szCs w:val="22"/>
        </w:rPr>
        <w:t xml:space="preserve"> The Notice observes that the endeavor "mostly refers to past work." Past work appears in this response only in Part VI, as track record. The endeavor in Parts III and IV is forward-looking work with dated outputs.</w:t>
      </w:r>
    </w:p>
    <w:p>
      <w:pPr>
        <w:spacing w:after="120" w:line="264"/>
        <w:jc w:val="both"/>
      </w:pPr>
      <w:r>
        <w:rPr>
          <w:rFonts w:ascii="Calibri" w:cs="Calibri" w:eastAsia="Calibri" w:hAnsi="Calibri"/>
          <w:b/>
          <w:bCs/>
          <w:sz w:val="22"/>
          <w:szCs w:val="22"/>
        </w:rPr>
        <w:t xml:space="preserve">Reports and articles.</w:t>
      </w:r>
      <w:r>
        <w:rPr>
          <w:rFonts w:ascii="Calibri" w:cs="Calibri" w:eastAsia="Calibri" w:hAnsi="Calibri"/>
          <w:sz w:val="22"/>
          <w:szCs w:val="22"/>
        </w:rPr>
        <w:t xml:space="preserve"> The Notice found the industry reports "speak in broad terms." This response ties national importance to documents that name the specific failure and to incidents caused by it (Part III.A; Table 15), and it uses the broader reports in the petition only for context.</w:t>
      </w:r>
    </w:p>
    <w:p>
      <w:pPr>
        <w:spacing w:after="120" w:line="264"/>
        <w:jc w:val="both"/>
      </w:pPr>
      <w:r>
        <w:rPr>
          <w:rFonts w:ascii="Calibri" w:cs="Calibri" w:eastAsia="Calibri" w:hAnsi="Calibri"/>
          <w:sz w:val="22"/>
          <w:szCs w:val="22"/>
        </w:rPr>
        <w:t xml:space="preserve">For these reasons, the endeavor has substantial merit and national importance.</w:t>
      </w:r>
    </w:p>
    <w:p>
      <w:pPr>
        <w:pStyle w:val="Heading1"/>
        <w:keepNext/>
        <w:spacing w:after="140" w:before="280"/>
      </w:pPr>
      <w:r>
        <w:rPr>
          <w:rFonts w:ascii="Calibri" w:cs="Calibri" w:eastAsia="Calibri" w:hAnsi="Calibri"/>
          <w:b/>
          <w:bCs/>
          <w:color w:val="1F3864"/>
          <w:sz w:val="26"/>
          <w:szCs w:val="26"/>
        </w:rPr>
        <w:t xml:space="preserve">VI. Prong Two: I Am Well Positioned to Advance the Proposed Endeavor</w:t>
      </w:r>
    </w:p>
    <w:p>
      <w:pPr>
        <w:spacing w:after="120" w:line="264"/>
        <w:jc w:val="both"/>
      </w:pPr>
      <w:r>
        <w:rPr>
          <w:rFonts w:ascii="Calibri" w:cs="Calibri" w:eastAsia="Calibri" w:hAnsi="Calibri"/>
          <w:sz w:val="22"/>
          <w:szCs w:val="22"/>
        </w:rPr>
        <w:t xml:space="preserve">The second prong "shifts the focus from the proposed endeavor to the foreign national." </w:t>
      </w:r>
      <w:r>
        <w:rPr>
          <w:rFonts w:ascii="Calibri" w:cs="Calibri" w:eastAsia="Calibri" w:hAnsi="Calibri"/>
          <w:i/>
          <w:iCs/>
          <w:sz w:val="22"/>
          <w:szCs w:val="22"/>
        </w:rPr>
        <w:t xml:space="preserve">Dhanasar</w:t>
      </w:r>
      <w:r>
        <w:rPr>
          <w:rFonts w:ascii="Calibri" w:cs="Calibri" w:eastAsia="Calibri" w:hAnsi="Calibri"/>
          <w:sz w:val="22"/>
          <w:szCs w:val="22"/>
        </w:rPr>
        <w:t xml:space="preserve">, 26 I&amp;N Dec. at 890. USCIS considers factors including "the individual's education, skills, knowledge and record of success in related or similar efforts; a model or plan for future activities; any progress towards achieving the proposed endeavor; and the interest of potential customers, users, investors, or other relevant entities or individuals." </w:t>
      </w:r>
      <w:r>
        <w:rPr>
          <w:rFonts w:ascii="Calibri" w:cs="Calibri" w:eastAsia="Calibri" w:hAnsi="Calibri"/>
          <w:i/>
          <w:iCs/>
          <w:sz w:val="22"/>
          <w:szCs w:val="22"/>
        </w:rPr>
        <w:t xml:space="preserve">Id.</w:t>
      </w:r>
      <w:r>
        <w:rPr>
          <w:rFonts w:ascii="Calibri" w:cs="Calibri" w:eastAsia="Calibri" w:hAnsi="Calibri"/>
          <w:sz w:val="22"/>
          <w:szCs w:val="22"/>
        </w:rPr>
        <w:t xml:space="preserve"> These are factors weighed together, not separate thresholds, and the Notice confirms that a beneficiary "may be well positioned to advance the endeavor even if there is no certainty that the proposed endeavor will be a success." I take each factor in turn.</w:t>
      </w:r>
    </w:p>
    <w:p>
      <w:pPr>
        <w:pStyle w:val="Heading2"/>
        <w:keepNext/>
        <w:spacing w:after="100" w:before="200"/>
      </w:pPr>
      <w:r>
        <w:rPr>
          <w:rFonts w:ascii="Calibri" w:cs="Calibri" w:eastAsia="Calibri" w:hAnsi="Calibri"/>
          <w:b/>
          <w:bCs/>
          <w:color w:val="1F3864"/>
          <w:sz w:val="23"/>
          <w:szCs w:val="23"/>
        </w:rPr>
        <w:t xml:space="preserve">A. Education, skills and knowledge</w:t>
      </w:r>
    </w:p>
    <w:p>
      <w:pPr>
        <w:spacing w:after="120" w:line="264"/>
        <w:jc w:val="both"/>
      </w:pPr>
      <w:r>
        <w:rPr>
          <w:rFonts w:ascii="Calibri" w:cs="Calibri" w:eastAsia="Calibri" w:hAnsi="Calibri"/>
          <w:sz w:val="22"/>
          <w:szCs w:val="22"/>
        </w:rPr>
        <w:t xml:space="preserve">My Master of Science in Information Technology from the University of Texas at San Antonio (December 13, 2024) was taken in the cybersecurity concentration; I ranked second of fifty-six students in the graduate Cyber Risk Assessment course and served as a Graduate Teaching Assistant in the department's Cyber Security Lab (petition </w:t>
      </w:r>
      <w:r>
        <w:rPr>
          <w:rFonts w:ascii="Calibri" w:cs="Calibri" w:eastAsia="Calibri" w:hAnsi="Calibri"/>
          <w:b/>
          <w:bCs/>
          <w:color w:val="FF0000"/>
          <w:sz w:val="22"/>
          <w:szCs w:val="22"/>
        </w:rPr>
        <w:t xml:space="preserve">Exhibits 1 and 12</w:t>
      </w:r>
      <w:r>
        <w:rPr>
          <w:rFonts w:ascii="Calibri" w:cs="Calibri" w:eastAsia="Calibri" w:hAnsi="Calibri"/>
          <w:sz w:val="22"/>
          <w:szCs w:val="22"/>
        </w:rPr>
        <w:t xml:space="preserve">). My Postgraduate Certificate in Cyber Security was awarded with merit by the University of Essex on March 7, 2024 (petition </w:t>
      </w:r>
      <w:r>
        <w:rPr>
          <w:rFonts w:ascii="Calibri" w:cs="Calibri" w:eastAsia="Calibri" w:hAnsi="Calibri"/>
          <w:b/>
          <w:bCs/>
          <w:color w:val="FF0000"/>
          <w:sz w:val="22"/>
          <w:szCs w:val="22"/>
        </w:rPr>
        <w:t xml:space="preserve">Exhibit 2</w:t>
      </w:r>
      <w:r>
        <w:rPr>
          <w:rFonts w:ascii="Calibri" w:cs="Calibri" w:eastAsia="Calibri" w:hAnsi="Calibri"/>
          <w:sz w:val="22"/>
          <w:szCs w:val="22"/>
        </w:rPr>
        <w:t xml:space="preserve">). I hold the CISSP, issued by ISC2 in March 2025, and the AWS Certified Solutions Architect credential (petition </w:t>
      </w:r>
      <w:r>
        <w:rPr>
          <w:rFonts w:ascii="Calibri" w:cs="Calibri" w:eastAsia="Calibri" w:hAnsi="Calibri"/>
          <w:b/>
          <w:bCs/>
          <w:color w:val="FF0000"/>
          <w:sz w:val="22"/>
          <w:szCs w:val="22"/>
        </w:rPr>
        <w:t xml:space="preserve">Exhibit 17</w:t>
      </w:r>
      <w:r>
        <w:rPr>
          <w:rFonts w:ascii="Calibri" w:cs="Calibri" w:eastAsia="Calibri" w:hAnsi="Calibri"/>
          <w:sz w:val="22"/>
          <w:szCs w:val="22"/>
        </w:rPr>
        <w:t xml:space="preserve">). My current curriculum vitae is at </w:t>
      </w:r>
      <w:r>
        <w:rPr>
          <w:rFonts w:ascii="Calibri" w:cs="Calibri" w:eastAsia="Calibri" w:hAnsi="Calibri"/>
          <w:b/>
          <w:bCs/>
          <w:color w:val="FF0000"/>
          <w:sz w:val="22"/>
          <w:szCs w:val="22"/>
        </w:rPr>
        <w:t xml:space="preserve">Exhibit RFE-2</w:t>
      </w:r>
      <w:r>
        <w:rPr>
          <w:rFonts w:ascii="Calibri" w:cs="Calibri" w:eastAsia="Calibri" w:hAnsi="Calibri"/>
          <w:sz w:val="22"/>
          <w:szCs w:val="22"/>
        </w:rPr>
        <w:t xml:space="preserve">. These credentials cover the techniques the projects use: identity and access management, security architecture, risk assessment and cloud architecture on the platform where the reference environments run.</w:t>
      </w:r>
    </w:p>
    <w:p>
      <w:pPr>
        <w:pStyle w:val="Heading2"/>
        <w:keepNext/>
        <w:spacing w:after="100" w:before="200"/>
      </w:pPr>
      <w:r>
        <w:rPr>
          <w:rFonts w:ascii="Calibri" w:cs="Calibri" w:eastAsia="Calibri" w:hAnsi="Calibri"/>
          <w:b/>
          <w:bCs/>
          <w:color w:val="1F3864"/>
          <w:sz w:val="23"/>
          <w:szCs w:val="23"/>
        </w:rPr>
        <w:t xml:space="preserve">B. Through which entity, and on whose resources</w:t>
      </w:r>
    </w:p>
    <w:p>
      <w:pPr>
        <w:spacing w:after="120" w:line="264"/>
        <w:jc w:val="both"/>
      </w:pPr>
      <w:r>
        <w:rPr>
          <w:rFonts w:ascii="Calibri" w:cs="Calibri" w:eastAsia="Calibri" w:hAnsi="Calibri"/>
          <w:sz w:val="22"/>
          <w:szCs w:val="22"/>
        </w:rPr>
        <w:t xml:space="preserve">The Notice found that the record did not show "where her endeavor will be performed" or "how it will be funded and accomplished." Part III.B and Part IV.D answer both. I perform the endeavor myself, as an independent researcher, in test environments I own, with my own funds. The plan is built so that its first-year results depend on nothing I do not already control. That is the condition that makes the plan credible: the Notice's concern that I had "varying future employment plans" does not arise, because the endeavor does not depend on any employer.</w:t>
      </w:r>
    </w:p>
    <w:p>
      <w:pPr>
        <w:pStyle w:val="Heading2"/>
        <w:keepNext/>
        <w:spacing w:after="100" w:before="200"/>
      </w:pPr>
      <w:r>
        <w:rPr>
          <w:rFonts w:ascii="Calibri" w:cs="Calibri" w:eastAsia="Calibri" w:hAnsi="Calibri"/>
          <w:b/>
          <w:bCs/>
          <w:color w:val="1F3864"/>
          <w:sz w:val="23"/>
          <w:szCs w:val="23"/>
        </w:rPr>
        <w:t xml:space="preserve">C. Record of success in related or similar efforts</w:t>
      </w:r>
    </w:p>
    <w:p>
      <w:pPr>
        <w:spacing w:after="120" w:line="264"/>
        <w:jc w:val="both"/>
      </w:pPr>
      <w:r>
        <w:rPr>
          <w:rFonts w:ascii="Calibri" w:cs="Calibri" w:eastAsia="Calibri" w:hAnsi="Calibri"/>
          <w:sz w:val="22"/>
          <w:szCs w:val="22"/>
        </w:rPr>
        <w:t xml:space="preserve">The Notice asks for evidence that my work "has served as an impetus for progress in the field" and has "influenced the field as a whole." Two bodies of evidence answer it.</w:t>
      </w:r>
    </w:p>
    <w:p>
      <w:pPr>
        <w:spacing w:after="120" w:line="264"/>
        <w:jc w:val="both"/>
      </w:pPr>
      <w:r>
        <w:rPr>
          <w:rFonts w:ascii="Calibri" w:cs="Calibri" w:eastAsia="Calibri" w:hAnsi="Calibri"/>
          <w:b/>
          <w:bCs/>
          <w:sz w:val="22"/>
          <w:szCs w:val="22"/>
        </w:rPr>
        <w:t xml:space="preserve">The production record that the framework generalizes.</w:t>
      </w:r>
      <w:r>
        <w:rPr>
          <w:rFonts w:ascii="Calibri" w:cs="Calibri" w:eastAsia="Calibri" w:hAnsi="Calibri"/>
          <w:sz w:val="22"/>
          <w:szCs w:val="22"/>
        </w:rPr>
        <w:t xml:space="preserve"> On the MTN Nigeria ENM migration, covering more than fifteen thousand network elements on a live network serving more than seventy million subscribers, I reduced the legacy access estate from more than five hundred accounts to one hundred fifty verified users and eliminated plain-text FTP and Telnet before cutover (petition </w:t>
      </w:r>
      <w:r>
        <w:rPr>
          <w:rFonts w:ascii="Calibri" w:cs="Calibri" w:eastAsia="Calibri" w:hAnsi="Calibri"/>
          <w:b/>
          <w:bCs/>
          <w:color w:val="FF0000"/>
          <w:sz w:val="22"/>
          <w:szCs w:val="22"/>
        </w:rPr>
        <w:t xml:space="preserve">Exhibits 4, 5 and 7</w:t>
      </w:r>
      <w:r>
        <w:rPr>
          <w:rFonts w:ascii="Calibri" w:cs="Calibri" w:eastAsia="Calibri" w:hAnsi="Calibri"/>
          <w:sz w:val="22"/>
          <w:szCs w:val="22"/>
        </w:rPr>
        <w:t xml:space="preserve">). I led the certificate-based authentication architecture for more than ten thousand live network elements (petition </w:t>
      </w:r>
      <w:r>
        <w:rPr>
          <w:rFonts w:ascii="Calibri" w:cs="Calibri" w:eastAsia="Calibri" w:hAnsi="Calibri"/>
          <w:b/>
          <w:bCs/>
          <w:color w:val="FF0000"/>
          <w:sz w:val="22"/>
          <w:szCs w:val="22"/>
        </w:rPr>
        <w:t xml:space="preserve">Exhibit 8</w:t>
      </w:r>
      <w:r>
        <w:rPr>
          <w:rFonts w:ascii="Calibri" w:cs="Calibri" w:eastAsia="Calibri" w:hAnsi="Calibri"/>
          <w:sz w:val="22"/>
          <w:szCs w:val="22"/>
        </w:rPr>
        <w:t xml:space="preserve">). In U.S. enterprise practice since September 2025 I have reduced unauthorized sign-in attempts by an estimated forty-five percent through conditional access, remediated unauthorized public exposure across more than two hundred cloud storage buckets, and identified eight hundred seventy-two redundant licences across about twelve hundred accounts, with more than forty thousand dollars in projected annual savings (petition </w:t>
      </w:r>
      <w:r>
        <w:rPr>
          <w:rFonts w:ascii="Calibri" w:cs="Calibri" w:eastAsia="Calibri" w:hAnsi="Calibri"/>
          <w:b/>
          <w:bCs/>
          <w:color w:val="FF0000"/>
          <w:sz w:val="22"/>
          <w:szCs w:val="22"/>
        </w:rPr>
        <w:t xml:space="preserve">Exhibits 11 and 18</w:t>
      </w:r>
      <w:r>
        <w:rPr>
          <w:rFonts w:ascii="Calibri" w:cs="Calibri" w:eastAsia="Calibri" w:hAnsi="Calibri"/>
          <w:sz w:val="22"/>
          <w:szCs w:val="22"/>
        </w:rPr>
        <w:t xml:space="preserve">). Each of these is one of the patterns the reference environments test: access-surface reduction, protocol elimination, machine identity, conditional access, storage remediation and licence audit. The endeavor takes methods that worked in two very different environments and measures them where they have not been measured.</w:t>
      </w:r>
    </w:p>
    <w:p>
      <w:pPr>
        <w:spacing w:after="120" w:line="264"/>
        <w:jc w:val="both"/>
      </w:pPr>
      <w:r>
        <w:rPr>
          <w:rFonts w:ascii="Calibri" w:cs="Calibri" w:eastAsia="Calibri" w:hAnsi="Calibri"/>
          <w:b/>
          <w:bCs/>
          <w:sz w:val="22"/>
          <w:szCs w:val="22"/>
        </w:rPr>
        <w:t xml:space="preserve">Independent use of my published work.</w:t>
      </w:r>
      <w:r>
        <w:rPr>
          <w:rFonts w:ascii="Calibri" w:cs="Calibri" w:eastAsia="Calibri" w:hAnsi="Calibri"/>
          <w:sz w:val="22"/>
          <w:szCs w:val="22"/>
        </w:rPr>
        <w:t xml:space="preserve"> The Notice found that "the record does not distinguish how many of the beneficiary's citations are independent." Part VI.K answers that question in full: Table 31 lists thirty-four published works that cite my research, each checked author by author, and none has an author in common with the paper it cites. Table 24 shows where their authors work.</w:t>
      </w:r>
    </w:p>
    <w:p>
      <w:pPr>
        <w:keepNext/>
        <w:spacing w:after="80" w:before="160"/>
      </w:pPr>
      <w:r>
        <w:rPr>
          <w:rFonts w:ascii="Calibri" w:cs="Calibri" w:eastAsia="Calibri" w:hAnsi="Calibri"/>
          <w:b/>
          <w:bCs/>
          <w:sz w:val="21"/>
          <w:szCs w:val="21"/>
        </w:rPr>
        <w:t xml:space="preserve">Table 24. Countries of the independent citing authors' stated affiliations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16"/>
        <w:gridCol w:w="3744"/>
      </w:tblGrid>
      <w:tr>
        <w:trPr>
          <w:cantSplit/>
          <w:tblHeader/>
        </w:trPr>
        <w:tc>
          <w:tcPr>
            <w:tcW w:type="dxa" w:w="561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b/>
                <w:bCs/>
                <w:sz w:val="19"/>
                <w:szCs w:val="19"/>
              </w:rPr>
              <w:t xml:space="preserve">Country</w:t>
            </w:r>
          </w:p>
        </w:tc>
        <w:tc>
          <w:tcPr>
            <w:tcW w:type="dxa" w:w="374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b/>
                <w:bCs/>
                <w:sz w:val="19"/>
                <w:szCs w:val="19"/>
              </w:rPr>
              <w:t xml:space="preserve">Citing works with an author there</w:t>
            </w:r>
          </w:p>
        </w:tc>
      </w:tr>
      <w:tr>
        <w:trPr>
          <w:cantSplit/>
          <w:tblHeader w:val="false"/>
        </w:trPr>
        <w:tc>
          <w:tcPr>
            <w:tcW w:type="dxa" w:w="561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United States</w:t>
            </w:r>
          </w:p>
        </w:tc>
        <w:tc>
          <w:tcPr>
            <w:tcW w:type="dxa" w:w="374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17</w:t>
            </w:r>
          </w:p>
        </w:tc>
      </w:tr>
      <w:tr>
        <w:trPr>
          <w:cantSplit/>
          <w:tblHeader w:val="false"/>
        </w:trPr>
        <w:tc>
          <w:tcPr>
            <w:tcW w:type="dxa" w:w="561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Nigeria</w:t>
            </w:r>
          </w:p>
        </w:tc>
        <w:tc>
          <w:tcPr>
            <w:tcW w:type="dxa" w:w="374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14</w:t>
            </w:r>
          </w:p>
        </w:tc>
      </w:tr>
      <w:tr>
        <w:trPr>
          <w:cantSplit/>
          <w:tblHeader w:val="false"/>
        </w:trPr>
        <w:tc>
          <w:tcPr>
            <w:tcW w:type="dxa" w:w="561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United Kingdom</w:t>
            </w:r>
          </w:p>
        </w:tc>
        <w:tc>
          <w:tcPr>
            <w:tcW w:type="dxa" w:w="374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6</w:t>
            </w:r>
          </w:p>
        </w:tc>
      </w:tr>
      <w:tr>
        <w:trPr>
          <w:cantSplit/>
          <w:tblHeader w:val="false"/>
        </w:trPr>
        <w:tc>
          <w:tcPr>
            <w:tcW w:type="dxa" w:w="561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Canada</w:t>
            </w:r>
          </w:p>
        </w:tc>
        <w:tc>
          <w:tcPr>
            <w:tcW w:type="dxa" w:w="374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2</w:t>
            </w:r>
          </w:p>
        </w:tc>
      </w:tr>
      <w:tr>
        <w:trPr>
          <w:cantSplit/>
          <w:tblHeader w:val="false"/>
        </w:trPr>
        <w:tc>
          <w:tcPr>
            <w:tcW w:type="dxa" w:w="561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Sweden</w:t>
            </w:r>
          </w:p>
        </w:tc>
        <w:tc>
          <w:tcPr>
            <w:tcW w:type="dxa" w:w="374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2</w:t>
            </w:r>
          </w:p>
        </w:tc>
      </w:tr>
      <w:tr>
        <w:trPr>
          <w:cantSplit/>
          <w:tblHeader w:val="false"/>
        </w:trPr>
        <w:tc>
          <w:tcPr>
            <w:tcW w:type="dxa" w:w="561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United Arab Emirates</w:t>
            </w:r>
          </w:p>
        </w:tc>
        <w:tc>
          <w:tcPr>
            <w:tcW w:type="dxa" w:w="374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2</w:t>
            </w:r>
          </w:p>
        </w:tc>
      </w:tr>
      <w:tr>
        <w:trPr>
          <w:cantSplit/>
          <w:tblHeader w:val="false"/>
        </w:trPr>
        <w:tc>
          <w:tcPr>
            <w:tcW w:type="dxa" w:w="561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Saudi Arabia</w:t>
            </w:r>
          </w:p>
        </w:tc>
        <w:tc>
          <w:tcPr>
            <w:tcW w:type="dxa" w:w="374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2</w:t>
            </w:r>
          </w:p>
        </w:tc>
      </w:tr>
      <w:tr>
        <w:trPr>
          <w:cantSplit/>
          <w:tblHeader w:val="false"/>
        </w:trPr>
        <w:tc>
          <w:tcPr>
            <w:tcW w:type="dxa" w:w="561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Pakistan</w:t>
            </w:r>
          </w:p>
        </w:tc>
        <w:tc>
          <w:tcPr>
            <w:tcW w:type="dxa" w:w="374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2</w:t>
            </w:r>
          </w:p>
        </w:tc>
      </w:tr>
      <w:tr>
        <w:trPr>
          <w:cantSplit/>
          <w:tblHeader w:val="false"/>
        </w:trPr>
        <w:tc>
          <w:tcPr>
            <w:tcW w:type="dxa" w:w="561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India</w:t>
            </w:r>
          </w:p>
        </w:tc>
        <w:tc>
          <w:tcPr>
            <w:tcW w:type="dxa" w:w="374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2</w:t>
            </w:r>
          </w:p>
        </w:tc>
      </w:tr>
      <w:tr>
        <w:trPr>
          <w:cantSplit/>
          <w:tblHeader w:val="false"/>
        </w:trPr>
        <w:tc>
          <w:tcPr>
            <w:tcW w:type="dxa" w:w="561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Brazil</w:t>
            </w:r>
          </w:p>
        </w:tc>
        <w:tc>
          <w:tcPr>
            <w:tcW w:type="dxa" w:w="374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1</w:t>
            </w:r>
          </w:p>
        </w:tc>
      </w:tr>
      <w:tr>
        <w:trPr>
          <w:cantSplit/>
          <w:tblHeader w:val="false"/>
        </w:trPr>
        <w:tc>
          <w:tcPr>
            <w:tcW w:type="dxa" w:w="561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Qatar</w:t>
            </w:r>
          </w:p>
        </w:tc>
        <w:tc>
          <w:tcPr>
            <w:tcW w:type="dxa" w:w="374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1</w:t>
            </w:r>
          </w:p>
        </w:tc>
      </w:tr>
      <w:tr>
        <w:trPr>
          <w:cantSplit/>
          <w:tblHeader w:val="false"/>
        </w:trPr>
        <w:tc>
          <w:tcPr>
            <w:tcW w:type="dxa" w:w="561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Russia</w:t>
            </w:r>
          </w:p>
        </w:tc>
        <w:tc>
          <w:tcPr>
            <w:tcW w:type="dxa" w:w="374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1</w:t>
            </w:r>
          </w:p>
        </w:tc>
      </w:tr>
    </w:tbl>
    <w:p>
      <w:pPr>
        <w:spacing w:after="80"/>
      </w:pPr>
    </w:p>
    <w:p>
      <w:pPr>
        <w:spacing w:after="120" w:line="264"/>
        <w:jc w:val="both"/>
      </w:pPr>
      <w:r>
        <w:rPr>
          <w:rFonts w:ascii="Calibri" w:cs="Calibri" w:eastAsia="Calibri" w:hAnsi="Calibri"/>
          <w:sz w:val="22"/>
          <w:szCs w:val="22"/>
        </w:rPr>
        <w:t xml:space="preserve">Figure 1 maps the same data. Each shaded country is one where at least one author of an independent citing work is based, and the figure in each country is the number of citing works with an author there.</w:t>
      </w:r>
    </w:p>
    <w:p>
      <w:pPr>
        <w:keepNext/>
        <w:spacing w:after="60" w:before="120"/>
        <w:jc w:val="center"/>
      </w:pPr>
      <w:r>
        <w:drawing>
          <wp:inline distT="0" distB="0" distL="0" distR="0">
            <wp:extent cx="5715000" cy="2466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466975"/>
                    </a:xfrm>
                    <a:prstGeom prst="rect">
                      <a:avLst/>
                    </a:prstGeom>
                  </pic:spPr>
                </pic:pic>
              </a:graphicData>
            </a:graphic>
          </wp:inline>
        </w:drawing>
      </w:r>
    </w:p>
    <w:p>
      <w:pPr>
        <w:spacing w:after="160"/>
        <w:jc w:val="center"/>
      </w:pPr>
      <w:r>
        <w:rPr>
          <w:rFonts w:ascii="Calibri" w:cs="Calibri" w:eastAsia="Calibri" w:hAnsi="Calibri"/>
          <w:b/>
          <w:bCs/>
          <w:sz w:val="20"/>
          <w:szCs w:val="20"/>
        </w:rPr>
        <w:t xml:space="preserve">Figure 1. Countries of the authors of the independent works that cite my research (Table 31)</w:t>
      </w:r>
    </w:p>
    <w:p>
      <w:pPr>
        <w:spacing w:after="120" w:line="264"/>
        <w:jc w:val="both"/>
      </w:pPr>
      <w:r>
        <w:rPr>
          <w:rFonts w:ascii="Calibri" w:cs="Calibri" w:eastAsia="Calibri" w:hAnsi="Calibri"/>
          <w:sz w:val="22"/>
          <w:szCs w:val="22"/>
        </w:rPr>
        <w:t xml:space="preserve">Three features of this record bear on the second prong. First, the use is international and independent: the citing authors work in at least twelve countries, and their affiliations include Mississippi State University, Saint Louis University, Columbia Business School, the University of Virginia Darden School, Auburn University, Montclair State University, the University of Central Missouri and the University of the Potomac, as well as Amazon, KPMG, the Vanguard Group and United Parcel Service. None is a co-author of the paper cited. Second, the use crosses fields: the works cite my research in network security, zero-trust IoT security, firmware security, healthcare risk management, financial fraud detection, procurement and supply chains, and several rely on it as the authority for specific technical statements (Table 32). Third, the use is current and continuing: the works were published from 2023 through 2026. The Notice records 846 citations on my Google Scholar profile, 843 of them since 2021, and a most-cited article with 247 citations; the current profile capture is at </w:t>
      </w:r>
      <w:r>
        <w:rPr>
          <w:rFonts w:ascii="Calibri" w:cs="Calibri" w:eastAsia="Calibri" w:hAnsi="Calibri"/>
          <w:b/>
          <w:bCs/>
          <w:color w:val="FF0000"/>
          <w:sz w:val="22"/>
          <w:szCs w:val="22"/>
        </w:rPr>
        <w:t xml:space="preserve">Exhibit RFE-5</w:t>
      </w:r>
      <w:r>
        <w:rPr>
          <w:rFonts w:ascii="Calibri" w:cs="Calibri" w:eastAsia="Calibri" w:hAnsi="Calibri"/>
          <w:sz w:val="22"/>
          <w:szCs w:val="22"/>
        </w:rPr>
        <w:t xml:space="preserve">. The Notice states that someone of substantial impact "would be known outside the circle of her personal or professional acquaintances." The authors in Table 31 are researchers outside that circle: none is a co-author, and each found and cited my work in their own published research.</w:t>
      </w:r>
    </w:p>
    <w:p>
      <w:pPr>
        <w:pStyle w:val="Heading2"/>
        <w:keepNext/>
        <w:spacing w:after="100" w:before="200"/>
      </w:pPr>
      <w:r>
        <w:rPr>
          <w:rFonts w:ascii="Calibri" w:cs="Calibri" w:eastAsia="Calibri" w:hAnsi="Calibri"/>
          <w:b/>
          <w:bCs/>
          <w:color w:val="1F3864"/>
          <w:sz w:val="23"/>
          <w:szCs w:val="23"/>
        </w:rPr>
        <w:t xml:space="preserve">D. Ongoing research activity</w:t>
      </w:r>
    </w:p>
    <w:p>
      <w:pPr>
        <w:spacing w:after="120" w:line="264"/>
        <w:jc w:val="both"/>
      </w:pPr>
      <w:r>
        <w:rPr>
          <w:rFonts w:ascii="Calibri" w:cs="Calibri" w:eastAsia="Calibri" w:hAnsi="Calibri"/>
          <w:sz w:val="22"/>
          <w:szCs w:val="22"/>
        </w:rPr>
        <w:t xml:space="preserve">The Notice states that "the record does not support a conclusion that the beneficiary is or would be engaged in any ongoing research activities." My research has continued without interruption. In 2025 I published "An Advanced Cybersecurity Model for Protecting Smart Transport Systems Against Emerging Threats" in the </w:t>
      </w:r>
      <w:r>
        <w:rPr>
          <w:rFonts w:ascii="Calibri" w:cs="Calibri" w:eastAsia="Calibri" w:hAnsi="Calibri"/>
          <w:i/>
          <w:iCs/>
          <w:sz w:val="22"/>
          <w:szCs w:val="22"/>
        </w:rPr>
        <w:t xml:space="preserve">Engineering and Technology Journal</w:t>
      </w:r>
      <w:r>
        <w:rPr>
          <w:rFonts w:ascii="Calibri" w:cs="Calibri" w:eastAsia="Calibri" w:hAnsi="Calibri"/>
          <w:sz w:val="22"/>
          <w:szCs w:val="22"/>
        </w:rPr>
        <w:t xml:space="preserve">, volume 10, issue 1; "A Holistic Cyber Risk Assessment Model to Identify and Mitigate Threats in US and Canadian Enterprises" in the </w:t>
      </w:r>
      <w:r>
        <w:rPr>
          <w:rFonts w:ascii="Calibri" w:cs="Calibri" w:eastAsia="Calibri" w:hAnsi="Calibri"/>
          <w:i/>
          <w:iCs/>
          <w:sz w:val="22"/>
          <w:szCs w:val="22"/>
        </w:rPr>
        <w:t xml:space="preserve">International Journal of Multidisciplinary Research and Growth Evaluation</w:t>
      </w:r>
      <w:r>
        <w:rPr>
          <w:rFonts w:ascii="Calibri" w:cs="Calibri" w:eastAsia="Calibri" w:hAnsi="Calibri"/>
          <w:sz w:val="22"/>
          <w:szCs w:val="22"/>
        </w:rPr>
        <w:t xml:space="preserve">, volume 6, issue 1; and, as first author, "Leveraging Advanced Technologies for Efficient Project Management in Telecommunications," in the same journal and issue (petition </w:t>
      </w:r>
      <w:r>
        <w:rPr>
          <w:rFonts w:ascii="Calibri" w:cs="Calibri" w:eastAsia="Calibri" w:hAnsi="Calibri"/>
          <w:b/>
          <w:bCs/>
          <w:color w:val="FF0000"/>
          <w:sz w:val="22"/>
          <w:szCs w:val="22"/>
        </w:rPr>
        <w:t xml:space="preserve">Exhibit 13</w:t>
      </w:r>
      <w:r>
        <w:rPr>
          <w:rFonts w:ascii="Calibri" w:cs="Calibri" w:eastAsia="Calibri" w:hAnsi="Calibri"/>
          <w:sz w:val="22"/>
          <w:szCs w:val="22"/>
        </w:rPr>
        <w:t xml:space="preserve">). Between 2023 and 2025 I completed at least eighteen documented manuscript reviews for seven journals, with reviewer certificates from three (petition </w:t>
      </w:r>
      <w:r>
        <w:rPr>
          <w:rFonts w:ascii="Calibri" w:cs="Calibri" w:eastAsia="Calibri" w:hAnsi="Calibri"/>
          <w:b/>
          <w:bCs/>
          <w:color w:val="FF0000"/>
          <w:sz w:val="22"/>
          <w:szCs w:val="22"/>
        </w:rPr>
        <w:t xml:space="preserve">Exhibit 14</w:t>
      </w:r>
      <w:r>
        <w:rPr>
          <w:rFonts w:ascii="Calibri" w:cs="Calibri" w:eastAsia="Calibri" w:hAnsi="Calibri"/>
          <w:sz w:val="22"/>
          <w:szCs w:val="22"/>
        </w:rPr>
        <w:t xml:space="preserve">). The research of this endeavor has begun from that base (Part VI.E).</w:t>
      </w:r>
    </w:p>
    <w:p>
      <w:pPr>
        <w:spacing w:after="120" w:line="264"/>
        <w:jc w:val="both"/>
      </w:pPr>
      <w:r>
        <w:rPr>
          <w:rFonts w:ascii="Calibri" w:cs="Calibri" w:eastAsia="Calibri" w:hAnsi="Calibri"/>
          <w:sz w:val="22"/>
          <w:szCs w:val="22"/>
        </w:rPr>
        <w:t xml:space="preserve">The endeavor's first papers are already being written. Table 25 lists the three manuscripts I am now preparing, each tied to one project, with its target journals drawn from Table 21. Each will be submitted on the schedule in Table 7, and each will be published open access with the code and data that produced it.</w:t>
      </w:r>
    </w:p>
    <w:p>
      <w:pPr>
        <w:keepNext/>
        <w:spacing w:after="80" w:before="160"/>
      </w:pPr>
      <w:r>
        <w:rPr>
          <w:rFonts w:ascii="Calibri" w:cs="Calibri" w:eastAsia="Calibri" w:hAnsi="Calibri"/>
          <w:b/>
          <w:bCs/>
          <w:sz w:val="21"/>
          <w:szCs w:val="21"/>
        </w:rPr>
        <w:t xml:space="preserve">Table 25. Manuscripts in preparation for the endeavor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82"/>
        <w:gridCol w:w="1310"/>
        <w:gridCol w:w="1685"/>
        <w:gridCol w:w="3183"/>
      </w:tblGrid>
      <w:tr>
        <w:trPr>
          <w:cantSplit/>
          <w:tblHeader/>
        </w:trPr>
        <w:tc>
          <w:tcPr>
            <w:tcW w:type="dxa" w:w="318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b/>
                <w:bCs/>
                <w:sz w:val="19"/>
                <w:szCs w:val="19"/>
              </w:rPr>
              <w:t xml:space="preserve">Working title</w:t>
            </w:r>
          </w:p>
        </w:tc>
        <w:tc>
          <w:tcPr>
            <w:tcW w:type="dxa" w:w="131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b/>
                <w:bCs/>
                <w:sz w:val="19"/>
                <w:szCs w:val="19"/>
              </w:rPr>
              <w:t xml:space="preserve">Project</w:t>
            </w:r>
          </w:p>
        </w:tc>
        <w:tc>
          <w:tcPr>
            <w:tcW w:type="dxa" w:w="168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b/>
                <w:bCs/>
                <w:sz w:val="19"/>
                <w:szCs w:val="19"/>
              </w:rPr>
              <w:t xml:space="preserve">Status</w:t>
            </w:r>
          </w:p>
        </w:tc>
        <w:tc>
          <w:tcPr>
            <w:tcW w:type="dxa" w:w="318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b/>
                <w:bCs/>
                <w:sz w:val="19"/>
                <w:szCs w:val="19"/>
              </w:rPr>
              <w:t xml:space="preserve">Target journals (first choice, then alternate)</w:t>
            </w:r>
          </w:p>
        </w:tc>
      </w:tr>
      <w:tr>
        <w:trPr>
          <w:cantSplit/>
          <w:tblHeader w:val="false"/>
        </w:trPr>
        <w:tc>
          <w:tcPr>
            <w:tcW w:type="dxa" w:w="318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Measured Zero Trust Control Ordering for Critical Access Hospitals: A Reproducible Attack-Emulation Study</w:t>
            </w:r>
          </w:p>
        </w:tc>
        <w:tc>
          <w:tcPr>
            <w:tcW w:type="dxa" w:w="131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Project 2 (with Project 1)</w:t>
            </w:r>
          </w:p>
        </w:tc>
        <w:tc>
          <w:tcPr>
            <w:tcW w:type="dxa" w:w="168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Method and hospital reference environment drafted; results to follow the first emulation runs</w:t>
            </w:r>
          </w:p>
        </w:tc>
        <w:tc>
          <w:tcPr>
            <w:tcW w:type="dxa" w:w="318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Organizational Cybersecurity Journal; High-Confidence Computing</w:t>
            </w:r>
          </w:p>
        </w:tc>
      </w:tr>
      <w:tr>
        <w:trPr>
          <w:cantSplit/>
          <w:tblHeader w:val="false"/>
        </w:trPr>
        <w:tc>
          <w:tcPr>
            <w:tcW w:type="dxa" w:w="318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One Audit, Two Readings: Joint Cost and Security Auditing of Identities and Cloud Resources in Small Institutions</w:t>
            </w:r>
          </w:p>
        </w:tc>
        <w:tc>
          <w:tcPr>
            <w:tcW w:type="dxa" w:w="131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Project 3</w:t>
            </w:r>
          </w:p>
        </w:tc>
        <w:tc>
          <w:tcPr>
            <w:tcW w:type="dxa" w:w="168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Framework and audit design drafted; measurement in progress</w:t>
            </w:r>
          </w:p>
        </w:tc>
        <w:tc>
          <w:tcPr>
            <w:tcW w:type="dxa" w:w="318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Issues in Information Systems; Journal of Strategic Security</w:t>
            </w:r>
          </w:p>
        </w:tc>
      </w:tr>
      <w:tr>
        <w:trPr>
          <w:cantSplit/>
          <w:tblHeader w:val="false"/>
        </w:trPr>
        <w:tc>
          <w:tcPr>
            <w:tcW w:type="dxa" w:w="318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Accountability Records for Non-Human Identities: A Departure-Triggered Review Method for Under-Resourced Organizations</w:t>
            </w:r>
          </w:p>
        </w:tc>
        <w:tc>
          <w:tcPr>
            <w:tcW w:type="dxa" w:w="131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Project 1 (with Project 3)</w:t>
            </w:r>
          </w:p>
        </w:tc>
        <w:tc>
          <w:tcPr>
            <w:tcW w:type="dxa" w:w="168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Accountability record and review workflow specified; evaluation design drafted</w:t>
            </w:r>
          </w:p>
        </w:tc>
        <w:tc>
          <w:tcPr>
            <w:tcW w:type="dxa" w:w="318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Journal of Cybersecurity Education, Research and Practice; The Cyber Defense Review</w:t>
            </w:r>
          </w:p>
        </w:tc>
      </w:tr>
    </w:tbl>
    <w:p>
      <w:pPr>
        <w:spacing w:after="80"/>
      </w:pPr>
    </w:p>
    <w:p>
      <w:pPr>
        <w:spacing w:after="120" w:line="264"/>
        <w:jc w:val="both"/>
      </w:pPr>
      <w:r>
        <w:rPr>
          <w:rFonts w:ascii="Calibri" w:cs="Calibri" w:eastAsia="Calibri" w:hAnsi="Calibri"/>
          <w:b/>
          <w:bCs/>
          <w:sz w:val="22"/>
          <w:szCs w:val="22"/>
        </w:rPr>
        <w:t xml:space="preserve">Manuscript 1. Measured Zero Trust Control Ordering for Critical Access Hospitals.</w:t>
      </w:r>
      <w:r>
        <w:rPr>
          <w:rFonts w:ascii="Calibri" w:cs="Calibri" w:eastAsia="Calibri" w:hAnsi="Calibri"/>
          <w:sz w:val="22"/>
          <w:szCs w:val="22"/>
        </w:rPr>
        <w:t xml:space="preserve"> Abstract: Small rural hospitals face the same identity and cloud attacks as large health systems with a fraction of the staff, and federal Zero Trust guidance does not tell them which controls to deploy first. This study builds a reproducible reference environment modelled on a 25-bed critical access hospital, seeded with the defects most often found in such settings: dormant and shared accounts, standing administrator rights, password-only remote access, publicly readable storage and unowned service accounts. Documented adversary techniques drawn from the MITRE ATT&amp;CK knowledge base are emulated against the environment before and after each control is applied, one control at a time. For each control the study records the attack paths blocked, detected or left open, the deployment time for a two-person team and the direct cost, and it derives a ranked deployment order that removes the most attack paths per hour and per dollar. The ranked order is compared with the order implied by the CISA Zero Trust Maturity Model and mapped to the HHS Cybersecurity Performance Goals and the HIPAA Security Rule. The environment code, emulation plan and results are released openly so that any hospital or researcher can rerun the study.</w:t>
      </w:r>
    </w:p>
    <w:p>
      <w:pPr>
        <w:spacing w:after="120" w:line="264"/>
        <w:jc w:val="both"/>
      </w:pPr>
      <w:r>
        <w:rPr>
          <w:rFonts w:ascii="Calibri" w:cs="Calibri" w:eastAsia="Calibri" w:hAnsi="Calibri"/>
          <w:b/>
          <w:bCs/>
          <w:sz w:val="22"/>
          <w:szCs w:val="22"/>
        </w:rPr>
        <w:t xml:space="preserve">Manuscript 2. One Audit, Two Readings.</w:t>
      </w:r>
      <w:r>
        <w:rPr>
          <w:rFonts w:ascii="Calibri" w:cs="Calibri" w:eastAsia="Calibri" w:hAnsi="Calibri"/>
          <w:sz w:val="22"/>
          <w:szCs w:val="22"/>
        </w:rPr>
        <w:t xml:space="preserve"> Abstract: Cloud cost management and security audit are usually run by different teams with different tools, so the waste that could pay for security is rarely found together with the risk it represents. This paper tests whether a single audit of identities, licence assignments, cloud resources and billing data surfaces both at once. Open audit scripts are run against reproducible reference environments modelled on a critical access hospital, a community bank, a small business and a county government. Every item that is both a cost and a risk is flagged, such as a paid licence on a dormant account, an idle virtual machine with an open management port or an unused storage bucket that is publicly readable. The study measures the share of security findings that the cost audit also surfaces and the spending recovered, set against the first-year cost of the identity and access controls each institution needs. It reports the institution classes in which recovered waste covers that cost and the assumptions on which the result depends. The scripts and results are published so that institutions can run the same audit on their own estates.</w:t>
      </w:r>
    </w:p>
    <w:p>
      <w:pPr>
        <w:spacing w:after="120" w:line="264"/>
        <w:jc w:val="both"/>
      </w:pPr>
      <w:r>
        <w:rPr>
          <w:rFonts w:ascii="Calibri" w:cs="Calibri" w:eastAsia="Calibri" w:hAnsi="Calibri"/>
          <w:b/>
          <w:bCs/>
          <w:sz w:val="22"/>
          <w:szCs w:val="22"/>
        </w:rPr>
        <w:t xml:space="preserve">Manuscript 3. Accountability Records for Non-Human Identities.</w:t>
      </w:r>
      <w:r>
        <w:rPr>
          <w:rFonts w:ascii="Calibri" w:cs="Calibri" w:eastAsia="Calibri" w:hAnsi="Calibri"/>
          <w:sz w:val="22"/>
          <w:szCs w:val="22"/>
        </w:rPr>
        <w:t xml:space="preserve"> Abstract: Service accounts, application registrations, API keys, certificates and AI agents now outnumber people in many cloud estates, yet their creation and retirement are not tied to any HR event, and a departing employee often leaves several of them behind with no owner. This paper defines an accountability record that every non-human identity should carry before it is approved for use, covering owner, purpose, dependencies, permissions and a review or retirement condition, and a departure-triggered review method that lists every identity and resource anchored to a person who leaves, with a recommended action for each. The method treats a missing owner as a finding to investigate, not an instruction to delete. It is evaluated in reproducible environments against a disable-only offboarding baseline, measuring assets found, assets missed, false flags and service disruptions caused by approved changes. The record template and review workflow are released as open tools for small institutions.</w:t>
      </w:r>
    </w:p>
    <w:p>
      <w:pPr>
        <w:pStyle w:val="Heading2"/>
        <w:keepNext/>
        <w:spacing w:after="100" w:before="200"/>
      </w:pPr>
      <w:r>
        <w:rPr>
          <w:rFonts w:ascii="Calibri" w:cs="Calibri" w:eastAsia="Calibri" w:hAnsi="Calibri"/>
          <w:b/>
          <w:bCs/>
          <w:color w:val="1F3864"/>
          <w:sz w:val="23"/>
          <w:szCs w:val="23"/>
        </w:rPr>
        <w:t xml:space="preserve">E. Progress toward the proposed endeavor</w:t>
      </w:r>
    </w:p>
    <w:p>
      <w:pPr>
        <w:spacing w:after="120" w:line="264"/>
        <w:jc w:val="both"/>
      </w:pPr>
      <w:r>
        <w:rPr>
          <w:rFonts w:ascii="Calibri" w:cs="Calibri" w:eastAsia="Calibri" w:hAnsi="Calibri"/>
          <w:sz w:val="22"/>
          <w:szCs w:val="22"/>
        </w:rPr>
        <w:t xml:space="preserve">The Notice asks "what work you have already completed toward the projects in question." Table 26 sets out the progress already made, each item tied to the project it advances.</w:t>
      </w:r>
    </w:p>
    <w:p>
      <w:pPr>
        <w:keepNext/>
        <w:spacing w:after="80" w:before="160"/>
      </w:pPr>
      <w:r>
        <w:rPr>
          <w:rFonts w:ascii="Calibri" w:cs="Calibri" w:eastAsia="Calibri" w:hAnsi="Calibri"/>
          <w:b/>
          <w:bCs/>
          <w:sz w:val="21"/>
          <w:szCs w:val="21"/>
        </w:rPr>
        <w:t xml:space="preserve">Table 26. Progress already made toward the endeavor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31"/>
        <w:gridCol w:w="2808"/>
        <w:gridCol w:w="2621"/>
      </w:tblGrid>
      <w:tr>
        <w:trPr>
          <w:cantSplit/>
          <w:tblHeader/>
        </w:trPr>
        <w:tc>
          <w:tcPr>
            <w:tcW w:type="dxa" w:w="393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b/>
                <w:bCs/>
                <w:sz w:val="19"/>
                <w:szCs w:val="19"/>
              </w:rPr>
              <w:t xml:space="preserve">Achievement</w:t>
            </w:r>
          </w:p>
        </w:tc>
        <w:tc>
          <w:tcPr>
            <w:tcW w:type="dxa" w:w="280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b/>
                <w:bCs/>
                <w:sz w:val="19"/>
                <w:szCs w:val="19"/>
              </w:rPr>
              <w:t xml:space="preserve">Project advanced</w:t>
            </w:r>
          </w:p>
        </w:tc>
        <w:tc>
          <w:tcPr>
            <w:tcW w:type="dxa" w:w="262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b/>
                <w:bCs/>
                <w:sz w:val="19"/>
                <w:szCs w:val="19"/>
              </w:rPr>
              <w:t xml:space="preserve">Evidence</w:t>
            </w:r>
          </w:p>
        </w:tc>
      </w:tr>
      <w:tr>
        <w:trPr>
          <w:cantSplit/>
          <w:tblHeader w:val="false"/>
        </w:trPr>
        <w:tc>
          <w:tcPr>
            <w:tcW w:type="dxa" w:w="393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Six-pillar framework designed, with each pillar's control families and production evidence stated</w:t>
            </w:r>
          </w:p>
        </w:tc>
        <w:tc>
          <w:tcPr>
            <w:tcW w:type="dxa" w:w="280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All three projects (the framework under test)</w:t>
            </w:r>
          </w:p>
        </w:tc>
        <w:tc>
          <w:tcPr>
            <w:tcW w:type="dxa" w:w="262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Petition </w:t>
            </w:r>
            <w:r>
              <w:rPr>
                <w:rFonts w:ascii="Calibri" w:cs="Calibri" w:eastAsia="Calibri" w:hAnsi="Calibri"/>
                <w:color w:val="FF0000"/>
                <w:sz w:val="19"/>
                <w:szCs w:val="19"/>
              </w:rPr>
              <w:t xml:space="preserve">Exhibit 18</w:t>
            </w:r>
            <w:r>
              <w:rPr>
                <w:rFonts w:ascii="Calibri" w:cs="Calibri" w:eastAsia="Calibri" w:hAnsi="Calibri"/>
                <w:sz w:val="19"/>
                <w:szCs w:val="19"/>
              </w:rPr>
              <w:t xml:space="preserve">; petition Part V.D</w:t>
            </w:r>
          </w:p>
        </w:tc>
      </w:tr>
      <w:tr>
        <w:trPr>
          <w:cantSplit/>
          <w:tblHeader w:val="false"/>
        </w:trPr>
        <w:tc>
          <w:tcPr>
            <w:tcW w:type="dxa" w:w="393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Access-surface reduction and protocol elimination executed at national scale</w:t>
            </w:r>
          </w:p>
        </w:tc>
        <w:tc>
          <w:tcPr>
            <w:tcW w:type="dxa" w:w="280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Project 2 (controls to be measured)</w:t>
            </w:r>
          </w:p>
        </w:tc>
        <w:tc>
          <w:tcPr>
            <w:tcW w:type="dxa" w:w="262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Petition </w:t>
            </w:r>
            <w:r>
              <w:rPr>
                <w:rFonts w:ascii="Calibri" w:cs="Calibri" w:eastAsia="Calibri" w:hAnsi="Calibri"/>
                <w:color w:val="FF0000"/>
                <w:sz w:val="19"/>
                <w:szCs w:val="19"/>
              </w:rPr>
              <w:t xml:space="preserve">Exhibits 4, 5 and 7</w:t>
            </w:r>
          </w:p>
        </w:tc>
      </w:tr>
      <w:tr>
        <w:trPr>
          <w:cantSplit/>
          <w:tblHeader w:val="false"/>
        </w:trPr>
        <w:tc>
          <w:tcPr>
            <w:tcW w:type="dxa" w:w="393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Conditional access, storage remediation and licence audit executed in U.S. enterprise practice, with measured outcomes</w:t>
            </w:r>
          </w:p>
        </w:tc>
        <w:tc>
          <w:tcPr>
            <w:tcW w:type="dxa" w:w="280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Projects 2 and 3</w:t>
            </w:r>
          </w:p>
        </w:tc>
        <w:tc>
          <w:tcPr>
            <w:tcW w:type="dxa" w:w="262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Petition </w:t>
            </w:r>
            <w:r>
              <w:rPr>
                <w:rFonts w:ascii="Calibri" w:cs="Calibri" w:eastAsia="Calibri" w:hAnsi="Calibri"/>
                <w:color w:val="FF0000"/>
                <w:sz w:val="19"/>
                <w:szCs w:val="19"/>
              </w:rPr>
              <w:t xml:space="preserve">Exhibits 11 and 18</w:t>
            </w:r>
          </w:p>
        </w:tc>
      </w:tr>
      <w:tr>
        <w:trPr>
          <w:cantSplit/>
          <w:tblHeader w:val="false"/>
        </w:trPr>
        <w:tc>
          <w:tcPr>
            <w:tcW w:type="dxa" w:w="393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Published framework papers on cloud compliance, GRC, cyber risk assessment and zero-trust identity</w:t>
            </w:r>
          </w:p>
        </w:tc>
        <w:tc>
          <w:tcPr>
            <w:tcW w:type="dxa" w:w="280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Project 1 (catalogue and mappings)</w:t>
            </w:r>
          </w:p>
        </w:tc>
        <w:tc>
          <w:tcPr>
            <w:tcW w:type="dxa" w:w="262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Petition </w:t>
            </w:r>
            <w:r>
              <w:rPr>
                <w:rFonts w:ascii="Calibri" w:cs="Calibri" w:eastAsia="Calibri" w:hAnsi="Calibri"/>
                <w:color w:val="FF0000"/>
                <w:sz w:val="19"/>
                <w:szCs w:val="19"/>
              </w:rPr>
              <w:t xml:space="preserve">Exhibit 13</w:t>
            </w:r>
          </w:p>
        </w:tc>
      </w:tr>
      <w:tr>
        <w:trPr>
          <w:cantSplit/>
          <w:tblHeader w:val="false"/>
        </w:trPr>
        <w:tc>
          <w:tcPr>
            <w:tcW w:type="dxa" w:w="393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Published work independently cited in 2025 and 2026</w:t>
            </w:r>
          </w:p>
        </w:tc>
        <w:tc>
          <w:tcPr>
            <w:tcW w:type="dxa" w:w="280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Uptake of the research line</w:t>
            </w:r>
          </w:p>
        </w:tc>
        <w:tc>
          <w:tcPr>
            <w:tcW w:type="dxa" w:w="262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color w:val="FF0000"/>
                <w:sz w:val="19"/>
                <w:szCs w:val="19"/>
              </w:rPr>
              <w:t xml:space="preserve">Exhibits RFE-5 and RFE-6</w:t>
            </w:r>
          </w:p>
        </w:tc>
      </w:tr>
      <w:tr>
        <w:trPr>
          <w:cantSplit/>
          <w:tblHeader w:val="false"/>
        </w:trPr>
        <w:tc>
          <w:tcPr>
            <w:tcW w:type="dxa" w:w="393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Self-funding in place from personal funds</w:t>
            </w:r>
          </w:p>
        </w:tc>
        <w:tc>
          <w:tcPr>
            <w:tcW w:type="dxa" w:w="280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All projects</w:t>
            </w:r>
          </w:p>
        </w:tc>
        <w:tc>
          <w:tcPr>
            <w:tcW w:type="dxa" w:w="262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color w:val="FF0000"/>
                <w:sz w:val="19"/>
                <w:szCs w:val="19"/>
              </w:rPr>
              <w:t xml:space="preserve">Exhibits RFE-3 and RFE-4</w:t>
            </w:r>
          </w:p>
        </w:tc>
      </w:tr>
    </w:tbl>
    <w:p>
      <w:pPr>
        <w:spacing w:after="80"/>
      </w:pPr>
    </w:p>
    <w:p>
      <w:pPr>
        <w:spacing w:after="120" w:line="264"/>
        <w:jc w:val="both"/>
      </w:pPr>
      <w:r>
        <w:rPr>
          <w:rFonts w:ascii="Calibri" w:cs="Calibri" w:eastAsia="Calibri" w:hAnsi="Calibri"/>
          <w:sz w:val="22"/>
          <w:szCs w:val="22"/>
        </w:rPr>
        <w:t xml:space="preserve">The Notice states that "the record does not support a conclusion that the beneficiary is or would be engaged in any ongoing research activities or projects." My published research shows the opposite: each component of the endeavor has already been the subject of a peer-reviewed paper of mine. Table 27 sets the papers against the parts of the endeavor they prepared. The endeavor is the next step of a research line I have already run for five years, not a new venture.</w:t>
      </w:r>
    </w:p>
    <w:p>
      <w:pPr>
        <w:keepNext/>
        <w:spacing w:after="80" w:before="160"/>
      </w:pPr>
      <w:r>
        <w:rPr>
          <w:rFonts w:ascii="Calibri" w:cs="Calibri" w:eastAsia="Calibri" w:hAnsi="Calibri"/>
          <w:b/>
          <w:bCs/>
          <w:sz w:val="21"/>
          <w:szCs w:val="21"/>
        </w:rPr>
        <w:t xml:space="preserve">Table 27. My published papers and the part of the endeavor each already advanced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4"/>
        <w:gridCol w:w="2995"/>
        <w:gridCol w:w="2621"/>
      </w:tblGrid>
      <w:tr>
        <w:trPr>
          <w:cantSplit/>
          <w:tblHeader/>
        </w:trPr>
        <w:tc>
          <w:tcPr>
            <w:tcW w:type="dxa" w:w="374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b/>
                <w:bCs/>
                <w:sz w:val="19"/>
                <w:szCs w:val="19"/>
              </w:rPr>
              <w:t xml:space="preserve">Paper (year)</w:t>
            </w:r>
          </w:p>
        </w:tc>
        <w:tc>
          <w:tcPr>
            <w:tcW w:type="dxa" w:w="299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b/>
                <w:bCs/>
                <w:sz w:val="19"/>
                <w:szCs w:val="19"/>
              </w:rPr>
              <w:t xml:space="preserve">What it established</w:t>
            </w:r>
          </w:p>
        </w:tc>
        <w:tc>
          <w:tcPr>
            <w:tcW w:type="dxa" w:w="262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b/>
                <w:bCs/>
                <w:sz w:val="19"/>
                <w:szCs w:val="19"/>
              </w:rPr>
              <w:t xml:space="preserve">Part of the endeavor it prepared</w:t>
            </w:r>
          </w:p>
        </w:tc>
      </w:tr>
      <w:tr>
        <w:trPr>
          <w:cantSplit/>
          <w:tblHeader w:val="false"/>
        </w:trPr>
        <w:tc>
          <w:tcPr>
            <w:tcW w:type="dxa" w:w="374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A Cyber Risk Management Framework to Address Evolving Threats in U.S. and Canadian Critical Infrastructure (2021)</w:t>
            </w:r>
          </w:p>
        </w:tc>
        <w:tc>
          <w:tcPr>
            <w:tcW w:type="dxa" w:w="299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A risk management framework for U.S. and Canadian critical infrastructure aligned with the NIST Cybersecurity Framework</w:t>
            </w:r>
          </w:p>
        </w:tc>
        <w:tc>
          <w:tcPr>
            <w:tcW w:type="dxa" w:w="262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Project 1: control catalogue mapped to federal frameworks</w:t>
            </w:r>
          </w:p>
        </w:tc>
      </w:tr>
      <w:tr>
        <w:trPr>
          <w:cantSplit/>
          <w:tblHeader w:val="false"/>
        </w:trPr>
        <w:tc>
          <w:tcPr>
            <w:tcW w:type="dxa" w:w="374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Creating Industry-Specific Cybersecurity Policies to Address Risks in Critical Sectors Across North America (2023)</w:t>
            </w:r>
          </w:p>
        </w:tc>
        <w:tc>
          <w:tcPr>
            <w:tcW w:type="dxa" w:w="299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Security policy built to the risk profile of each sector, including healthcare and finance, rather than one generic policy</w:t>
            </w:r>
          </w:p>
        </w:tc>
        <w:tc>
          <w:tcPr>
            <w:tcW w:type="dxa" w:w="262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Project 1: one reference environment per institution class</w:t>
            </w:r>
          </w:p>
        </w:tc>
      </w:tr>
      <w:tr>
        <w:trPr>
          <w:cantSplit/>
          <w:tblHeader w:val="false"/>
        </w:trPr>
        <w:tc>
          <w:tcPr>
            <w:tcW w:type="dxa" w:w="374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A Governance, Risk, and Compliance (GRC) Model to Simplify Regulatory Compliance for North American Businesses (2023)</w:t>
            </w:r>
          </w:p>
        </w:tc>
        <w:tc>
          <w:tcPr>
            <w:tcW w:type="dxa" w:w="299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One governance process for risk and compliance decisions</w:t>
            </w:r>
          </w:p>
        </w:tc>
        <w:tc>
          <w:tcPr>
            <w:tcW w:type="dxa" w:w="262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The six-step governance method; the sixth pillar</w:t>
            </w:r>
          </w:p>
        </w:tc>
      </w:tr>
      <w:tr>
        <w:trPr>
          <w:cantSplit/>
          <w:tblHeader w:val="false"/>
        </w:trPr>
        <w:tc>
          <w:tcPr>
            <w:tcW w:type="dxa" w:w="374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A Cloud Security Compliance Framework to Tackle Emerging Data Protection Issues in U.S. and Canada (2024)</w:t>
            </w:r>
          </w:p>
        </w:tc>
        <w:tc>
          <w:tcPr>
            <w:tcW w:type="dxa" w:w="299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Mapping of U.S. and Canadian data protection rules to ISO 27001 and NIST controls</w:t>
            </w:r>
          </w:p>
        </w:tc>
        <w:tc>
          <w:tcPr>
            <w:tcW w:type="dxa" w:w="262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Project 1: crosswalks to HIPAA, Safeguards Rule and FFIEC</w:t>
            </w:r>
          </w:p>
        </w:tc>
      </w:tr>
      <w:tr>
        <w:trPr>
          <w:cantSplit/>
          <w:tblHeader w:val="false"/>
        </w:trPr>
        <w:tc>
          <w:tcPr>
            <w:tcW w:type="dxa" w:w="374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A Conceptual Model for Real-Time Data Synchronization in Multi-Cloud Environments (2024)</w:t>
            </w:r>
          </w:p>
        </w:tc>
        <w:tc>
          <w:tcPr>
            <w:tcW w:type="dxa" w:w="299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Architecture for consistent data across several cloud platforms</w:t>
            </w:r>
          </w:p>
        </w:tc>
        <w:tc>
          <w:tcPr>
            <w:tcW w:type="dxa" w:w="262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Project 1: reference environments that span cloud providers</w:t>
            </w:r>
          </w:p>
        </w:tc>
      </w:tr>
      <w:tr>
        <w:trPr>
          <w:cantSplit/>
          <w:tblHeader w:val="false"/>
        </w:trPr>
        <w:tc>
          <w:tcPr>
            <w:tcW w:type="dxa" w:w="374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A Holistic Cyber Risk Assessment Model to Identify and Mitigate Threats in US and Canadian Enterprises (2025)</w:t>
            </w:r>
          </w:p>
        </w:tc>
        <w:tc>
          <w:tcPr>
            <w:tcW w:type="dxa" w:w="299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Threat identification, vulnerability analysis, risk evaluation and mitigation as one method</w:t>
            </w:r>
          </w:p>
        </w:tc>
        <w:tc>
          <w:tcPr>
            <w:tcW w:type="dxa" w:w="262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The Discover, Assess and Prioritize steps</w:t>
            </w:r>
          </w:p>
        </w:tc>
      </w:tr>
      <w:tr>
        <w:trPr>
          <w:cantSplit/>
          <w:tblHeader w:val="false"/>
        </w:trPr>
        <w:tc>
          <w:tcPr>
            <w:tcW w:type="dxa" w:w="374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Blockchain and Zero-Trust Identity Management System for Smart Cities and IoT Networks (2023)</w:t>
            </w:r>
          </w:p>
        </w:tc>
        <w:tc>
          <w:tcPr>
            <w:tcW w:type="dxa" w:w="299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Zero-trust identity for large numbers of devices and services</w:t>
            </w:r>
          </w:p>
        </w:tc>
        <w:tc>
          <w:tcPr>
            <w:tcW w:type="dxa" w:w="262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Identity pillar, including non-human identities</w:t>
            </w:r>
          </w:p>
        </w:tc>
      </w:tr>
      <w:tr>
        <w:trPr>
          <w:cantSplit/>
          <w:tblHeader w:val="false"/>
        </w:trPr>
        <w:tc>
          <w:tcPr>
            <w:tcW w:type="dxa" w:w="374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Enhancing Mobile Biometric Authentication: A New Model for Addressing Security Vulnerabilities in Face ID Technology (2024)</w:t>
            </w:r>
          </w:p>
        </w:tc>
        <w:tc>
          <w:tcPr>
            <w:tcW w:type="dxa" w:w="299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Weaknesses in authentication and how to close them</w:t>
            </w:r>
          </w:p>
        </w:tc>
        <w:tc>
          <w:tcPr>
            <w:tcW w:type="dxa" w:w="262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Identity pillar: strength of authentication</w:t>
            </w:r>
          </w:p>
        </w:tc>
      </w:tr>
      <w:tr>
        <w:trPr>
          <w:cantSplit/>
          <w:tblHeader w:val="false"/>
        </w:trPr>
        <w:tc>
          <w:tcPr>
            <w:tcW w:type="dxa" w:w="374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AI-Driven Intrusion Detection and Threat Modeling to Prevent Unauthorized Access in Smart Manufacturing Networks</w:t>
            </w:r>
          </w:p>
        </w:tc>
        <w:tc>
          <w:tcPr>
            <w:tcW w:type="dxa" w:w="299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Threat modelling of how intruders gain unauthorized access</w:t>
            </w:r>
          </w:p>
        </w:tc>
        <w:tc>
          <w:tcPr>
            <w:tcW w:type="dxa" w:w="262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Project 2: the attack emulation plan</w:t>
            </w:r>
          </w:p>
        </w:tc>
      </w:tr>
      <w:tr>
        <w:trPr>
          <w:cantSplit/>
          <w:tblHeader w:val="false"/>
        </w:trPr>
        <w:tc>
          <w:tcPr>
            <w:tcW w:type="dxa" w:w="374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Automated Vulnerability Detection and Firmware Hardening for Industrial IoT Devices (2023)</w:t>
            </w:r>
          </w:p>
        </w:tc>
        <w:tc>
          <w:tcPr>
            <w:tcW w:type="dxa" w:w="299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Finding and closing weaknesses on devices that cannot be replaced</w:t>
            </w:r>
          </w:p>
        </w:tc>
        <w:tc>
          <w:tcPr>
            <w:tcW w:type="dxa" w:w="262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Devices pillar</w:t>
            </w:r>
          </w:p>
        </w:tc>
      </w:tr>
      <w:tr>
        <w:trPr>
          <w:cantSplit/>
          <w:tblHeader w:val="false"/>
        </w:trPr>
        <w:tc>
          <w:tcPr>
            <w:tcW w:type="dxa" w:w="374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AI-Powered Cyber-Physical Security Framework for Critical Industrial IoT Systems (2024)</w:t>
            </w:r>
          </w:p>
        </w:tc>
        <w:tc>
          <w:tcPr>
            <w:tcW w:type="dxa" w:w="299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Segmentation and monitoring of operational systems</w:t>
            </w:r>
          </w:p>
        </w:tc>
        <w:tc>
          <w:tcPr>
            <w:tcW w:type="dxa" w:w="262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Networks and devices pillars</w:t>
            </w:r>
          </w:p>
        </w:tc>
      </w:tr>
      <w:tr>
        <w:trPr>
          <w:cantSplit/>
          <w:tblHeader w:val="false"/>
        </w:trPr>
        <w:tc>
          <w:tcPr>
            <w:tcW w:type="dxa" w:w="374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Secure Smart Home IoT Ecosystem for Public Safety and Privacy Protection (2024)</w:t>
            </w:r>
          </w:p>
        </w:tc>
        <w:tc>
          <w:tcPr>
            <w:tcW w:type="dxa" w:w="299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Privacy protection for personal data on connected systems</w:t>
            </w:r>
          </w:p>
        </w:tc>
        <w:tc>
          <w:tcPr>
            <w:tcW w:type="dxa" w:w="262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Data pillar</w:t>
            </w:r>
          </w:p>
        </w:tc>
      </w:tr>
      <w:tr>
        <w:trPr>
          <w:cantSplit/>
          <w:tblHeader w:val="false"/>
        </w:trPr>
        <w:tc>
          <w:tcPr>
            <w:tcW w:type="dxa" w:w="374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An Advanced Cybersecurity Model for Protecting Smart Transport Systems Against Emerging Threats (2025)</w:t>
            </w:r>
          </w:p>
        </w:tc>
        <w:tc>
          <w:tcPr>
            <w:tcW w:type="dxa" w:w="299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Threats to public infrastructure that small operators run</w:t>
            </w:r>
          </w:p>
        </w:tc>
        <w:tc>
          <w:tcPr>
            <w:tcW w:type="dxa" w:w="262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Project 2: attack paths against public-sector systems</w:t>
            </w:r>
          </w:p>
        </w:tc>
      </w:tr>
    </w:tbl>
    <w:p>
      <w:pPr>
        <w:spacing w:after="80"/>
      </w:pPr>
    </w:p>
    <w:p>
      <w:pPr>
        <w:spacing w:after="120" w:line="264"/>
        <w:jc w:val="both"/>
      </w:pPr>
      <w:r>
        <w:rPr>
          <w:rFonts w:ascii="Calibri" w:cs="Calibri" w:eastAsia="Calibri" w:hAnsi="Calibri"/>
          <w:sz w:val="22"/>
          <w:szCs w:val="22"/>
        </w:rPr>
        <w:t xml:space="preserve">Every paper in Table 27 is in the record (petition </w:t>
      </w:r>
      <w:r>
        <w:rPr>
          <w:rFonts w:ascii="Calibri" w:cs="Calibri" w:eastAsia="Calibri" w:hAnsi="Calibri"/>
          <w:b/>
          <w:bCs/>
          <w:color w:val="FF0000"/>
          <w:sz w:val="22"/>
          <w:szCs w:val="22"/>
        </w:rPr>
        <w:t xml:space="preserve">Exhibit 13</w:t>
      </w:r>
      <w:r>
        <w:rPr>
          <w:rFonts w:ascii="Calibri" w:cs="Calibri" w:eastAsia="Calibri" w:hAnsi="Calibri"/>
          <w:sz w:val="22"/>
          <w:szCs w:val="22"/>
        </w:rPr>
        <w:t xml:space="preserve">), and the papers cited most often by independent authors, on intrusion detection, firmware hardening and zero-trust identity, are the ones closest to Projects 2 and 1 (Table 31).</w:t>
      </w:r>
    </w:p>
    <w:p>
      <w:pPr>
        <w:spacing w:after="120" w:line="264"/>
        <w:jc w:val="both"/>
      </w:pPr>
      <w:r>
        <w:rPr>
          <w:rFonts w:ascii="Calibri" w:cs="Calibri" w:eastAsia="Calibri" w:hAnsi="Calibri"/>
          <w:sz w:val="22"/>
          <w:szCs w:val="22"/>
        </w:rPr>
        <w:t xml:space="preserve">The endeavor therefore begins from a framework that exists, methods that have been executed and measured in production, a publication and review practice that is active, and funding that is in hand. The first-year milestones in Table 7 extend these assets; they do not wait on anything still to be acquired.</w:t>
      </w:r>
    </w:p>
    <w:p>
      <w:pPr>
        <w:pStyle w:val="Heading2"/>
        <w:keepNext/>
        <w:spacing w:after="100" w:before="200"/>
      </w:pPr>
      <w:r>
        <w:rPr>
          <w:rFonts w:ascii="Calibri" w:cs="Calibri" w:eastAsia="Calibri" w:hAnsi="Calibri"/>
          <w:b/>
          <w:bCs/>
          <w:color w:val="1F3864"/>
          <w:sz w:val="23"/>
          <w:szCs w:val="23"/>
        </w:rPr>
        <w:t xml:space="preserve">F. The letters, and what each establishes</w:t>
      </w:r>
    </w:p>
    <w:p>
      <w:pPr>
        <w:spacing w:after="120" w:line="264"/>
        <w:jc w:val="both"/>
      </w:pPr>
      <w:r>
        <w:rPr>
          <w:rFonts w:ascii="Calibri" w:cs="Calibri" w:eastAsia="Calibri" w:hAnsi="Calibri"/>
          <w:sz w:val="22"/>
          <w:szCs w:val="22"/>
        </w:rPr>
        <w:t xml:space="preserve">The Notice states that "the opinions of experts in the field, while not without weight, cannot form the cornerstone" of a claim. They are not the cornerstone here. The cornerstone is the documentary record: the published papers and their independent citation (Table 24), the production results (petition </w:t>
      </w:r>
      <w:r>
        <w:rPr>
          <w:rFonts w:ascii="Calibri" w:cs="Calibri" w:eastAsia="Calibri" w:hAnsi="Calibri"/>
          <w:b/>
          <w:bCs/>
          <w:color w:val="FF0000"/>
          <w:sz w:val="22"/>
          <w:szCs w:val="22"/>
        </w:rPr>
        <w:t xml:space="preserve">Exhibits 4 and 18</w:t>
      </w:r>
      <w:r>
        <w:rPr>
          <w:rFonts w:ascii="Calibri" w:cs="Calibri" w:eastAsia="Calibri" w:hAnsi="Calibri"/>
          <w:sz w:val="22"/>
          <w:szCs w:val="22"/>
        </w:rPr>
        <w:t xml:space="preserve">), and the plan. The letters explain that record from first-hand knowledge, and each quantified statement in them is matched by a document. USCIS may use such letters as advisory opinions. </w:t>
      </w:r>
      <w:r>
        <w:rPr>
          <w:rFonts w:ascii="Calibri" w:cs="Calibri" w:eastAsia="Calibri" w:hAnsi="Calibri"/>
          <w:i/>
          <w:iCs/>
          <w:sz w:val="22"/>
          <w:szCs w:val="22"/>
        </w:rPr>
        <w:t xml:space="preserve">Matter of Caron International</w:t>
      </w:r>
      <w:r>
        <w:rPr>
          <w:rFonts w:ascii="Calibri" w:cs="Calibri" w:eastAsia="Calibri" w:hAnsi="Calibri"/>
          <w:sz w:val="22"/>
          <w:szCs w:val="22"/>
        </w:rPr>
        <w:t xml:space="preserve">, 19 I&amp;N Dec. 791, 795 (Comm'r 1988). Table 28 summarizes them.</w:t>
      </w:r>
    </w:p>
    <w:p>
      <w:pPr>
        <w:keepNext/>
        <w:spacing w:after="80" w:before="160"/>
      </w:pPr>
      <w:r>
        <w:rPr>
          <w:rFonts w:ascii="Calibri" w:cs="Calibri" w:eastAsia="Calibri" w:hAnsi="Calibri"/>
          <w:b/>
          <w:bCs/>
          <w:sz w:val="21"/>
          <w:szCs w:val="21"/>
        </w:rPr>
        <w:t xml:space="preserve">Table 28. The signers and what each establishes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21"/>
        <w:gridCol w:w="2808"/>
        <w:gridCol w:w="3931"/>
      </w:tblGrid>
      <w:tr>
        <w:trPr>
          <w:cantSplit/>
          <w:tblHeader/>
        </w:trPr>
        <w:tc>
          <w:tcPr>
            <w:tcW w:type="dxa" w:w="262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b/>
                <w:bCs/>
                <w:sz w:val="19"/>
                <w:szCs w:val="19"/>
              </w:rPr>
              <w:t xml:space="preserve">Signer</w:t>
            </w:r>
          </w:p>
        </w:tc>
        <w:tc>
          <w:tcPr>
            <w:tcW w:type="dxa" w:w="280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b/>
                <w:bCs/>
                <w:sz w:val="19"/>
                <w:szCs w:val="19"/>
              </w:rPr>
              <w:t xml:space="preserve">Relationship</w:t>
            </w:r>
          </w:p>
        </w:tc>
        <w:tc>
          <w:tcPr>
            <w:tcW w:type="dxa" w:w="393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b/>
                <w:bCs/>
                <w:sz w:val="19"/>
                <w:szCs w:val="19"/>
              </w:rPr>
              <w:t xml:space="preserve">What the letter establishes</w:t>
            </w:r>
          </w:p>
        </w:tc>
      </w:tr>
      <w:tr>
        <w:trPr>
          <w:cantSplit/>
          <w:tblHeader w:val="false"/>
        </w:trPr>
        <w:tc>
          <w:tcPr>
            <w:tcW w:type="dxa" w:w="262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Olasimbo Adeyemi, Solutions Manager, Ericsson (Sweden) (petition </w:t>
            </w:r>
            <w:r>
              <w:rPr>
                <w:rFonts w:ascii="Calibri" w:cs="Calibri" w:eastAsia="Calibri" w:hAnsi="Calibri"/>
                <w:color w:val="FF0000"/>
                <w:sz w:val="19"/>
                <w:szCs w:val="19"/>
              </w:rPr>
              <w:t xml:space="preserve">Exhibit 5</w:t>
            </w:r>
            <w:r>
              <w:rPr>
                <w:rFonts w:ascii="Calibri" w:cs="Calibri" w:eastAsia="Calibri" w:hAnsi="Calibri"/>
                <w:sz w:val="19"/>
                <w:szCs w:val="19"/>
              </w:rPr>
              <w:t xml:space="preserve">)</w:t>
            </w:r>
          </w:p>
        </w:tc>
        <w:tc>
          <w:tcPr>
            <w:tcW w:type="dxa" w:w="280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Direct supervisor, 2017 to 2021</w:t>
            </w:r>
          </w:p>
        </w:tc>
        <w:tc>
          <w:tcPr>
            <w:tcW w:type="dxa" w:w="393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Scope of the MTN Nigeria ENM programme; the access reduction and protocol elimination; that Zero Trust governance transfers across scale.</w:t>
            </w:r>
          </w:p>
        </w:tc>
      </w:tr>
      <w:tr>
        <w:trPr>
          <w:cantSplit/>
          <w:tblHeader w:val="false"/>
        </w:trPr>
        <w:tc>
          <w:tcPr>
            <w:tcW w:type="dxa" w:w="262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Murat Erdem, MMEA Head of Network Management and Automation Solutions, Ericsson (petition </w:t>
            </w:r>
            <w:r>
              <w:rPr>
                <w:rFonts w:ascii="Calibri" w:cs="Calibri" w:eastAsia="Calibri" w:hAnsi="Calibri"/>
                <w:color w:val="FF0000"/>
                <w:sz w:val="19"/>
                <w:szCs w:val="19"/>
              </w:rPr>
              <w:t xml:space="preserve">Exhibit 6</w:t>
            </w:r>
            <w:r>
              <w:rPr>
                <w:rFonts w:ascii="Calibri" w:cs="Calibri" w:eastAsia="Calibri" w:hAnsi="Calibri"/>
                <w:sz w:val="19"/>
                <w:szCs w:val="19"/>
              </w:rPr>
              <w:t xml:space="preserve">)</w:t>
            </w:r>
          </w:p>
        </w:tc>
        <w:tc>
          <w:tcPr>
            <w:tcW w:type="dxa" w:w="280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Regional executive, 2020 to 2023</w:t>
            </w:r>
          </w:p>
        </w:tc>
        <w:tc>
          <w:tcPr>
            <w:tcW w:type="dxa" w:w="393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Security leadership across the region; reuse of my documentation as templates by other teams.</w:t>
            </w:r>
          </w:p>
        </w:tc>
      </w:tr>
      <w:tr>
        <w:trPr>
          <w:cantSplit/>
          <w:tblHeader w:val="false"/>
        </w:trPr>
        <w:tc>
          <w:tcPr>
            <w:tcW w:type="dxa" w:w="262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Ajay Kumar Sharma, Technical Solution Engineer, Ericsson (petition </w:t>
            </w:r>
            <w:r>
              <w:rPr>
                <w:rFonts w:ascii="Calibri" w:cs="Calibri" w:eastAsia="Calibri" w:hAnsi="Calibri"/>
                <w:color w:val="FF0000"/>
                <w:sz w:val="19"/>
                <w:szCs w:val="19"/>
              </w:rPr>
              <w:t xml:space="preserve">Exhibit 7</w:t>
            </w:r>
            <w:r>
              <w:rPr>
                <w:rFonts w:ascii="Calibri" w:cs="Calibri" w:eastAsia="Calibri" w:hAnsi="Calibri"/>
                <w:sz w:val="19"/>
                <w:szCs w:val="19"/>
              </w:rPr>
              <w:t xml:space="preserve">)</w:t>
            </w:r>
          </w:p>
        </w:tc>
        <w:tc>
          <w:tcPr>
            <w:tcW w:type="dxa" w:w="280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Peer, 2018 to 2023</w:t>
            </w:r>
          </w:p>
        </w:tc>
        <w:tc>
          <w:tcPr>
            <w:tcW w:type="dxa" w:w="393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Eyewitness account of the design decisions; my current U.S. production results.</w:t>
            </w:r>
          </w:p>
        </w:tc>
      </w:tr>
      <w:tr>
        <w:trPr>
          <w:cantSplit/>
          <w:tblHeader w:val="false"/>
        </w:trPr>
        <w:tc>
          <w:tcPr>
            <w:tcW w:type="dxa" w:w="262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James Paul Onoja, Senior Project Manager, Ericsson (petition </w:t>
            </w:r>
            <w:r>
              <w:rPr>
                <w:rFonts w:ascii="Calibri" w:cs="Calibri" w:eastAsia="Calibri" w:hAnsi="Calibri"/>
                <w:color w:val="FF0000"/>
                <w:sz w:val="19"/>
                <w:szCs w:val="19"/>
              </w:rPr>
              <w:t xml:space="preserve">Exhibit 8</w:t>
            </w:r>
            <w:r>
              <w:rPr>
                <w:rFonts w:ascii="Calibri" w:cs="Calibri" w:eastAsia="Calibri" w:hAnsi="Calibri"/>
                <w:sz w:val="19"/>
                <w:szCs w:val="19"/>
              </w:rPr>
              <w:t xml:space="preserve">)</w:t>
            </w:r>
          </w:p>
        </w:tc>
        <w:tc>
          <w:tcPr>
            <w:tcW w:type="dxa" w:w="280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Supervising project manager</w:t>
            </w:r>
          </w:p>
        </w:tc>
        <w:tc>
          <w:tcPr>
            <w:tcW w:type="dxa" w:w="393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The least-privilege directory redesign that cut both risk and resource waste; machine-identity architecture for ten thousand elements.</w:t>
            </w:r>
          </w:p>
        </w:tc>
      </w:tr>
      <w:tr>
        <w:trPr>
          <w:cantSplit/>
          <w:tblHeader w:val="false"/>
        </w:trPr>
        <w:tc>
          <w:tcPr>
            <w:tcW w:type="dxa" w:w="262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Abiodun Jagun, Managing Director, Secure &amp; Trusted Alliance Services (petition </w:t>
            </w:r>
            <w:r>
              <w:rPr>
                <w:rFonts w:ascii="Calibri" w:cs="Calibri" w:eastAsia="Calibri" w:hAnsi="Calibri"/>
                <w:color w:val="FF0000"/>
                <w:sz w:val="19"/>
                <w:szCs w:val="19"/>
              </w:rPr>
              <w:t xml:space="preserve">Exhibit 9</w:t>
            </w:r>
            <w:r>
              <w:rPr>
                <w:rFonts w:ascii="Calibri" w:cs="Calibri" w:eastAsia="Calibri" w:hAnsi="Calibri"/>
                <w:sz w:val="19"/>
                <w:szCs w:val="19"/>
              </w:rPr>
              <w:t xml:space="preserve">)</w:t>
            </w:r>
          </w:p>
        </w:tc>
        <w:tc>
          <w:tcPr>
            <w:tcW w:type="dxa" w:w="280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External vendor</w:t>
            </w:r>
          </w:p>
        </w:tc>
        <w:tc>
          <w:tcPr>
            <w:tcW w:type="dxa" w:w="393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Design documentation that integrators built against without rework.</w:t>
            </w:r>
          </w:p>
        </w:tc>
      </w:tr>
      <w:tr>
        <w:trPr>
          <w:cantSplit/>
          <w:tblHeader w:val="false"/>
        </w:trPr>
        <w:tc>
          <w:tcPr>
            <w:tcW w:type="dxa" w:w="262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Timi Ayoade, Vice President, Data Science, Truist Financial (petition </w:t>
            </w:r>
            <w:r>
              <w:rPr>
                <w:rFonts w:ascii="Calibri" w:cs="Calibri" w:eastAsia="Calibri" w:hAnsi="Calibri"/>
                <w:color w:val="FF0000"/>
                <w:sz w:val="19"/>
                <w:szCs w:val="19"/>
              </w:rPr>
              <w:t xml:space="preserve">Exhibit 10</w:t>
            </w:r>
            <w:r>
              <w:rPr>
                <w:rFonts w:ascii="Calibri" w:cs="Calibri" w:eastAsia="Calibri" w:hAnsi="Calibri"/>
                <w:sz w:val="19"/>
                <w:szCs w:val="19"/>
              </w:rPr>
              <w:t xml:space="preserve">)</w:t>
            </w:r>
          </w:p>
        </w:tc>
        <w:tc>
          <w:tcPr>
            <w:tcW w:type="dxa" w:w="280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Independent; no prior working relationship</w:t>
            </w:r>
          </w:p>
        </w:tc>
        <w:tc>
          <w:tcPr>
            <w:tcW w:type="dxa" w:w="393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The community-bank exposure; that integrated security and cost governance is what small institutions lack; that publication spreads the benefit across the sector.</w:t>
            </w:r>
          </w:p>
        </w:tc>
      </w:tr>
      <w:tr>
        <w:trPr>
          <w:cantSplit/>
          <w:tblHeader w:val="false"/>
        </w:trPr>
        <w:tc>
          <w:tcPr>
            <w:tcW w:type="dxa" w:w="262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Sumesh Negi, Cloud Security Engineer (petition </w:t>
            </w:r>
            <w:r>
              <w:rPr>
                <w:rFonts w:ascii="Calibri" w:cs="Calibri" w:eastAsia="Calibri" w:hAnsi="Calibri"/>
                <w:color w:val="FF0000"/>
                <w:sz w:val="19"/>
                <w:szCs w:val="19"/>
              </w:rPr>
              <w:t xml:space="preserve">Exhibit 11</w:t>
            </w:r>
            <w:r>
              <w:rPr>
                <w:rFonts w:ascii="Calibri" w:cs="Calibri" w:eastAsia="Calibri" w:hAnsi="Calibri"/>
                <w:sz w:val="19"/>
                <w:szCs w:val="19"/>
              </w:rPr>
              <w:t xml:space="preserve">)</w:t>
            </w:r>
          </w:p>
        </w:tc>
        <w:tc>
          <w:tcPr>
            <w:tcW w:type="dxa" w:w="280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Current colleague</w:t>
            </w:r>
          </w:p>
        </w:tc>
        <w:tc>
          <w:tcPr>
            <w:tcW w:type="dxa" w:w="393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Identity lifecycle and cloud configuration audit practice; the licence audit that removed stale access and cost together.</w:t>
            </w:r>
          </w:p>
        </w:tc>
      </w:tr>
      <w:tr>
        <w:trPr>
          <w:cantSplit/>
          <w:tblHeader w:val="false"/>
        </w:trPr>
        <w:tc>
          <w:tcPr>
            <w:tcW w:type="dxa" w:w="262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Prof. Robert J. Kaufman, Lt Col, USAF (Ret.), UTSA (petition </w:t>
            </w:r>
            <w:r>
              <w:rPr>
                <w:rFonts w:ascii="Calibri" w:cs="Calibri" w:eastAsia="Calibri" w:hAnsi="Calibri"/>
                <w:color w:val="FF0000"/>
                <w:sz w:val="19"/>
                <w:szCs w:val="19"/>
              </w:rPr>
              <w:t xml:space="preserve">Exhibit 12</w:t>
            </w:r>
            <w:r>
              <w:rPr>
                <w:rFonts w:ascii="Calibri" w:cs="Calibri" w:eastAsia="Calibri" w:hAnsi="Calibri"/>
                <w:sz w:val="19"/>
                <w:szCs w:val="19"/>
              </w:rPr>
              <w:t xml:space="preserve">)</w:t>
            </w:r>
          </w:p>
        </w:tc>
        <w:tc>
          <w:tcPr>
            <w:tcW w:type="dxa" w:w="280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Graduate instructor</w:t>
            </w:r>
          </w:p>
        </w:tc>
        <w:tc>
          <w:tcPr>
            <w:tcW w:type="dxa" w:w="393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Rank of second of fifty-six; teaching assistant role in the Cyber Security Lab.</w:t>
            </w:r>
          </w:p>
        </w:tc>
      </w:tr>
    </w:tbl>
    <w:p>
      <w:pPr>
        <w:spacing w:after="80"/>
      </w:pPr>
    </w:p>
    <w:p>
      <w:pPr>
        <w:pStyle w:val="Heading2"/>
        <w:keepNext/>
        <w:spacing w:after="100" w:before="200"/>
      </w:pPr>
      <w:r>
        <w:rPr>
          <w:rFonts w:ascii="Calibri" w:cs="Calibri" w:eastAsia="Calibri" w:hAnsi="Calibri"/>
          <w:b/>
          <w:bCs/>
          <w:color w:val="1F3864"/>
          <w:sz w:val="23"/>
          <w:szCs w:val="23"/>
        </w:rPr>
        <w:t xml:space="preserve">G. Interest of relevant parties</w:t>
      </w:r>
    </w:p>
    <w:p>
      <w:pPr>
        <w:spacing w:after="120" w:line="264"/>
        <w:jc w:val="both"/>
      </w:pPr>
      <w:r>
        <w:rPr>
          <w:rFonts w:ascii="Calibri" w:cs="Calibri" w:eastAsia="Calibri" w:hAnsi="Calibri"/>
          <w:sz w:val="22"/>
          <w:szCs w:val="22"/>
        </w:rPr>
        <w:t xml:space="preserve">The Notice asks for evidence that parties are "interested in hiring or investing in her particular model or plan." For a research endeavor whose outputs are public, the most probative evidence of interest is use by other researchers, because it is unsolicited and recorded in published literature (Part VI.K). Table 31 is that evidence. The interest of the sector the framework serves is stated by Mr. Ayoade, a senior executive at one of the largest U.S. banks, writing with no prior relationship to me. He concludes that the integrated treatment of security and cost governance is what an organization without a dedicated security team most needs and what almost no vendor supplies, and that the commitment to publish spreads the benefit across the sector instead of leaving it proprietary (petition </w:t>
      </w:r>
      <w:r>
        <w:rPr>
          <w:rFonts w:ascii="Calibri" w:cs="Calibri" w:eastAsia="Calibri" w:hAnsi="Calibri"/>
          <w:b/>
          <w:bCs/>
          <w:color w:val="FF0000"/>
          <w:sz w:val="22"/>
          <w:szCs w:val="22"/>
        </w:rPr>
        <w:t xml:space="preserve">Exhibit 10</w:t>
      </w:r>
      <w:r>
        <w:rPr>
          <w:rFonts w:ascii="Calibri" w:cs="Calibri" w:eastAsia="Calibri" w:hAnsi="Calibri"/>
          <w:sz w:val="22"/>
          <w:szCs w:val="22"/>
        </w:rPr>
        <w:t xml:space="preserve">). The endeavor does not need an investor, because it is self-funded and costs little (Table 9). The Notice's observation that the waiver "is not intended to grant individuals time ... to search for collaborators or investors" therefore does not describe this case: I am not searching for either.</w:t>
      </w:r>
    </w:p>
    <w:p>
      <w:pPr>
        <w:pStyle w:val="Heading2"/>
        <w:keepNext/>
        <w:spacing w:after="100" w:before="200"/>
      </w:pPr>
      <w:r>
        <w:rPr>
          <w:rFonts w:ascii="Calibri" w:cs="Calibri" w:eastAsia="Calibri" w:hAnsi="Calibri"/>
          <w:b/>
          <w:bCs/>
          <w:color w:val="1F3864"/>
          <w:sz w:val="23"/>
          <w:szCs w:val="23"/>
        </w:rPr>
        <w:t xml:space="preserve">H. Model or plan for future activities</w:t>
      </w:r>
    </w:p>
    <w:p>
      <w:pPr>
        <w:spacing w:after="120" w:line="264"/>
        <w:jc w:val="both"/>
      </w:pPr>
      <w:r>
        <w:rPr>
          <w:rFonts w:ascii="Calibri" w:cs="Calibri" w:eastAsia="Calibri" w:hAnsi="Calibri"/>
          <w:sz w:val="22"/>
          <w:szCs w:val="22"/>
        </w:rPr>
        <w:t xml:space="preserve">The plan is set out in Parts III and IV: three projects, six research questions, stated objectives, a 36-month schedule with quarterly outputs, a resource list, a budget with its funding source, and a stated allocation of time. It is built on the assets in Table 26, which is why its first milestones are achievable at once.</w:t>
      </w:r>
    </w:p>
    <w:p>
      <w:pPr>
        <w:pStyle w:val="Heading2"/>
        <w:keepNext/>
        <w:spacing w:after="100" w:before="200"/>
      </w:pPr>
      <w:r>
        <w:rPr>
          <w:rFonts w:ascii="Calibri" w:cs="Calibri" w:eastAsia="Calibri" w:hAnsi="Calibri"/>
          <w:b/>
          <w:bCs/>
          <w:color w:val="1F3864"/>
          <w:sz w:val="23"/>
          <w:szCs w:val="23"/>
        </w:rPr>
        <w:t xml:space="preserve">I. The Notice's remaining observations on the second prong</w:t>
      </w:r>
    </w:p>
    <w:p>
      <w:pPr>
        <w:spacing w:after="120" w:line="264"/>
        <w:jc w:val="both"/>
      </w:pPr>
      <w:r>
        <w:rPr>
          <w:rFonts w:ascii="Calibri" w:cs="Calibri" w:eastAsia="Calibri" w:hAnsi="Calibri"/>
          <w:b/>
          <w:bCs/>
          <w:sz w:val="22"/>
          <w:szCs w:val="22"/>
        </w:rPr>
        <w:t xml:space="preserve">Awards.</w:t>
      </w:r>
      <w:r>
        <w:rPr>
          <w:rFonts w:ascii="Calibri" w:cs="Calibri" w:eastAsia="Calibri" w:hAnsi="Calibri"/>
          <w:sz w:val="22"/>
          <w:szCs w:val="22"/>
        </w:rPr>
        <w:t xml:space="preserve"> The Notice states that the awards were not shown to be "given to you for excellence in the field of endeavor." Each instrument names the work it recognizes, and in each case that work is security and identity engineering. The Ericsson Power Award nomination (2018) recognized my technical contribution across the phases of the ENM programme, the programme on which I cut the access estate by seventy percent and removed plain-text protocols; the Star Award (2020) recognized my solution architecture on the same programme; and selection into the Long-Term Variable Key Contributor Plan (2021) is a multi-year equity retention instrument that the company reserves for the employees whose contribution it pays to keep (petition </w:t>
      </w:r>
      <w:r>
        <w:rPr>
          <w:rFonts w:ascii="Calibri" w:cs="Calibri" w:eastAsia="Calibri" w:hAnsi="Calibri"/>
          <w:b/>
          <w:bCs/>
          <w:color w:val="FF0000"/>
          <w:sz w:val="22"/>
          <w:szCs w:val="22"/>
        </w:rPr>
        <w:t xml:space="preserve">Exhibit 15</w:t>
      </w:r>
      <w:r>
        <w:rPr>
          <w:rFonts w:ascii="Calibri" w:cs="Calibri" w:eastAsia="Calibri" w:hAnsi="Calibri"/>
          <w:sz w:val="22"/>
          <w:szCs w:val="22"/>
        </w:rPr>
        <w:t xml:space="preserve">). They are evidence of the record of success in Part VI.C, which is the factor </w:t>
      </w:r>
      <w:r>
        <w:rPr>
          <w:rFonts w:ascii="Calibri" w:cs="Calibri" w:eastAsia="Calibri" w:hAnsi="Calibri"/>
          <w:i/>
          <w:iCs/>
          <w:sz w:val="22"/>
          <w:szCs w:val="22"/>
        </w:rPr>
        <w:t xml:space="preserve">Dhanasar</w:t>
      </w:r>
      <w:r>
        <w:rPr>
          <w:rFonts w:ascii="Calibri" w:cs="Calibri" w:eastAsia="Calibri" w:hAnsi="Calibri"/>
          <w:sz w:val="22"/>
          <w:szCs w:val="22"/>
        </w:rPr>
        <w:t xml:space="preserve"> names, and they were given before this petition was contemplated.</w:t>
      </w:r>
    </w:p>
    <w:p>
      <w:pPr>
        <w:spacing w:after="120" w:line="264"/>
        <w:jc w:val="both"/>
      </w:pPr>
      <w:r>
        <w:rPr>
          <w:rFonts w:ascii="Calibri" w:cs="Calibri" w:eastAsia="Calibri" w:hAnsi="Calibri"/>
          <w:b/>
          <w:bCs/>
          <w:sz w:val="22"/>
          <w:szCs w:val="22"/>
        </w:rPr>
        <w:t xml:space="preserve">My fellowships are not routine memberships.</w:t>
      </w:r>
      <w:r>
        <w:rPr>
          <w:rFonts w:ascii="Calibri" w:cs="Calibri" w:eastAsia="Calibri" w:hAnsi="Calibri"/>
          <w:sz w:val="22"/>
          <w:szCs w:val="22"/>
        </w:rPr>
        <w:t xml:space="preserve"> The Notice states that "maintaining professional memberships/licenses" is "routine and expected." Membership is. Fellowship is not, and I hold the highest grade of two professional bodies. The governing instruments of each body, not my description, establish what that grade requires.</w:t>
      </w:r>
    </w:p>
    <w:p>
      <w:pPr>
        <w:spacing w:after="120" w:line="264"/>
        <w:jc w:val="both"/>
      </w:pPr>
      <w:r>
        <w:rPr>
          <w:rFonts w:ascii="Calibri" w:cs="Calibri" w:eastAsia="Calibri" w:hAnsi="Calibri"/>
          <w:b/>
          <w:bCs/>
          <w:sz w:val="22"/>
          <w:szCs w:val="22"/>
        </w:rPr>
        <w:t xml:space="preserve">Fellow of the National Institute of Professional Engineers and Scientists (FNIPES).</w:t>
      </w:r>
      <w:r>
        <w:rPr>
          <w:rFonts w:ascii="Calibri" w:cs="Calibri" w:eastAsia="Calibri" w:hAnsi="Calibri"/>
          <w:sz w:val="22"/>
          <w:szCs w:val="22"/>
        </w:rPr>
        <w:t xml:space="preserve"> The Institute elected me a Fellow on February 13, 2025, certificate number AF01-000162, which records that I had "satisfied the conditions laid down by the Institute" and am "entitled to all the rights, privileges, and responsibilities pertaining thereto," and it lists me in its public directory of Fellows, specialization Cyber Security (</w:t>
      </w:r>
      <w:r>
        <w:rPr>
          <w:rFonts w:ascii="Calibri" w:cs="Calibri" w:eastAsia="Calibri" w:hAnsi="Calibri"/>
          <w:b/>
          <w:bCs/>
          <w:color w:val="FF0000"/>
          <w:sz w:val="22"/>
          <w:szCs w:val="22"/>
        </w:rPr>
        <w:t xml:space="preserve">Exhibit RFE-12</w:t>
      </w:r>
      <w:r>
        <w:rPr>
          <w:rFonts w:ascii="Calibri" w:cs="Calibri" w:eastAsia="Calibri" w:hAnsi="Calibri"/>
          <w:sz w:val="22"/>
          <w:szCs w:val="22"/>
        </w:rPr>
        <w:t xml:space="preserve">). The Institute was established on June 20, 2019, incorporated under the Companies and Allied Matters Act, Cap. C20, Laws of the Federation of Nigeria, on November 13, 2021, and incorporated in the Commonwealth of Massachusetts on December 13, 2024 (</w:t>
      </w:r>
      <w:r>
        <w:rPr>
          <w:rFonts w:ascii="Calibri" w:cs="Calibri" w:eastAsia="Calibri" w:hAnsi="Calibri"/>
          <w:b/>
          <w:bCs/>
          <w:color w:val="FF0000"/>
          <w:sz w:val="22"/>
          <w:szCs w:val="22"/>
        </w:rPr>
        <w:t xml:space="preserve">Exhibit RFE-13</w:t>
      </w:r>
      <w:r>
        <w:rPr>
          <w:rFonts w:ascii="Calibri" w:cs="Calibri" w:eastAsia="Calibri" w:hAnsi="Calibri"/>
          <w:sz w:val="22"/>
          <w:szCs w:val="22"/>
        </w:rPr>
        <w:t xml:space="preserve">). Its Constitution (</w:t>
      </w:r>
      <w:r>
        <w:rPr>
          <w:rFonts w:ascii="Calibri" w:cs="Calibri" w:eastAsia="Calibri" w:hAnsi="Calibri"/>
          <w:b/>
          <w:bCs/>
          <w:color w:val="FF0000"/>
          <w:sz w:val="22"/>
          <w:szCs w:val="22"/>
        </w:rPr>
        <w:t xml:space="preserve">Exhibit RFE-13</w:t>
      </w:r>
      <w:r>
        <w:rPr>
          <w:rFonts w:ascii="Calibri" w:cs="Calibri" w:eastAsia="Calibri" w:hAnsi="Calibri"/>
          <w:sz w:val="22"/>
          <w:szCs w:val="22"/>
        </w:rPr>
        <w:t xml:space="preserve">) creates four grades, "Fellow, Corporate Member, Associate Member, and Student Member" (Article III, Section 3.1). A Corporate Member needs only "a Bachelor's degree or Higher National Diploma (HND) in Engineering or Science" (Section 3.2.2). Fellowship is of a different order. Section 3.2.1.1(a) provides:</w:t>
      </w:r>
    </w:p>
    <w:p>
      <w:pPr>
        <w:spacing w:after="120" w:line="252"/>
        <w:ind w:left="720" w:right="720"/>
        <w:jc w:val="both"/>
      </w:pPr>
      <w:r>
        <w:rPr>
          <w:rFonts w:ascii="Calibri" w:cs="Calibri" w:eastAsia="Calibri" w:hAnsi="Calibri"/>
          <w:i/>
          <w:iCs/>
          <w:sz w:val="21"/>
          <w:szCs w:val="21"/>
        </w:rPr>
        <w:t xml:space="preserve">"The grade of Fellow (FNIPES) is the highest honor bestowed by the Institution, reserved for individuals who have demonstrated extraordinary achievements and made outstanding contributions to the fields of engineering and science."</w:t>
      </w:r>
    </w:p>
    <w:p>
      <w:pPr>
        <w:spacing w:after="120" w:line="264"/>
        <w:jc w:val="both"/>
      </w:pPr>
      <w:r>
        <w:rPr>
          <w:rFonts w:ascii="Calibri" w:cs="Calibri" w:eastAsia="Calibri" w:hAnsi="Calibri"/>
          <w:sz w:val="22"/>
          <w:szCs w:val="22"/>
        </w:rPr>
        <w:t xml:space="preserve">Section 3.2.1.1(b) requires candidates, "in addition to demonstrating extraordinary achievements and outstanding contributions," to satisfy "several of" twelve criteria "as determined by the Fellowship Review Committee," among them "publishing in peer-reviewed journals," "developing innovative technologies, processes, or methodologies," "participating in knowledge dissemination" and "showing commitment to mentoring and developing others in their field." Section 3.2.1.1(c) sets a three-stage selection:</w:t>
      </w:r>
    </w:p>
    <w:p>
      <w:pPr>
        <w:spacing w:after="120" w:line="252"/>
        <w:ind w:left="720" w:right="720"/>
        <w:jc w:val="both"/>
      </w:pPr>
      <w:r>
        <w:rPr>
          <w:rFonts w:ascii="Calibri" w:cs="Calibri" w:eastAsia="Calibri" w:hAnsi="Calibri"/>
          <w:i/>
          <w:iCs/>
          <w:sz w:val="21"/>
          <w:szCs w:val="21"/>
        </w:rPr>
        <w:t xml:space="preserve">"i. Rigorous peer review of the candidate's contributions and achievements; ii. Evaluation by the Fellowship Committee, composed of distinguished Fellows; iii. Final approval by the Board of Directors."</w:t>
      </w:r>
    </w:p>
    <w:p>
      <w:pPr>
        <w:spacing w:after="120" w:line="264"/>
        <w:jc w:val="both"/>
      </w:pPr>
      <w:r>
        <w:rPr>
          <w:rFonts w:ascii="Calibri" w:cs="Calibri" w:eastAsia="Calibri" w:hAnsi="Calibri"/>
          <w:sz w:val="22"/>
          <w:szCs w:val="22"/>
        </w:rPr>
        <w:t xml:space="preserve">Section 3.2.1.1(d) caps the grade: "The number of new Fellows elected each year shall not exceed 10% of the total Fellowship body, ensuring the exclusivity of this honor." Under Section 3.2.1.4 the Fellowship Committee has at least seven members, each of whom "must be a Fellow," "must have at least 10 years of professional experience in engineering or science" and "must have achieved national or international recognition for their contributions to their field," and its duty is to ensure "that only those who have demonstrated extraordinary achievements and made outstanding contributions to the fields of engineering and science are awarded Fellowship status." The Institute publishes the names of the Fellowship Committee members who conduct that review, among them faculty of the University of Alberta in Canada, the University of Benin in Nigeria and Can Tho University in Vietnam (</w:t>
      </w:r>
      <w:r>
        <w:rPr>
          <w:rFonts w:ascii="Calibri" w:cs="Calibri" w:eastAsia="Calibri" w:hAnsi="Calibri"/>
          <w:b/>
          <w:bCs/>
          <w:color w:val="FF0000"/>
          <w:sz w:val="22"/>
          <w:szCs w:val="22"/>
        </w:rPr>
        <w:t xml:space="preserve">Exhibit RFE-13</w:t>
      </w:r>
      <w:r>
        <w:rPr>
          <w:rFonts w:ascii="Calibri" w:cs="Calibri" w:eastAsia="Calibri" w:hAnsi="Calibri"/>
          <w:sz w:val="22"/>
          <w:szCs w:val="22"/>
        </w:rPr>
        <w:t xml:space="preserve">). Fellows also carry duties that members do not: under Section 3.2.1.2(b) they are expected to "participate in mentoring programs for early-career professionals and students" and "engage in peer review for the Institution's publications and fellowship nominations."</w:t>
      </w:r>
    </w:p>
    <w:p>
      <w:pPr>
        <w:spacing w:after="120" w:line="264"/>
        <w:jc w:val="both"/>
      </w:pPr>
      <w:r>
        <w:rPr>
          <w:rFonts w:ascii="Calibri" w:cs="Calibri" w:eastAsia="Calibri" w:hAnsi="Calibri"/>
          <w:b/>
          <w:bCs/>
          <w:sz w:val="22"/>
          <w:szCs w:val="22"/>
        </w:rPr>
        <w:t xml:space="preserve">Chartered Fellow of the Chartered Institute of Information and Strategy Management (FCISM).</w:t>
      </w:r>
      <w:r>
        <w:rPr>
          <w:rFonts w:ascii="Calibri" w:cs="Calibri" w:eastAsia="Calibri" w:hAnsi="Calibri"/>
          <w:sz w:val="22"/>
          <w:szCs w:val="22"/>
        </w:rPr>
        <w:t xml:space="preserve"> I was admitted to the grade of Fellow on June 20, 2025, membership number CIISM/F/50311 (petition </w:t>
      </w:r>
      <w:r>
        <w:rPr>
          <w:rFonts w:ascii="Calibri" w:cs="Calibri" w:eastAsia="Calibri" w:hAnsi="Calibri"/>
          <w:b/>
          <w:bCs/>
          <w:color w:val="FF0000"/>
          <w:sz w:val="22"/>
          <w:szCs w:val="22"/>
        </w:rPr>
        <w:t xml:space="preserve">Exhibit 16</w:t>
      </w:r>
      <w:r>
        <w:rPr>
          <w:rFonts w:ascii="Calibri" w:cs="Calibri" w:eastAsia="Calibri" w:hAnsi="Calibri"/>
          <w:sz w:val="22"/>
          <w:szCs w:val="22"/>
        </w:rPr>
        <w:t xml:space="preserve">). The Institute's Bye-Laws (petition </w:t>
      </w:r>
      <w:r>
        <w:rPr>
          <w:rFonts w:ascii="Calibri" w:cs="Calibri" w:eastAsia="Calibri" w:hAnsi="Calibri"/>
          <w:b/>
          <w:bCs/>
          <w:color w:val="FF0000"/>
          <w:sz w:val="22"/>
          <w:szCs w:val="22"/>
        </w:rPr>
        <w:t xml:space="preserve">Exhibit 51</w:t>
      </w:r>
      <w:r>
        <w:rPr>
          <w:rFonts w:ascii="Calibri" w:cs="Calibri" w:eastAsia="Calibri" w:hAnsi="Calibri"/>
          <w:sz w:val="22"/>
          <w:szCs w:val="22"/>
        </w:rPr>
        <w:t xml:space="preserve">) create six grades, from Graduate Member to Chartered Distinguished Fellow, and the grades below Fellow are earned by years of experience and an assessment (Part III, Section 2(a) to (d)). Fellowship is not:</w:t>
      </w:r>
    </w:p>
    <w:p>
      <w:pPr>
        <w:spacing w:after="120" w:line="252"/>
        <w:ind w:left="720" w:right="720"/>
        <w:jc w:val="both"/>
      </w:pPr>
      <w:r>
        <w:rPr>
          <w:rFonts w:ascii="Calibri" w:cs="Calibri" w:eastAsia="Calibri" w:hAnsi="Calibri"/>
          <w:i/>
          <w:iCs/>
          <w:sz w:val="21"/>
          <w:szCs w:val="21"/>
        </w:rPr>
        <w:t xml:space="preserve">"Chartered Fellowship is by invitation only and is awarded to experts who have demonstrated extraordinary and outstanding achievements in the fields of information science, strategy management, data analytics, and related disciplines ... it is granted solely on the basis of verified merit, exceptional achievement, and the quality and impact of a candidate's professional contributions, and is not tenure-based." (Part III, Section 2(e))</w:t>
      </w:r>
    </w:p>
    <w:p>
      <w:pPr>
        <w:spacing w:after="120" w:line="264"/>
        <w:jc w:val="both"/>
      </w:pPr>
      <w:r>
        <w:rPr>
          <w:rFonts w:ascii="Calibri" w:cs="Calibri" w:eastAsia="Calibri" w:hAnsi="Calibri"/>
          <w:sz w:val="22"/>
          <w:szCs w:val="22"/>
        </w:rPr>
        <w:t xml:space="preserve">The Bye-Laws require a Fellowship Review Panel of five to nine "established and recognized national industry professionals, entrepreneurs, academics, or public sector leaders," with conflicted panelists recused, a documentary review "against each applicable criterion," "a structured oral interview with shortlisted candidates," a majority determination and ratification by the Board of Trustees, and they place "the burden of proof" on the applicant, with "credible, verifiable, and contemporaneous documentary evidence."</w:t>
      </w:r>
    </w:p>
    <w:p>
      <w:pPr>
        <w:keepNext/>
        <w:spacing w:after="80" w:before="160"/>
      </w:pPr>
      <w:r>
        <w:rPr>
          <w:rFonts w:ascii="Calibri" w:cs="Calibri" w:eastAsia="Calibri" w:hAnsi="Calibri"/>
          <w:b/>
          <w:bCs/>
          <w:sz w:val="21"/>
          <w:szCs w:val="21"/>
        </w:rPr>
        <w:t xml:space="preserve">Table 29. The fellowship grades I hold, and how each is awarded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2434"/>
        <w:gridCol w:w="2995"/>
        <w:gridCol w:w="1872"/>
      </w:tblGrid>
      <w:tr>
        <w:trPr>
          <w:cantSplit/>
          <w:tblHeader/>
        </w:trPr>
        <w:tc>
          <w:tcPr>
            <w:tcW w:type="dxa" w:w="205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b/>
                <w:bCs/>
                <w:sz w:val="19"/>
                <w:szCs w:val="19"/>
              </w:rPr>
              <w:t xml:space="preserve">Body</w:t>
            </w:r>
          </w:p>
        </w:tc>
        <w:tc>
          <w:tcPr>
            <w:tcW w:type="dxa" w:w="243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b/>
                <w:bCs/>
                <w:sz w:val="19"/>
                <w:szCs w:val="19"/>
              </w:rPr>
              <w:t xml:space="preserve">Grades, lowest to highest</w:t>
            </w:r>
          </w:p>
        </w:tc>
        <w:tc>
          <w:tcPr>
            <w:tcW w:type="dxa" w:w="299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b/>
                <w:bCs/>
                <w:sz w:val="19"/>
                <w:szCs w:val="19"/>
              </w:rPr>
              <w:t xml:space="preserve">How Fellowship is awarded</w:t>
            </w:r>
          </w:p>
        </w:tc>
        <w:tc>
          <w:tcPr>
            <w:tcW w:type="dxa" w:w="187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b/>
                <w:bCs/>
                <w:sz w:val="19"/>
                <w:szCs w:val="19"/>
              </w:rPr>
              <w:t xml:space="preserve">My grade and evidence</w:t>
            </w:r>
          </w:p>
        </w:tc>
      </w:tr>
      <w:tr>
        <w:trPr>
          <w:cantSplit/>
          <w:tblHeader w:val="false"/>
        </w:trPr>
        <w:tc>
          <w:tcPr>
            <w:tcW w:type="dxa" w:w="205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National Institute of Professional Engineers and Scientists</w:t>
            </w:r>
          </w:p>
        </w:tc>
        <w:tc>
          <w:tcPr>
            <w:tcW w:type="dxa" w:w="243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Student Member; Associate Member; Corporate Member; Fellow (Constitution, Art. III, Sec. 3.1)</w:t>
            </w:r>
          </w:p>
        </w:tc>
        <w:tc>
          <w:tcPr>
            <w:tcW w:type="dxa" w:w="299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Peer review, Fellowship Committee of at least seven Fellows, Board approval; no more than 10 percent of the Fellowship body elected each year (Sec. 3.2.1.1(c) and (d))</w:t>
            </w:r>
          </w:p>
        </w:tc>
        <w:tc>
          <w:tcPr>
            <w:tcW w:type="dxa" w:w="187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Fellow, Cyber Security, elected February 13, 2025, certificate AF01-000162 (</w:t>
            </w:r>
            <w:r>
              <w:rPr>
                <w:rFonts w:ascii="Calibri" w:cs="Calibri" w:eastAsia="Calibri" w:hAnsi="Calibri"/>
                <w:color w:val="FF0000"/>
                <w:sz w:val="19"/>
                <w:szCs w:val="19"/>
              </w:rPr>
              <w:t xml:space="preserve">Exhibits RFE-12 and RFE-13</w:t>
            </w:r>
            <w:r>
              <w:rPr>
                <w:rFonts w:ascii="Calibri" w:cs="Calibri" w:eastAsia="Calibri" w:hAnsi="Calibri"/>
                <w:sz w:val="19"/>
                <w:szCs w:val="19"/>
              </w:rPr>
              <w:t xml:space="preserve">)</w:t>
            </w:r>
          </w:p>
        </w:tc>
      </w:tr>
      <w:tr>
        <w:trPr>
          <w:cantSplit/>
          <w:tblHeader w:val="false"/>
        </w:trPr>
        <w:tc>
          <w:tcPr>
            <w:tcW w:type="dxa" w:w="205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Chartered Institute of Information and Strategy Management</w:t>
            </w:r>
          </w:p>
        </w:tc>
        <w:tc>
          <w:tcPr>
            <w:tcW w:type="dxa" w:w="243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Graduate; Associate; Chartered Professional; Chartered Senior; Chartered Fellow; Chartered Distinguished Fellow (Bye-Laws, Part III, Sec. 1)</w:t>
            </w:r>
          </w:p>
        </w:tc>
        <w:tc>
          <w:tcPr>
            <w:tcW w:type="dxa" w:w="299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Invitation only; review panel of five to nine; documentary review, oral interview, Board ratification; not tenure-based (Part III, Sec. 2(e); Review Procedure)</w:t>
            </w:r>
          </w:p>
        </w:tc>
        <w:tc>
          <w:tcPr>
            <w:tcW w:type="dxa" w:w="187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Fellow, June 20, 2025, CIISM/F/50311 (petition </w:t>
            </w:r>
            <w:r>
              <w:rPr>
                <w:rFonts w:ascii="Calibri" w:cs="Calibri" w:eastAsia="Calibri" w:hAnsi="Calibri"/>
                <w:color w:val="FF0000"/>
                <w:sz w:val="19"/>
                <w:szCs w:val="19"/>
              </w:rPr>
              <w:t xml:space="preserve">Exhibits 16 and 51</w:t>
            </w:r>
            <w:r>
              <w:rPr>
                <w:rFonts w:ascii="Calibri" w:cs="Calibri" w:eastAsia="Calibri" w:hAnsi="Calibri"/>
                <w:sz w:val="19"/>
                <w:szCs w:val="19"/>
              </w:rPr>
              <w:t xml:space="preserve">)</w:t>
            </w:r>
          </w:p>
        </w:tc>
      </w:tr>
    </w:tbl>
    <w:p>
      <w:pPr>
        <w:spacing w:after="80"/>
      </w:pPr>
    </w:p>
    <w:p>
      <w:pPr>
        <w:spacing w:after="120" w:line="264"/>
        <w:jc w:val="both"/>
      </w:pPr>
      <w:r>
        <w:rPr>
          <w:rFonts w:ascii="Calibri" w:cs="Calibri" w:eastAsia="Calibri" w:hAnsi="Calibri"/>
          <w:sz w:val="22"/>
          <w:szCs w:val="22"/>
        </w:rPr>
        <w:t xml:space="preserve">Table 29 shows that each fellowship is a judgment by a panel of senior practitioners, made on documentary evidence against published criteria, that my record stands among the most accomplished in the body. That is recognition by peers in exactly the sense the second prong considers, and it was given by people who have no stake in this petition. Both fellowships were conferred in 2025, before this petition's priority date of August 4, 2026, so each is part of the record as it stood at filing.</w:t>
      </w:r>
    </w:p>
    <w:p>
      <w:pPr>
        <w:spacing w:after="120" w:line="264"/>
        <w:jc w:val="both"/>
      </w:pPr>
      <w:r>
        <w:rPr>
          <w:rFonts w:ascii="Calibri" w:cs="Calibri" w:eastAsia="Calibri" w:hAnsi="Calibri"/>
          <w:b/>
          <w:bCs/>
          <w:sz w:val="22"/>
          <w:szCs w:val="22"/>
        </w:rPr>
        <w:t xml:space="preserve">Expertise above the ordinary.</w:t>
      </w:r>
      <w:r>
        <w:rPr>
          <w:rFonts w:ascii="Calibri" w:cs="Calibri" w:eastAsia="Calibri" w:hAnsi="Calibri"/>
          <w:sz w:val="22"/>
          <w:szCs w:val="22"/>
        </w:rPr>
        <w:t xml:space="preserve"> The Notice quotes </w:t>
      </w:r>
      <w:r>
        <w:rPr>
          <w:rFonts w:ascii="Calibri" w:cs="Calibri" w:eastAsia="Calibri" w:hAnsi="Calibri"/>
          <w:i/>
          <w:iCs/>
          <w:sz w:val="22"/>
          <w:szCs w:val="22"/>
        </w:rPr>
        <w:t xml:space="preserve">Dhanasar</w:t>
      </w:r>
      <w:r>
        <w:rPr>
          <w:rFonts w:ascii="Calibri" w:cs="Calibri" w:eastAsia="Calibri" w:hAnsi="Calibri"/>
          <w:sz w:val="22"/>
          <w:szCs w:val="22"/>
        </w:rPr>
        <w:t xml:space="preserve"> that a petitioner "cannot qualify for a waiver just by demonstrating a degree of expertise significantly above that ordinarily encountered." This response relies instead on the connection between a specific record of success and a specific endeavor: the controls that Project 2 measures are controls I have executed and measured in production; the licence audit that Project 3 generalizes is one I carried out; the framework under test is mine.</w:t>
      </w:r>
    </w:p>
    <w:p>
      <w:pPr>
        <w:spacing w:after="120" w:line="264"/>
        <w:jc w:val="both"/>
      </w:pPr>
      <w:r>
        <w:rPr>
          <w:rFonts w:ascii="Calibri" w:cs="Calibri" w:eastAsia="Calibri" w:hAnsi="Calibri"/>
          <w:b/>
          <w:bCs/>
          <w:sz w:val="22"/>
          <w:szCs w:val="22"/>
        </w:rPr>
        <w:t xml:space="preserve">Leading role.</w:t>
      </w:r>
      <w:r>
        <w:rPr>
          <w:rFonts w:ascii="Calibri" w:cs="Calibri" w:eastAsia="Calibri" w:hAnsi="Calibri"/>
          <w:sz w:val="22"/>
          <w:szCs w:val="22"/>
        </w:rPr>
        <w:t xml:space="preserve"> The Notice states that the evidence did not show "a leading, critical, or indispensable role." The endeavor is led by me alone. I design the environments, run the tests, write the papers and release the code. On the earlier programmes on which this record rests, I served as lead architect and, on the MTN Nigeria migration, as de facto programme manager (petition </w:t>
      </w:r>
      <w:r>
        <w:rPr>
          <w:rFonts w:ascii="Calibri" w:cs="Calibri" w:eastAsia="Calibri" w:hAnsi="Calibri"/>
          <w:b/>
          <w:bCs/>
          <w:color w:val="FF0000"/>
          <w:sz w:val="22"/>
          <w:szCs w:val="22"/>
        </w:rPr>
        <w:t xml:space="preserve">Exhibits 5 and 7</w:t>
      </w:r>
      <w:r>
        <w:rPr>
          <w:rFonts w:ascii="Calibri" w:cs="Calibri" w:eastAsia="Calibri" w:hAnsi="Calibri"/>
          <w:sz w:val="22"/>
          <w:szCs w:val="22"/>
        </w:rPr>
        <w:t xml:space="preserve">).</w:t>
      </w:r>
    </w:p>
    <w:p>
      <w:pPr>
        <w:pStyle w:val="Heading2"/>
        <w:keepNext/>
        <w:spacing w:after="100" w:before="200"/>
      </w:pPr>
      <w:r>
        <w:rPr>
          <w:rFonts w:ascii="Calibri" w:cs="Calibri" w:eastAsia="Calibri" w:hAnsi="Calibri"/>
          <w:b/>
          <w:bCs/>
          <w:color w:val="1F3864"/>
          <w:sz w:val="23"/>
          <w:szCs w:val="23"/>
        </w:rPr>
        <w:t xml:space="preserve">J. How my qualifications map onto each project</w:t>
      </w:r>
    </w:p>
    <w:p>
      <w:pPr>
        <w:spacing w:after="120" w:line="264"/>
        <w:jc w:val="both"/>
      </w:pPr>
      <w:r>
        <w:rPr>
          <w:rFonts w:ascii="Calibri" w:cs="Calibri" w:eastAsia="Calibri" w:hAnsi="Calibri"/>
          <w:b/>
          <w:bCs/>
          <w:sz w:val="22"/>
          <w:szCs w:val="22"/>
        </w:rPr>
        <w:t xml:space="preserve">Project 1, reference environments and catalogue.</w:t>
      </w:r>
      <w:r>
        <w:rPr>
          <w:rFonts w:ascii="Calibri" w:cs="Calibri" w:eastAsia="Calibri" w:hAnsi="Calibri"/>
          <w:sz w:val="22"/>
          <w:szCs w:val="22"/>
        </w:rPr>
        <w:t xml:space="preserve"> The project requires cloud architecture, identity directory design and regulatory mapping. I hold the AWS Solutions Architect credential, govern identity lifecycles across directory and cloud environments in daily practice (petition </w:t>
      </w:r>
      <w:r>
        <w:rPr>
          <w:rFonts w:ascii="Calibri" w:cs="Calibri" w:eastAsia="Calibri" w:hAnsi="Calibri"/>
          <w:b/>
          <w:bCs/>
          <w:color w:val="FF0000"/>
          <w:sz w:val="22"/>
          <w:szCs w:val="22"/>
        </w:rPr>
        <w:t xml:space="preserve">Exhibit 11</w:t>
      </w:r>
      <w:r>
        <w:rPr>
          <w:rFonts w:ascii="Calibri" w:cs="Calibri" w:eastAsia="Calibri" w:hAnsi="Calibri"/>
          <w:sz w:val="22"/>
          <w:szCs w:val="22"/>
        </w:rPr>
        <w:t xml:space="preserve">), and have published framework papers mapping U.S. and Canadian requirements to ISO 27001 and NIST controls (petition </w:t>
      </w:r>
      <w:r>
        <w:rPr>
          <w:rFonts w:ascii="Calibri" w:cs="Calibri" w:eastAsia="Calibri" w:hAnsi="Calibri"/>
          <w:b/>
          <w:bCs/>
          <w:color w:val="FF0000"/>
          <w:sz w:val="22"/>
          <w:szCs w:val="22"/>
        </w:rPr>
        <w:t xml:space="preserve">Exhibit 13</w:t>
      </w:r>
      <w:r>
        <w:rPr>
          <w:rFonts w:ascii="Calibri" w:cs="Calibri" w:eastAsia="Calibri" w:hAnsi="Calibri"/>
          <w:sz w:val="22"/>
          <w:szCs w:val="22"/>
        </w:rPr>
        <w:t xml:space="preserve">).</w:t>
      </w:r>
    </w:p>
    <w:p>
      <w:pPr>
        <w:spacing w:after="120" w:line="264"/>
        <w:jc w:val="both"/>
      </w:pPr>
      <w:r>
        <w:rPr>
          <w:rFonts w:ascii="Calibri" w:cs="Calibri" w:eastAsia="Calibri" w:hAnsi="Calibri"/>
          <w:b/>
          <w:bCs/>
          <w:sz w:val="22"/>
          <w:szCs w:val="22"/>
        </w:rPr>
        <w:t xml:space="preserve">Project 2, attack emulation and control ordering.</w:t>
      </w:r>
      <w:r>
        <w:rPr>
          <w:rFonts w:ascii="Calibri" w:cs="Calibri" w:eastAsia="Calibri" w:hAnsi="Calibri"/>
          <w:sz w:val="22"/>
          <w:szCs w:val="22"/>
        </w:rPr>
        <w:t xml:space="preserve"> The project requires knowledge of how identity and configuration failures are exploited and of which controls stop them. My production record is a sequence of exactly those controls applied under live conditions (Part VI.C), and my published work includes intrusion detection and threat modelling, the paper cited most often in Table 31.</w:t>
      </w:r>
    </w:p>
    <w:p>
      <w:pPr>
        <w:spacing w:after="120" w:line="264"/>
        <w:jc w:val="both"/>
      </w:pPr>
      <w:r>
        <w:rPr>
          <w:rFonts w:ascii="Calibri" w:cs="Calibri" w:eastAsia="Calibri" w:hAnsi="Calibri"/>
          <w:b/>
          <w:bCs/>
          <w:sz w:val="22"/>
          <w:szCs w:val="22"/>
        </w:rPr>
        <w:t xml:space="preserve">Project 3, financial governance pillar.</w:t>
      </w:r>
      <w:r>
        <w:rPr>
          <w:rFonts w:ascii="Calibri" w:cs="Calibri" w:eastAsia="Calibri" w:hAnsi="Calibri"/>
          <w:sz w:val="22"/>
          <w:szCs w:val="22"/>
        </w:rPr>
        <w:t xml:space="preserve"> The project generalizes the licence and access audit I carried out in production, which found eight hundred seventy-two redundant licences while tightening least privilege, and the directory redesign at Ericsson that recovered compute and storage while removing over-privileged accounts (petition </w:t>
      </w:r>
      <w:r>
        <w:rPr>
          <w:rFonts w:ascii="Calibri" w:cs="Calibri" w:eastAsia="Calibri" w:hAnsi="Calibri"/>
          <w:b/>
          <w:bCs/>
          <w:color w:val="FF0000"/>
          <w:sz w:val="22"/>
          <w:szCs w:val="22"/>
        </w:rPr>
        <w:t xml:space="preserve">Exhibits 8 and 18</w:t>
      </w:r>
      <w:r>
        <w:rPr>
          <w:rFonts w:ascii="Calibri" w:cs="Calibri" w:eastAsia="Calibri" w:hAnsi="Calibri"/>
          <w:sz w:val="22"/>
          <w:szCs w:val="22"/>
        </w:rPr>
        <w:t xml:space="preserve">).</w:t>
      </w:r>
    </w:p>
    <w:p>
      <w:pPr>
        <w:pStyle w:val="Heading2"/>
        <w:keepNext/>
        <w:spacing w:after="100" w:before="200"/>
      </w:pPr>
      <w:r>
        <w:rPr>
          <w:rFonts w:ascii="Calibri" w:cs="Calibri" w:eastAsia="Calibri" w:hAnsi="Calibri"/>
          <w:b/>
          <w:bCs/>
          <w:color w:val="1F3864"/>
          <w:sz w:val="23"/>
          <w:szCs w:val="23"/>
        </w:rPr>
        <w:t xml:space="preserve">K. Independent and self-citations</w:t>
      </w:r>
    </w:p>
    <w:p>
      <w:pPr>
        <w:spacing w:after="120" w:line="264"/>
        <w:jc w:val="both"/>
      </w:pPr>
      <w:r>
        <w:rPr>
          <w:rFonts w:ascii="Calibri" w:cs="Calibri" w:eastAsia="Calibri" w:hAnsi="Calibri"/>
          <w:sz w:val="22"/>
          <w:szCs w:val="22"/>
        </w:rPr>
        <w:t xml:space="preserve">The Notice states that the Google Scholar record "does not distinguish how many of the beneficiary's citations are independent, as opposed to self-citations." This section answers that question directly, with a list of citing works that the adjudicator can check one by one.</w:t>
      </w:r>
    </w:p>
    <w:p>
      <w:pPr>
        <w:keepNext/>
        <w:spacing w:after="60" w:before="140"/>
      </w:pPr>
      <w:r>
        <w:rPr>
          <w:rFonts w:ascii="Calibri" w:cs="Calibri" w:eastAsia="Calibri" w:hAnsi="Calibri"/>
          <w:b/>
          <w:bCs/>
          <w:i/>
          <w:iCs/>
          <w:sz w:val="22"/>
          <w:szCs w:val="22"/>
        </w:rPr>
        <w:t xml:space="preserve">Method</w:t>
      </w:r>
    </w:p>
    <w:p>
      <w:pPr>
        <w:spacing w:after="120" w:line="264"/>
        <w:jc w:val="both"/>
      </w:pPr>
      <w:r>
        <w:rPr>
          <w:rFonts w:ascii="Calibri" w:cs="Calibri" w:eastAsia="Calibri" w:hAnsi="Calibri"/>
          <w:sz w:val="22"/>
          <w:szCs w:val="22"/>
        </w:rPr>
        <w:t xml:space="preserve">I identified every co-author of each of my papers from the paper itself. My co-authors across the papers are Y. G. Hassan, A. Collins, G. O. Babatunde, S. D. Mustapha, A. B. Ige, C. C. Ike, E. Kamau, T. Myllynen and A. O. Akinade. I then located published works that cite my papers, opened each one, confirmed that my paper appears in its reference list, and read its author list. A work is counted as a self-citation if any of its authors is me or a co-author of the paper it cites. A work is listed in Table 31 only if its reference to my paper was confirmed in the work itself, and only if its publication date follows the date of the paper it cites.</w:t>
      </w:r>
    </w:p>
    <w:p>
      <w:pPr>
        <w:keepNext/>
        <w:spacing w:after="60" w:before="140"/>
      </w:pPr>
      <w:r>
        <w:rPr>
          <w:rFonts w:ascii="Calibri" w:cs="Calibri" w:eastAsia="Calibri" w:hAnsi="Calibri"/>
          <w:b/>
          <w:bCs/>
          <w:i/>
          <w:iCs/>
          <w:sz w:val="22"/>
          <w:szCs w:val="22"/>
        </w:rPr>
        <w:t xml:space="preserve">Result</w:t>
      </w:r>
    </w:p>
    <w:p>
      <w:pPr>
        <w:keepNext/>
        <w:spacing w:after="80" w:before="160"/>
      </w:pPr>
      <w:r>
        <w:rPr>
          <w:rFonts w:ascii="Calibri" w:cs="Calibri" w:eastAsia="Calibri" w:hAnsi="Calibri"/>
          <w:b/>
          <w:bCs/>
          <w:sz w:val="21"/>
          <w:szCs w:val="21"/>
        </w:rPr>
        <w:t xml:space="preserve">Table 30. Author-overlap check on citing 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67"/>
        <w:gridCol w:w="2059"/>
        <w:gridCol w:w="2434"/>
      </w:tblGrid>
      <w:tr>
        <w:trPr>
          <w:cantSplit/>
          <w:tblHeader/>
        </w:trPr>
        <w:tc>
          <w:tcPr>
            <w:tcW w:type="dxa" w:w="486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b/>
                <w:bCs/>
                <w:sz w:val="19"/>
                <w:szCs w:val="19"/>
              </w:rPr>
              <w:t xml:space="preserve">Measure</w:t>
            </w:r>
          </w:p>
        </w:tc>
        <w:tc>
          <w:tcPr>
            <w:tcW w:type="dxa" w:w="205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b/>
                <w:bCs/>
                <w:sz w:val="19"/>
                <w:szCs w:val="19"/>
              </w:rPr>
              <w:t xml:space="preserve">Result</w:t>
            </w:r>
          </w:p>
        </w:tc>
        <w:tc>
          <w:tcPr>
            <w:tcW w:type="dxa" w:w="243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b/>
                <w:bCs/>
                <w:sz w:val="19"/>
                <w:szCs w:val="19"/>
              </w:rPr>
              <w:t xml:space="preserve">Source</w:t>
            </w:r>
          </w:p>
        </w:tc>
      </w:tr>
      <w:tr>
        <w:trPr>
          <w:cantSplit/>
          <w:tblHeader w:val="false"/>
        </w:trPr>
        <w:tc>
          <w:tcPr>
            <w:tcW w:type="dxa" w:w="486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Citing works confirmed and listed</w:t>
            </w:r>
          </w:p>
        </w:tc>
        <w:tc>
          <w:tcPr>
            <w:tcW w:type="dxa" w:w="205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34</w:t>
            </w:r>
          </w:p>
        </w:tc>
        <w:tc>
          <w:tcPr>
            <w:tcW w:type="dxa" w:w="243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Table 31; </w:t>
            </w:r>
            <w:r>
              <w:rPr>
                <w:rFonts w:ascii="Calibri" w:cs="Calibri" w:eastAsia="Calibri" w:hAnsi="Calibri"/>
                <w:color w:val="FF0000"/>
                <w:sz w:val="19"/>
                <w:szCs w:val="19"/>
              </w:rPr>
              <w:t xml:space="preserve">Exhibit RFE-6</w:t>
            </w:r>
          </w:p>
        </w:tc>
      </w:tr>
      <w:tr>
        <w:trPr>
          <w:cantSplit/>
          <w:tblHeader w:val="false"/>
        </w:trPr>
        <w:tc>
          <w:tcPr>
            <w:tcW w:type="dxa" w:w="486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Citing works with any author in common with the cited paper</w:t>
            </w:r>
          </w:p>
        </w:tc>
        <w:tc>
          <w:tcPr>
            <w:tcW w:type="dxa" w:w="205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0</w:t>
            </w:r>
          </w:p>
        </w:tc>
        <w:tc>
          <w:tcPr>
            <w:tcW w:type="dxa" w:w="243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Author list of each work</w:t>
            </w:r>
          </w:p>
        </w:tc>
      </w:tr>
      <w:tr>
        <w:trPr>
          <w:cantSplit/>
          <w:tblHeader w:val="false"/>
        </w:trPr>
        <w:tc>
          <w:tcPr>
            <w:tcW w:type="dxa" w:w="486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Independent citing works</w:t>
            </w:r>
          </w:p>
        </w:tc>
        <w:tc>
          <w:tcPr>
            <w:tcW w:type="dxa" w:w="205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34 of 34</w:t>
            </w:r>
          </w:p>
        </w:tc>
        <w:tc>
          <w:tcPr>
            <w:tcW w:type="dxa" w:w="243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Author list of each work</w:t>
            </w:r>
          </w:p>
        </w:tc>
      </w:tr>
      <w:tr>
        <w:trPr>
          <w:cantSplit/>
          <w:tblHeader w:val="false"/>
        </w:trPr>
        <w:tc>
          <w:tcPr>
            <w:tcW w:type="dxa" w:w="486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Countries of the citing authors' stated affiliations</w:t>
            </w:r>
          </w:p>
        </w:tc>
        <w:tc>
          <w:tcPr>
            <w:tcW w:type="dxa" w:w="205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12</w:t>
            </w:r>
          </w:p>
        </w:tc>
        <w:tc>
          <w:tcPr>
            <w:tcW w:type="dxa" w:w="243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Table 24</w:t>
            </w:r>
          </w:p>
        </w:tc>
      </w:tr>
      <w:tr>
        <w:trPr>
          <w:cantSplit/>
          <w:tblHeader w:val="false"/>
        </w:trPr>
        <w:tc>
          <w:tcPr>
            <w:tcW w:type="dxa" w:w="486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Years of publication</w:t>
            </w:r>
          </w:p>
        </w:tc>
        <w:tc>
          <w:tcPr>
            <w:tcW w:type="dxa" w:w="205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2023 to 2026</w:t>
            </w:r>
          </w:p>
        </w:tc>
        <w:tc>
          <w:tcPr>
            <w:tcW w:type="dxa" w:w="243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Table 31</w:t>
            </w:r>
          </w:p>
        </w:tc>
      </w:tr>
      <w:tr>
        <w:trPr>
          <w:cantSplit/>
          <w:tblHeader w:val="false"/>
        </w:trPr>
        <w:tc>
          <w:tcPr>
            <w:tcW w:type="dxa" w:w="486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My papers cited</w:t>
            </w:r>
          </w:p>
        </w:tc>
        <w:tc>
          <w:tcPr>
            <w:tcW w:type="dxa" w:w="205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Eight</w:t>
            </w:r>
          </w:p>
        </w:tc>
        <w:tc>
          <w:tcPr>
            <w:tcW w:type="dxa" w:w="243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Table 31</w:t>
            </w:r>
          </w:p>
        </w:tc>
      </w:tr>
    </w:tbl>
    <w:p>
      <w:pPr>
        <w:spacing w:after="80"/>
      </w:pPr>
    </w:p>
    <w:p>
      <w:pPr>
        <w:spacing w:after="120" w:line="264"/>
        <w:jc w:val="both"/>
      </w:pPr>
      <w:r>
        <w:rPr>
          <w:rFonts w:ascii="Calibri" w:cs="Calibri" w:eastAsia="Calibri" w:hAnsi="Calibri"/>
          <w:sz w:val="22"/>
          <w:szCs w:val="22"/>
        </w:rPr>
        <w:t xml:space="preserve">Every citing work in Table 31 is an independent citation. None was written by me or by any co-author of the paper it cites. Table 31 lists each work with the countries of its authors, the paper of mine it cites and a URL at which the adjudicator can open it. The first page and the reference-list page of each work are reproduced at </w:t>
      </w:r>
      <w:r>
        <w:rPr>
          <w:rFonts w:ascii="Calibri" w:cs="Calibri" w:eastAsia="Calibri" w:hAnsi="Calibri"/>
          <w:b/>
          <w:bCs/>
          <w:color w:val="FF0000"/>
          <w:sz w:val="22"/>
          <w:szCs w:val="22"/>
        </w:rPr>
        <w:t xml:space="preserve">Exhibit RFE-6</w:t>
      </w:r>
      <w:r>
        <w:rPr>
          <w:rFonts w:ascii="Calibri" w:cs="Calibri" w:eastAsia="Calibri" w:hAnsi="Calibri"/>
          <w:sz w:val="22"/>
          <w:szCs w:val="22"/>
        </w:rPr>
        <w:t xml:space="preserve">, and the full "Cited by" lists displayed by Google Scholar are at </w:t>
      </w:r>
      <w:r>
        <w:rPr>
          <w:rFonts w:ascii="Calibri" w:cs="Calibri" w:eastAsia="Calibri" w:hAnsi="Calibri"/>
          <w:b/>
          <w:bCs/>
          <w:color w:val="FF0000"/>
          <w:sz w:val="22"/>
          <w:szCs w:val="22"/>
        </w:rPr>
        <w:t xml:space="preserve">Exhibit RFE-5</w:t>
      </w:r>
      <w:r>
        <w:rPr>
          <w:rFonts w:ascii="Calibri" w:cs="Calibri" w:eastAsia="Calibri" w:hAnsi="Calibri"/>
          <w:sz w:val="22"/>
          <w:szCs w:val="22"/>
        </w:rPr>
        <w:t xml:space="preserve">, so that the check can be extended to any other citing work.</w:t>
      </w:r>
    </w:p>
    <w:p>
      <w:pPr>
        <w:keepNext/>
        <w:spacing w:after="80" w:before="160"/>
      </w:pPr>
      <w:r>
        <w:rPr>
          <w:rFonts w:ascii="Calibri" w:cs="Calibri" w:eastAsia="Calibri" w:hAnsi="Calibri"/>
          <w:b/>
          <w:bCs/>
          <w:sz w:val="21"/>
          <w:szCs w:val="21"/>
        </w:rPr>
        <w:t xml:space="preserve">Table 31. Independent published works citing my research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
        <w:gridCol w:w="4399"/>
        <w:gridCol w:w="1498"/>
        <w:gridCol w:w="1685"/>
        <w:gridCol w:w="1310"/>
      </w:tblGrid>
      <w:tr>
        <w:trPr>
          <w:cantSplit/>
          <w:tblHeader/>
        </w:trPr>
        <w:tc>
          <w:tcPr>
            <w:tcW w:type="dxa" w:w="46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b/>
                <w:bCs/>
                <w:sz w:val="19"/>
                <w:szCs w:val="19"/>
              </w:rPr>
              <w:t xml:space="preserve">No.</w:t>
            </w:r>
          </w:p>
        </w:tc>
        <w:tc>
          <w:tcPr>
            <w:tcW w:type="dxa" w:w="439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b/>
                <w:bCs/>
                <w:sz w:val="19"/>
                <w:szCs w:val="19"/>
              </w:rPr>
              <w:t xml:space="preserve">Citing work</w:t>
            </w:r>
          </w:p>
        </w:tc>
        <w:tc>
          <w:tcPr>
            <w:tcW w:type="dxa" w:w="149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b/>
                <w:bCs/>
                <w:sz w:val="19"/>
                <w:szCs w:val="19"/>
              </w:rPr>
              <w:t xml:space="preserve">Countries of authors</w:t>
            </w:r>
          </w:p>
        </w:tc>
        <w:tc>
          <w:tcPr>
            <w:tcW w:type="dxa" w:w="168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b/>
                <w:bCs/>
                <w:sz w:val="19"/>
                <w:szCs w:val="19"/>
              </w:rPr>
              <w:t xml:space="preserve">My work cited</w:t>
            </w:r>
          </w:p>
        </w:tc>
        <w:tc>
          <w:tcPr>
            <w:tcW w:type="dxa" w:w="131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b/>
                <w:bCs/>
                <w:sz w:val="19"/>
                <w:szCs w:val="19"/>
              </w:rPr>
              <w:t xml:space="preserve">URL</w:t>
            </w:r>
          </w:p>
        </w:tc>
      </w:tr>
      <w:tr>
        <w:trPr>
          <w:cantSplit/>
          <w:tblHeader w:val="false"/>
        </w:trPr>
        <w:tc>
          <w:tcPr>
            <w:tcW w:type="dxa" w:w="46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1</w:t>
            </w:r>
          </w:p>
        </w:tc>
        <w:tc>
          <w:tcPr>
            <w:tcW w:type="dxa" w:w="439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Ajayi et al. (2023), "Scaling Knowledge Exchange in the Global Data Community: The Rise of dbt Nigeria as a Benchmark Model," </w:t>
            </w:r>
            <w:r>
              <w:rPr>
                <w:rFonts w:ascii="Calibri" w:cs="Calibri" w:eastAsia="Calibri" w:hAnsi="Calibri"/>
                <w:i/>
                <w:iCs/>
                <w:sz w:val="19"/>
                <w:szCs w:val="19"/>
              </w:rPr>
              <w:t xml:space="preserve">International Journal of Advanced Multidisciplinary Research and Studies 3(5):1550-1560</w:t>
            </w:r>
          </w:p>
        </w:tc>
        <w:tc>
          <w:tcPr>
            <w:tcW w:type="dxa" w:w="149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Canada, Nigeria, Sweden, United Arab Emirates, United Kingdom, United States</w:t>
            </w:r>
          </w:p>
        </w:tc>
        <w:tc>
          <w:tcPr>
            <w:tcW w:type="dxa" w:w="168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Firmware hardening, IIoT; Zero-trust identity, smart cities</w:t>
            </w:r>
          </w:p>
        </w:tc>
        <w:tc>
          <w:tcPr>
            <w:tcW w:type="dxa" w:w="131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https://doi.org/10.62225/2583049X.2023.3.5.4812</w:t>
            </w:r>
          </w:p>
        </w:tc>
      </w:tr>
      <w:tr>
        <w:trPr>
          <w:cantSplit/>
          <w:tblHeader w:val="false"/>
        </w:trPr>
        <w:tc>
          <w:tcPr>
            <w:tcW w:type="dxa" w:w="46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2</w:t>
            </w:r>
          </w:p>
        </w:tc>
        <w:tc>
          <w:tcPr>
            <w:tcW w:type="dxa" w:w="439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Akin-Oluyomi et al. (2023), "Evaluating Supplier Sustainability Metrics through Data-Driven Procurement and Supply Chain Frameworks," </w:t>
            </w:r>
            <w:r>
              <w:rPr>
                <w:rFonts w:ascii="Calibri" w:cs="Calibri" w:eastAsia="Calibri" w:hAnsi="Calibri"/>
                <w:i/>
                <w:iCs/>
                <w:sz w:val="19"/>
                <w:szCs w:val="19"/>
              </w:rPr>
              <w:t xml:space="preserve">International Journal of Advanced Multidisciplinary Research and Studies 3(6):2213-2223</w:t>
            </w:r>
          </w:p>
        </w:tc>
        <w:tc>
          <w:tcPr>
            <w:tcW w:type="dxa" w:w="149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Brazil, Nigeria</w:t>
            </w:r>
          </w:p>
        </w:tc>
        <w:tc>
          <w:tcPr>
            <w:tcW w:type="dxa" w:w="168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Firmware hardening, IIoT</w:t>
            </w:r>
          </w:p>
        </w:tc>
        <w:tc>
          <w:tcPr>
            <w:tcW w:type="dxa" w:w="131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https://www.multiresearchjournal.com/admin/uploads/archives/archive-1765178891.pdf</w:t>
            </w:r>
          </w:p>
        </w:tc>
      </w:tr>
      <w:tr>
        <w:trPr>
          <w:cantSplit/>
          <w:tblHeader w:val="false"/>
        </w:trPr>
        <w:tc>
          <w:tcPr>
            <w:tcW w:type="dxa" w:w="46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3</w:t>
            </w:r>
          </w:p>
        </w:tc>
        <w:tc>
          <w:tcPr>
            <w:tcW w:type="dxa" w:w="439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Filani et al. (2023), "An Economic Impact Model for Evaluating the Cost-Benefit of Technology Adoption in Inventory Management," </w:t>
            </w:r>
            <w:r>
              <w:rPr>
                <w:rFonts w:ascii="Calibri" w:cs="Calibri" w:eastAsia="Calibri" w:hAnsi="Calibri"/>
                <w:i/>
                <w:iCs/>
                <w:sz w:val="19"/>
                <w:szCs w:val="19"/>
              </w:rPr>
              <w:t xml:space="preserve">International Journal of Advanced Multidisciplinary Research and Studies 3(6):1997-2007</w:t>
            </w:r>
          </w:p>
        </w:tc>
        <w:tc>
          <w:tcPr>
            <w:tcW w:type="dxa" w:w="149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Nigeria</w:t>
            </w:r>
          </w:p>
        </w:tc>
        <w:tc>
          <w:tcPr>
            <w:tcW w:type="dxa" w:w="168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Firmware hardening, IIoT; Zero-trust identity, smart cities</w:t>
            </w:r>
          </w:p>
        </w:tc>
        <w:tc>
          <w:tcPr>
            <w:tcW w:type="dxa" w:w="131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https://doi.org/10.62225/2583049X.2023.3.6.4624</w:t>
            </w:r>
          </w:p>
        </w:tc>
      </w:tr>
      <w:tr>
        <w:trPr>
          <w:cantSplit/>
          <w:tblHeader w:val="false"/>
        </w:trPr>
        <w:tc>
          <w:tcPr>
            <w:tcW w:type="dxa" w:w="46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4</w:t>
            </w:r>
          </w:p>
        </w:tc>
        <w:tc>
          <w:tcPr>
            <w:tcW w:type="dxa" w:w="439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Filani et al. (2023), "A Real-Time Exception Reporting System for Tracking Logistics Discrepancies in the Retail Sector," </w:t>
            </w:r>
            <w:r>
              <w:rPr>
                <w:rFonts w:ascii="Calibri" w:cs="Calibri" w:eastAsia="Calibri" w:hAnsi="Calibri"/>
                <w:i/>
                <w:iCs/>
                <w:sz w:val="19"/>
                <w:szCs w:val="19"/>
              </w:rPr>
              <w:t xml:space="preserve">International Journal of Scientific Research in Computer Science, Engineering and Information Technology 9(5):497-518</w:t>
            </w:r>
          </w:p>
        </w:tc>
        <w:tc>
          <w:tcPr>
            <w:tcW w:type="dxa" w:w="149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Nigeria</w:t>
            </w:r>
          </w:p>
        </w:tc>
        <w:tc>
          <w:tcPr>
            <w:tcW w:type="dxa" w:w="168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Firmware hardening, IIoT; Zero-trust identity, smart cities</w:t>
            </w:r>
          </w:p>
        </w:tc>
        <w:tc>
          <w:tcPr>
            <w:tcW w:type="dxa" w:w="131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https://ijsrcseit.com/home/issue/view/article.php?id=CSEIT239079</w:t>
            </w:r>
          </w:p>
        </w:tc>
      </w:tr>
      <w:tr>
        <w:trPr>
          <w:cantSplit/>
          <w:tblHeader w:val="false"/>
        </w:trPr>
        <w:tc>
          <w:tcPr>
            <w:tcW w:type="dxa" w:w="46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5</w:t>
            </w:r>
          </w:p>
        </w:tc>
        <w:tc>
          <w:tcPr>
            <w:tcW w:type="dxa" w:w="439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Friday et al. (2023), "Developing a Predictive Model for Financial Fraud Detection Using Data Analytics in Financial Institutions," </w:t>
            </w:r>
            <w:r>
              <w:rPr>
                <w:rFonts w:ascii="Calibri" w:cs="Calibri" w:eastAsia="Calibri" w:hAnsi="Calibri"/>
                <w:i/>
                <w:iCs/>
                <w:sz w:val="19"/>
                <w:szCs w:val="19"/>
              </w:rPr>
              <w:t xml:space="preserve">International Journal of Management and Organizational Research 2(1):308-319</w:t>
            </w:r>
          </w:p>
        </w:tc>
        <w:tc>
          <w:tcPr>
            <w:tcW w:type="dxa" w:w="149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Nigeria, United States</w:t>
            </w:r>
          </w:p>
        </w:tc>
        <w:tc>
          <w:tcPr>
            <w:tcW w:type="dxa" w:w="168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Firmware hardening, IIoT; Zero-trust identity, smart cities</w:t>
            </w:r>
          </w:p>
        </w:tc>
        <w:tc>
          <w:tcPr>
            <w:tcW w:type="dxa" w:w="131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https://doi.org/10.54660/IJMOR.2023.2.1.308-319</w:t>
            </w:r>
          </w:p>
        </w:tc>
      </w:tr>
      <w:tr>
        <w:trPr>
          <w:cantSplit/>
          <w:tblHeader w:val="false"/>
        </w:trPr>
        <w:tc>
          <w:tcPr>
            <w:tcW w:type="dxa" w:w="46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6</w:t>
            </w:r>
          </w:p>
        </w:tc>
        <w:tc>
          <w:tcPr>
            <w:tcW w:type="dxa" w:w="439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Hayatu et al. (2023), "Systematic Review of Resilience Engineering and Operational Risk Management in Telecom Networks," </w:t>
            </w:r>
            <w:r>
              <w:rPr>
                <w:rFonts w:ascii="Calibri" w:cs="Calibri" w:eastAsia="Calibri" w:hAnsi="Calibri"/>
                <w:i/>
                <w:iCs/>
                <w:sz w:val="19"/>
                <w:szCs w:val="19"/>
              </w:rPr>
              <w:t xml:space="preserve">Journal of Frontiers in Multidisciplinary Research 4(2):142-161</w:t>
            </w:r>
          </w:p>
        </w:tc>
        <w:tc>
          <w:tcPr>
            <w:tcW w:type="dxa" w:w="149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Nigeria, United States</w:t>
            </w:r>
          </w:p>
        </w:tc>
        <w:tc>
          <w:tcPr>
            <w:tcW w:type="dxa" w:w="168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Firmware hardening, IIoT; Zero-trust identity, smart cities</w:t>
            </w:r>
          </w:p>
        </w:tc>
        <w:tc>
          <w:tcPr>
            <w:tcW w:type="dxa" w:w="131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https://doi.org/10.54660/.JFMR.2023.4.2.142-161</w:t>
            </w:r>
          </w:p>
        </w:tc>
      </w:tr>
      <w:tr>
        <w:trPr>
          <w:cantSplit/>
          <w:tblHeader w:val="false"/>
        </w:trPr>
        <w:tc>
          <w:tcPr>
            <w:tcW w:type="dxa" w:w="46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7</w:t>
            </w:r>
          </w:p>
        </w:tc>
        <w:tc>
          <w:tcPr>
            <w:tcW w:type="dxa" w:w="439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Oladimeji et al. (2023), "Machine Learning Attribution Models for Real-Time Marketing Optimization: Performance Evaluation and Deployment Challenges," </w:t>
            </w:r>
            <w:r>
              <w:rPr>
                <w:rFonts w:ascii="Calibri" w:cs="Calibri" w:eastAsia="Calibri" w:hAnsi="Calibri"/>
                <w:i/>
                <w:iCs/>
                <w:sz w:val="19"/>
                <w:szCs w:val="19"/>
              </w:rPr>
              <w:t xml:space="preserve">International Journal of Advanced Multidisciplinary Research and Studies 3(5):1561-1571</w:t>
            </w:r>
          </w:p>
        </w:tc>
        <w:tc>
          <w:tcPr>
            <w:tcW w:type="dxa" w:w="149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Canada, Nigeria, Sweden, United Arab Emirates, United Kingdom, United States</w:t>
            </w:r>
          </w:p>
        </w:tc>
        <w:tc>
          <w:tcPr>
            <w:tcW w:type="dxa" w:w="168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Firmware hardening, IIoT; Zero-trust identity, smart cities</w:t>
            </w:r>
          </w:p>
        </w:tc>
        <w:tc>
          <w:tcPr>
            <w:tcW w:type="dxa" w:w="131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https://www.multiresearchjournal.com/admin/uploads/archives/archive-1756120833.pdf</w:t>
            </w:r>
          </w:p>
        </w:tc>
      </w:tr>
      <w:tr>
        <w:trPr>
          <w:cantSplit/>
          <w:tblHeader w:val="false"/>
        </w:trPr>
        <w:tc>
          <w:tcPr>
            <w:tcW w:type="dxa" w:w="46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8</w:t>
            </w:r>
          </w:p>
        </w:tc>
        <w:tc>
          <w:tcPr>
            <w:tcW w:type="dxa" w:w="439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Omolayo et al. (2023), "Defect Detection Strategies in Agile Teams: Improving Software Quality through Automation and Collaborative Workflows," </w:t>
            </w:r>
            <w:r>
              <w:rPr>
                <w:rFonts w:ascii="Calibri" w:cs="Calibri" w:eastAsia="Calibri" w:hAnsi="Calibri"/>
                <w:i/>
                <w:iCs/>
                <w:sz w:val="19"/>
                <w:szCs w:val="19"/>
              </w:rPr>
              <w:t xml:space="preserve">International Journal of Scientific Research in Computer Science, Engineering and Information Technology 9(5):519-555</w:t>
            </w:r>
          </w:p>
        </w:tc>
        <w:tc>
          <w:tcPr>
            <w:tcW w:type="dxa" w:w="149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Nigeria, Qatar, United States</w:t>
            </w:r>
          </w:p>
        </w:tc>
        <w:tc>
          <w:tcPr>
            <w:tcW w:type="dxa" w:w="168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Firmware hardening, IIoT; Zero-trust identity, smart cities</w:t>
            </w:r>
          </w:p>
        </w:tc>
        <w:tc>
          <w:tcPr>
            <w:tcW w:type="dxa" w:w="131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https://ijsrcseit.com/home/issue/view/article.php?id=CSEIT239080</w:t>
            </w:r>
          </w:p>
        </w:tc>
      </w:tr>
      <w:tr>
        <w:trPr>
          <w:cantSplit/>
          <w:tblHeader w:val="false"/>
        </w:trPr>
        <w:tc>
          <w:tcPr>
            <w:tcW w:type="dxa" w:w="46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9</w:t>
            </w:r>
          </w:p>
        </w:tc>
        <w:tc>
          <w:tcPr>
            <w:tcW w:type="dxa" w:w="439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Onifade et al. (2023), "A Conceptual Framework for Unified Financial and Customer Data Management Using CRM and Planful Systems," </w:t>
            </w:r>
            <w:r>
              <w:rPr>
                <w:rFonts w:ascii="Calibri" w:cs="Calibri" w:eastAsia="Calibri" w:hAnsi="Calibri"/>
                <w:i/>
                <w:iCs/>
                <w:sz w:val="19"/>
                <w:szCs w:val="19"/>
              </w:rPr>
              <w:t xml:space="preserve">International Journal of Social Science Exceptional Research 2(1):249-255</w:t>
            </w:r>
          </w:p>
        </w:tc>
        <w:tc>
          <w:tcPr>
            <w:tcW w:type="dxa" w:w="149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United Kingdom, United States</w:t>
            </w:r>
          </w:p>
        </w:tc>
        <w:tc>
          <w:tcPr>
            <w:tcW w:type="dxa" w:w="168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Firmware hardening, IIoT; Zero-trust identity, smart cities</w:t>
            </w:r>
          </w:p>
        </w:tc>
        <w:tc>
          <w:tcPr>
            <w:tcW w:type="dxa" w:w="131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https://doi.org/10.54660/IJSSER.2023.2.1.249-255</w:t>
            </w:r>
          </w:p>
        </w:tc>
      </w:tr>
      <w:tr>
        <w:trPr>
          <w:cantSplit/>
          <w:tblHeader w:val="false"/>
        </w:trPr>
        <w:tc>
          <w:tcPr>
            <w:tcW w:type="dxa" w:w="46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10</w:t>
            </w:r>
          </w:p>
        </w:tc>
        <w:tc>
          <w:tcPr>
            <w:tcW w:type="dxa" w:w="439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Sanni and Attah (2023), "A Comprehensive Framework for Digital Transformation in Capital Markets: Solving Operational Challenges and Enhancing Stakeholder Engagement," </w:t>
            </w:r>
            <w:r>
              <w:rPr>
                <w:rFonts w:ascii="Calibri" w:cs="Calibri" w:eastAsia="Calibri" w:hAnsi="Calibri"/>
                <w:i/>
                <w:iCs/>
                <w:sz w:val="19"/>
                <w:szCs w:val="19"/>
              </w:rPr>
              <w:t xml:space="preserve">Gyanshauryam International Scientific Refereed Research Journal</w:t>
            </w:r>
          </w:p>
        </w:tc>
        <w:tc>
          <w:tcPr>
            <w:tcW w:type="dxa" w:w="149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United Kingdom</w:t>
            </w:r>
          </w:p>
        </w:tc>
        <w:tc>
          <w:tcPr>
            <w:tcW w:type="dxa" w:w="168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Firmware hardening, IIoT; Zero-trust identity, smart cities</w:t>
            </w:r>
          </w:p>
        </w:tc>
        <w:tc>
          <w:tcPr>
            <w:tcW w:type="dxa" w:w="131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https://doi.org/10.32628/gisrrj236640</w:t>
            </w:r>
          </w:p>
        </w:tc>
      </w:tr>
      <w:tr>
        <w:trPr>
          <w:cantSplit/>
          <w:tblHeader w:val="false"/>
        </w:trPr>
        <w:tc>
          <w:tcPr>
            <w:tcW w:type="dxa" w:w="46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11</w:t>
            </w:r>
          </w:p>
        </w:tc>
        <w:tc>
          <w:tcPr>
            <w:tcW w:type="dxa" w:w="439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Chianumba et al. (2024), "Evaluating the Impact of Telemedicine, AI, and Data Sharing on Public Health Outcomes and Healthcare Access," </w:t>
            </w:r>
            <w:r>
              <w:rPr>
                <w:rFonts w:ascii="Calibri" w:cs="Calibri" w:eastAsia="Calibri" w:hAnsi="Calibri"/>
                <w:i/>
                <w:iCs/>
                <w:sz w:val="19"/>
                <w:szCs w:val="19"/>
              </w:rPr>
              <w:t xml:space="preserve">International Journal of Advanced Multidisciplinary Research and Studies 4(6):1620-1625</w:t>
            </w:r>
          </w:p>
        </w:tc>
        <w:tc>
          <w:tcPr>
            <w:tcW w:type="dxa" w:w="149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Nigeria, United States</w:t>
            </w:r>
          </w:p>
        </w:tc>
        <w:tc>
          <w:tcPr>
            <w:tcW w:type="dxa" w:w="168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Firmware hardening, IIoT; Zero-trust identity, smart cities</w:t>
            </w:r>
          </w:p>
        </w:tc>
        <w:tc>
          <w:tcPr>
            <w:tcW w:type="dxa" w:w="131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https://doi.org/10.62225/2583049X.2024.4.6.4074</w:t>
            </w:r>
          </w:p>
        </w:tc>
      </w:tr>
      <w:tr>
        <w:trPr>
          <w:cantSplit/>
          <w:tblHeader w:val="false"/>
        </w:trPr>
        <w:tc>
          <w:tcPr>
            <w:tcW w:type="dxa" w:w="46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12</w:t>
            </w:r>
          </w:p>
        </w:tc>
        <w:tc>
          <w:tcPr>
            <w:tcW w:type="dxa" w:w="439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Egbuhuzor (2024), "The Potential of AI-Driven Optimization in Enhancing Network Performance and Efficiency," </w:t>
            </w:r>
            <w:r>
              <w:rPr>
                <w:rFonts w:ascii="Calibri" w:cs="Calibri" w:eastAsia="Calibri" w:hAnsi="Calibri"/>
                <w:i/>
                <w:iCs/>
                <w:sz w:val="19"/>
                <w:szCs w:val="19"/>
              </w:rPr>
              <w:t xml:space="preserve">International Journal of Management and Organizational Research 3(1) 163-175</w:t>
            </w:r>
          </w:p>
        </w:tc>
        <w:tc>
          <w:tcPr>
            <w:tcW w:type="dxa" w:w="149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United States</w:t>
            </w:r>
          </w:p>
        </w:tc>
        <w:tc>
          <w:tcPr>
            <w:tcW w:type="dxa" w:w="168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Multi-cloud data sync</w:t>
            </w:r>
          </w:p>
        </w:tc>
        <w:tc>
          <w:tcPr>
            <w:tcW w:type="dxa" w:w="131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https://doi.org/10.54660/IJMOR.2024.3.1.163-175</w:t>
            </w:r>
          </w:p>
        </w:tc>
      </w:tr>
      <w:tr>
        <w:trPr>
          <w:cantSplit/>
          <w:tblHeader w:val="false"/>
        </w:trPr>
        <w:tc>
          <w:tcPr>
            <w:tcW w:type="dxa" w:w="46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13</w:t>
            </w:r>
          </w:p>
        </w:tc>
        <w:tc>
          <w:tcPr>
            <w:tcW w:type="dxa" w:w="439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Ezeh et al. (2024), "Advances in Blockchain and IoT Integration for Real-Time Supply Chain Visibility and Procurement Transparency," </w:t>
            </w:r>
            <w:r>
              <w:rPr>
                <w:rFonts w:ascii="Calibri" w:cs="Calibri" w:eastAsia="Calibri" w:hAnsi="Calibri"/>
                <w:i/>
                <w:iCs/>
                <w:sz w:val="19"/>
                <w:szCs w:val="19"/>
              </w:rPr>
              <w:t xml:space="preserve">International Journal of Advanced Multidisciplinary Research and Studies 4(6) 2288-2300</w:t>
            </w:r>
          </w:p>
        </w:tc>
        <w:tc>
          <w:tcPr>
            <w:tcW w:type="dxa" w:w="149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Saudi Arabia, United Kingdom, United States</w:t>
            </w:r>
          </w:p>
        </w:tc>
        <w:tc>
          <w:tcPr>
            <w:tcW w:type="dxa" w:w="168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Multi-cloud data sync; Smart home IoT security</w:t>
            </w:r>
          </w:p>
        </w:tc>
        <w:tc>
          <w:tcPr>
            <w:tcW w:type="dxa" w:w="131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https://www.multiresearchjournal.com/admin/uploads/archives/archive-1748408213.pdf</w:t>
            </w:r>
          </w:p>
        </w:tc>
      </w:tr>
      <w:tr>
        <w:trPr>
          <w:cantSplit/>
          <w:tblHeader w:val="false"/>
        </w:trPr>
        <w:tc>
          <w:tcPr>
            <w:tcW w:type="dxa" w:w="46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14</w:t>
            </w:r>
          </w:p>
        </w:tc>
        <w:tc>
          <w:tcPr>
            <w:tcW w:type="dxa" w:w="439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Filani et al. (2024), "A Sector-Wide Data Collection Framework for Improving Operational Efficiency in Nigeria's Retail Logistics Ecosystem," </w:t>
            </w:r>
            <w:r>
              <w:rPr>
                <w:rFonts w:ascii="Calibri" w:cs="Calibri" w:eastAsia="Calibri" w:hAnsi="Calibri"/>
                <w:i/>
                <w:iCs/>
                <w:sz w:val="19"/>
                <w:szCs w:val="19"/>
              </w:rPr>
              <w:t xml:space="preserve">International Journal of Scientific Research in Computer Science, Engineering and Information Technology 10(4):509-527</w:t>
            </w:r>
          </w:p>
        </w:tc>
        <w:tc>
          <w:tcPr>
            <w:tcW w:type="dxa" w:w="149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Nigeria</w:t>
            </w:r>
          </w:p>
        </w:tc>
        <w:tc>
          <w:tcPr>
            <w:tcW w:type="dxa" w:w="168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Firmware hardening, IIoT</w:t>
            </w:r>
          </w:p>
        </w:tc>
        <w:tc>
          <w:tcPr>
            <w:tcW w:type="dxa" w:w="131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https://ijsrcseit.com/index.php/home/article/view/CSEIT25113485</w:t>
            </w:r>
          </w:p>
        </w:tc>
      </w:tr>
      <w:tr>
        <w:trPr>
          <w:cantSplit/>
          <w:tblHeader w:val="false"/>
        </w:trPr>
        <w:tc>
          <w:tcPr>
            <w:tcW w:type="dxa" w:w="46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15</w:t>
            </w:r>
          </w:p>
        </w:tc>
        <w:tc>
          <w:tcPr>
            <w:tcW w:type="dxa" w:w="439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George et al. (2024), "Strategic Vendor Relationship Management: A Conceptual Model for Building Sustainable Partnerships in Competitive Marketing Ecosystems," </w:t>
            </w:r>
            <w:r>
              <w:rPr>
                <w:rFonts w:ascii="Calibri" w:cs="Calibri" w:eastAsia="Calibri" w:hAnsi="Calibri"/>
                <w:i/>
                <w:iCs/>
                <w:sz w:val="19"/>
                <w:szCs w:val="19"/>
              </w:rPr>
              <w:t xml:space="preserve">Journal of Frontiers in Multidisciplinary Research 5(1) 112-118</w:t>
            </w:r>
          </w:p>
        </w:tc>
        <w:tc>
          <w:tcPr>
            <w:tcW w:type="dxa" w:w="149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Nigeria</w:t>
            </w:r>
          </w:p>
        </w:tc>
        <w:tc>
          <w:tcPr>
            <w:tcW w:type="dxa" w:w="168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Multi-cloud data sync; AI cyber-physical security, IIoT; Smart home IoT security</w:t>
            </w:r>
          </w:p>
        </w:tc>
        <w:tc>
          <w:tcPr>
            <w:tcW w:type="dxa" w:w="131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https://doi.org/10.54660/.IJFMR.2024.5.1.112-118</w:t>
            </w:r>
          </w:p>
        </w:tc>
      </w:tr>
      <w:tr>
        <w:trPr>
          <w:cantSplit/>
          <w:tblHeader w:val="false"/>
        </w:trPr>
        <w:tc>
          <w:tcPr>
            <w:tcW w:type="dxa" w:w="46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16</w:t>
            </w:r>
          </w:p>
        </w:tc>
        <w:tc>
          <w:tcPr>
            <w:tcW w:type="dxa" w:w="439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Hayatu et al. (2024), "A Conceptual Model for Sustainable Network Expansion to Reach Economically Disadvantaged Communities," </w:t>
            </w:r>
            <w:r>
              <w:rPr>
                <w:rFonts w:ascii="Calibri" w:cs="Calibri" w:eastAsia="Calibri" w:hAnsi="Calibri"/>
                <w:i/>
                <w:iCs/>
                <w:sz w:val="19"/>
                <w:szCs w:val="19"/>
              </w:rPr>
              <w:t xml:space="preserve">International Journal of Scientific Research in Computer Science, Engineering and Information Technology 10(2)</w:t>
            </w:r>
          </w:p>
        </w:tc>
        <w:tc>
          <w:tcPr>
            <w:tcW w:type="dxa" w:w="149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United Kingdom, United States</w:t>
            </w:r>
          </w:p>
        </w:tc>
        <w:tc>
          <w:tcPr>
            <w:tcW w:type="dxa" w:w="168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Intrusion detection, smart manufacturing; Firmware hardening, IIoT; Zero-trust identity, smart cities; AI cyber-physical security, IIoT; Smart home IoT security</w:t>
            </w:r>
          </w:p>
        </w:tc>
        <w:tc>
          <w:tcPr>
            <w:tcW w:type="dxa" w:w="131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https://doi.org/10.32628/CSEIT24102139</w:t>
            </w:r>
          </w:p>
        </w:tc>
      </w:tr>
      <w:tr>
        <w:trPr>
          <w:cantSplit/>
          <w:tblHeader w:val="false"/>
        </w:trPr>
        <w:tc>
          <w:tcPr>
            <w:tcW w:type="dxa" w:w="46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17</w:t>
            </w:r>
          </w:p>
        </w:tc>
        <w:tc>
          <w:tcPr>
            <w:tcW w:type="dxa" w:w="439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Ochefu et al. (2024), "Systematic Review of Strategic Business Administration Practices for Driving Operational Excellence in IT-Driven Firms," </w:t>
            </w:r>
            <w:r>
              <w:rPr>
                <w:rFonts w:ascii="Calibri" w:cs="Calibri" w:eastAsia="Calibri" w:hAnsi="Calibri"/>
                <w:i/>
                <w:iCs/>
                <w:sz w:val="19"/>
                <w:szCs w:val="19"/>
              </w:rPr>
              <w:t xml:space="preserve">International Journal of Social Science Exceptional Research 3(2) 81-92</w:t>
            </w:r>
          </w:p>
        </w:tc>
        <w:tc>
          <w:tcPr>
            <w:tcW w:type="dxa" w:w="149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Nigeria, United States</w:t>
            </w:r>
          </w:p>
        </w:tc>
        <w:tc>
          <w:tcPr>
            <w:tcW w:type="dxa" w:w="168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Smart home IoT security</w:t>
            </w:r>
          </w:p>
        </w:tc>
        <w:tc>
          <w:tcPr>
            <w:tcW w:type="dxa" w:w="131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https://doi.org/10.54660/IJSSER.2024.3.2.81-92</w:t>
            </w:r>
          </w:p>
        </w:tc>
      </w:tr>
      <w:tr>
        <w:trPr>
          <w:cantSplit/>
          <w:tblHeader w:val="false"/>
        </w:trPr>
        <w:tc>
          <w:tcPr>
            <w:tcW w:type="dxa" w:w="46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18</w:t>
            </w:r>
          </w:p>
        </w:tc>
        <w:tc>
          <w:tcPr>
            <w:tcW w:type="dxa" w:w="439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Ogunmokun et al. (2024), "Business intelligence dashboard optimization model for real-time performance tracking and forecasting accuracy," </w:t>
            </w:r>
            <w:r>
              <w:rPr>
                <w:rFonts w:ascii="Calibri" w:cs="Calibri" w:eastAsia="Calibri" w:hAnsi="Calibri"/>
                <w:i/>
                <w:iCs/>
                <w:sz w:val="19"/>
                <w:szCs w:val="19"/>
              </w:rPr>
              <w:t xml:space="preserve">International Journal of Social Science Exceptional Research 3(1) 201-208</w:t>
            </w:r>
          </w:p>
        </w:tc>
        <w:tc>
          <w:tcPr>
            <w:tcW w:type="dxa" w:w="149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Nigeria, United States</w:t>
            </w:r>
          </w:p>
        </w:tc>
        <w:tc>
          <w:tcPr>
            <w:tcW w:type="dxa" w:w="168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Multi-cloud data sync; Smart home IoT security</w:t>
            </w:r>
          </w:p>
        </w:tc>
        <w:tc>
          <w:tcPr>
            <w:tcW w:type="dxa" w:w="131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https://doi.org/10.54660/IJSSER.2024.3.1.201-208</w:t>
            </w:r>
          </w:p>
        </w:tc>
      </w:tr>
      <w:tr>
        <w:trPr>
          <w:cantSplit/>
          <w:tblHeader w:val="false"/>
        </w:trPr>
        <w:tc>
          <w:tcPr>
            <w:tcW w:type="dxa" w:w="46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19</w:t>
            </w:r>
          </w:p>
        </w:tc>
        <w:tc>
          <w:tcPr>
            <w:tcW w:type="dxa" w:w="439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Alexander and Wang (2025), "Effective metrics to detect and prioritize cyber incidents in healthcare," </w:t>
            </w:r>
            <w:r>
              <w:rPr>
                <w:rFonts w:ascii="Calibri" w:cs="Calibri" w:eastAsia="Calibri" w:hAnsi="Calibri"/>
                <w:i/>
                <w:iCs/>
                <w:sz w:val="19"/>
                <w:szCs w:val="19"/>
              </w:rPr>
              <w:t xml:space="preserve">Artificial Intelligence in Health 3(3)</w:t>
            </w:r>
          </w:p>
        </w:tc>
        <w:tc>
          <w:tcPr>
            <w:tcW w:type="dxa" w:w="149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United States</w:t>
            </w:r>
          </w:p>
        </w:tc>
        <w:tc>
          <w:tcPr>
            <w:tcW w:type="dxa" w:w="168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Holistic cyber risk model</w:t>
            </w:r>
          </w:p>
        </w:tc>
        <w:tc>
          <w:tcPr>
            <w:tcW w:type="dxa" w:w="131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https://doi.org/10.36922/AIH025170035</w:t>
            </w:r>
          </w:p>
        </w:tc>
      </w:tr>
      <w:tr>
        <w:trPr>
          <w:cantSplit/>
          <w:tblHeader w:val="false"/>
        </w:trPr>
        <w:tc>
          <w:tcPr>
            <w:tcW w:type="dxa" w:w="46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20</w:t>
            </w:r>
          </w:p>
        </w:tc>
        <w:tc>
          <w:tcPr>
            <w:tcW w:type="dxa" w:w="439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Ashaolu (2025), "AI-enabled software systems leveraging machine learning for performance optimization security monitoring and operational resilience," </w:t>
            </w:r>
            <w:r>
              <w:rPr>
                <w:rFonts w:ascii="Calibri" w:cs="Calibri" w:eastAsia="Calibri" w:hAnsi="Calibri"/>
                <w:i/>
                <w:iCs/>
                <w:sz w:val="19"/>
                <w:szCs w:val="19"/>
              </w:rPr>
              <w:t xml:space="preserve">International Journal of Computing and Artificial Intelligence 6(1) 295-308</w:t>
            </w:r>
          </w:p>
        </w:tc>
        <w:tc>
          <w:tcPr>
            <w:tcW w:type="dxa" w:w="149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United States</w:t>
            </w:r>
          </w:p>
        </w:tc>
        <w:tc>
          <w:tcPr>
            <w:tcW w:type="dxa" w:w="168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AI cyber-physical security, IIoT</w:t>
            </w:r>
          </w:p>
        </w:tc>
        <w:tc>
          <w:tcPr>
            <w:tcW w:type="dxa" w:w="131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https://doi.org/10.33545/27076571.2025.v6.i1d.268</w:t>
            </w:r>
          </w:p>
        </w:tc>
      </w:tr>
      <w:tr>
        <w:trPr>
          <w:cantSplit/>
          <w:tblHeader w:val="false"/>
        </w:trPr>
        <w:tc>
          <w:tcPr>
            <w:tcW w:type="dxa" w:w="46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21</w:t>
            </w:r>
          </w:p>
        </w:tc>
        <w:tc>
          <w:tcPr>
            <w:tcW w:type="dxa" w:w="439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Dosumu et al. (2025), "Advancing Product Launch Efficiency: A Conceptual Model Integrating Agile Project Management and Scrum Methodologies," </w:t>
            </w:r>
            <w:r>
              <w:rPr>
                <w:rFonts w:ascii="Calibri" w:cs="Calibri" w:eastAsia="Calibri" w:hAnsi="Calibri"/>
                <w:i/>
                <w:iCs/>
                <w:sz w:val="19"/>
                <w:szCs w:val="19"/>
              </w:rPr>
              <w:t xml:space="preserve">International Journal of Advanced Multidisciplinary Research and Studies 5(2) 1233-1238</w:t>
            </w:r>
          </w:p>
        </w:tc>
        <w:tc>
          <w:tcPr>
            <w:tcW w:type="dxa" w:w="149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Nigeria</w:t>
            </w:r>
          </w:p>
        </w:tc>
        <w:tc>
          <w:tcPr>
            <w:tcW w:type="dxa" w:w="168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Holistic cyber risk model; AI cyber-physical security, IIoT; Smart home IoT security; Telecom project management</w:t>
            </w:r>
          </w:p>
        </w:tc>
        <w:tc>
          <w:tcPr>
            <w:tcW w:type="dxa" w:w="131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https://doi.org/10.62225/2583049X.2025.5.2.3971</w:t>
            </w:r>
          </w:p>
        </w:tc>
      </w:tr>
      <w:tr>
        <w:trPr>
          <w:cantSplit/>
          <w:tblHeader w:val="false"/>
        </w:trPr>
        <w:tc>
          <w:tcPr>
            <w:tcW w:type="dxa" w:w="46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22</w:t>
            </w:r>
          </w:p>
        </w:tc>
        <w:tc>
          <w:tcPr>
            <w:tcW w:type="dxa" w:w="439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George et al. (2025), "Compliance Governance in Media Investment: A Conceptual Risk Mitigation Framework for Ensuring Accountability and Transparency in Telecommunications Advertising," </w:t>
            </w:r>
            <w:r>
              <w:rPr>
                <w:rFonts w:ascii="Calibri" w:cs="Calibri" w:eastAsia="Calibri" w:hAnsi="Calibri"/>
                <w:i/>
                <w:iCs/>
                <w:sz w:val="19"/>
                <w:szCs w:val="19"/>
              </w:rPr>
              <w:t xml:space="preserve">International Journal of Social Sciences and Management Research 11(3) 77-89</w:t>
            </w:r>
          </w:p>
        </w:tc>
        <w:tc>
          <w:tcPr>
            <w:tcW w:type="dxa" w:w="149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Not stated</w:t>
            </w:r>
          </w:p>
        </w:tc>
        <w:tc>
          <w:tcPr>
            <w:tcW w:type="dxa" w:w="168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Intrusion detection, smart manufacturing; Holistic cyber risk model; Multi-cloud data sync; AI cyber-physical security, IIoT; Smart home IoT security; Telecom project management</w:t>
            </w:r>
          </w:p>
        </w:tc>
        <w:tc>
          <w:tcPr>
            <w:tcW w:type="dxa" w:w="131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https://doi.org/10.56201/ijssmr.vol.11no3.2025.pg.77.89</w:t>
            </w:r>
          </w:p>
        </w:tc>
      </w:tr>
      <w:tr>
        <w:trPr>
          <w:cantSplit/>
          <w:tblHeader w:val="false"/>
        </w:trPr>
        <w:tc>
          <w:tcPr>
            <w:tcW w:type="dxa" w:w="46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23</w:t>
            </w:r>
          </w:p>
        </w:tc>
        <w:tc>
          <w:tcPr>
            <w:tcW w:type="dxa" w:w="439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Khan et al. (2025), "Integrating AI, Blockchain, and Edge Computing for Zero-Trust IoT Security: A Comprehensive Review of Advanced Cybersecurity Framework," </w:t>
            </w:r>
            <w:r>
              <w:rPr>
                <w:rFonts w:ascii="Calibri" w:cs="Calibri" w:eastAsia="Calibri" w:hAnsi="Calibri"/>
                <w:i/>
                <w:iCs/>
                <w:sz w:val="19"/>
                <w:szCs w:val="19"/>
              </w:rPr>
              <w:t xml:space="preserve">Computers, Materials &amp; Continua 85(3):4307-4344</w:t>
            </w:r>
          </w:p>
        </w:tc>
        <w:tc>
          <w:tcPr>
            <w:tcW w:type="dxa" w:w="149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Pakistan, Saudi Arabia</w:t>
            </w:r>
          </w:p>
        </w:tc>
        <w:tc>
          <w:tcPr>
            <w:tcW w:type="dxa" w:w="168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Zero-trust identity, smart cities</w:t>
            </w:r>
          </w:p>
        </w:tc>
        <w:tc>
          <w:tcPr>
            <w:tcW w:type="dxa" w:w="131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https://doi.org/10.32604/cmc.2025.070189</w:t>
            </w:r>
          </w:p>
        </w:tc>
      </w:tr>
      <w:tr>
        <w:trPr>
          <w:cantSplit/>
          <w:tblHeader w:val="false"/>
        </w:trPr>
        <w:tc>
          <w:tcPr>
            <w:tcW w:type="dxa" w:w="46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24</w:t>
            </w:r>
          </w:p>
        </w:tc>
        <w:tc>
          <w:tcPr>
            <w:tcW w:type="dxa" w:w="439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Kumar et al. (2025), "Zero Trust Architecture for Secure Smart City Infrastructure Using AI-Powered Authentication," </w:t>
            </w:r>
            <w:r>
              <w:rPr>
                <w:rFonts w:ascii="Calibri" w:cs="Calibri" w:eastAsia="Calibri" w:hAnsi="Calibri"/>
                <w:i/>
                <w:iCs/>
                <w:sz w:val="19"/>
                <w:szCs w:val="19"/>
              </w:rPr>
              <w:t xml:space="preserve">2025 IEEE 3rd International Symposium on Sustainable Energy, Signal Processing and Cybersecurity (iSSSC)</w:t>
            </w:r>
          </w:p>
        </w:tc>
        <w:tc>
          <w:tcPr>
            <w:tcW w:type="dxa" w:w="149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India</w:t>
            </w:r>
          </w:p>
        </w:tc>
        <w:tc>
          <w:tcPr>
            <w:tcW w:type="dxa" w:w="168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Zero-trust identity, smart cities</w:t>
            </w:r>
          </w:p>
        </w:tc>
        <w:tc>
          <w:tcPr>
            <w:tcW w:type="dxa" w:w="131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https://doi.org/10.1109/isssc66652.2025.11388720</w:t>
            </w:r>
          </w:p>
        </w:tc>
      </w:tr>
      <w:tr>
        <w:trPr>
          <w:cantSplit/>
          <w:tblHeader w:val="false"/>
        </w:trPr>
        <w:tc>
          <w:tcPr>
            <w:tcW w:type="dxa" w:w="46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25</w:t>
            </w:r>
          </w:p>
        </w:tc>
        <w:tc>
          <w:tcPr>
            <w:tcW w:type="dxa" w:w="439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Lawal et al. (2025), "Designing a traceable and transparent digital procurement framework using mobile offline systems for underserved markets," </w:t>
            </w:r>
            <w:r>
              <w:rPr>
                <w:rFonts w:ascii="Calibri" w:cs="Calibri" w:eastAsia="Calibri" w:hAnsi="Calibri"/>
                <w:i/>
                <w:iCs/>
                <w:sz w:val="19"/>
                <w:szCs w:val="19"/>
              </w:rPr>
              <w:t xml:space="preserve">GSC Advanced Research and Reviews 24(02) 182-195</w:t>
            </w:r>
          </w:p>
        </w:tc>
        <w:tc>
          <w:tcPr>
            <w:tcW w:type="dxa" w:w="149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United States</w:t>
            </w:r>
          </w:p>
        </w:tc>
        <w:tc>
          <w:tcPr>
            <w:tcW w:type="dxa" w:w="168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Multi-cloud data sync</w:t>
            </w:r>
          </w:p>
        </w:tc>
        <w:tc>
          <w:tcPr>
            <w:tcW w:type="dxa" w:w="131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https://doi.org/10.30574/gscarr.2025.24.2.0226</w:t>
            </w:r>
          </w:p>
        </w:tc>
      </w:tr>
      <w:tr>
        <w:trPr>
          <w:cantSplit/>
          <w:tblHeader w:val="false"/>
        </w:trPr>
        <w:tc>
          <w:tcPr>
            <w:tcW w:type="dxa" w:w="46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26</w:t>
            </w:r>
          </w:p>
        </w:tc>
        <w:tc>
          <w:tcPr>
            <w:tcW w:type="dxa" w:w="439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Luo and Liang (2025), "Network security vulnerability detection and repair model based on deep neural networks," </w:t>
            </w:r>
            <w:r>
              <w:rPr>
                <w:rFonts w:ascii="Calibri" w:cs="Calibri" w:eastAsia="Calibri" w:hAnsi="Calibri"/>
                <w:i/>
                <w:iCs/>
                <w:sz w:val="19"/>
                <w:szCs w:val="19"/>
              </w:rPr>
              <w:t xml:space="preserve">Discover Artificial Intelligence</w:t>
            </w:r>
          </w:p>
        </w:tc>
        <w:tc>
          <w:tcPr>
            <w:tcW w:type="dxa" w:w="149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Not stated</w:t>
            </w:r>
          </w:p>
        </w:tc>
        <w:tc>
          <w:tcPr>
            <w:tcW w:type="dxa" w:w="168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Firmware hardening, IIoT</w:t>
            </w:r>
          </w:p>
        </w:tc>
        <w:tc>
          <w:tcPr>
            <w:tcW w:type="dxa" w:w="131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https://doi.org/10.1007/s44163-025-00666-2</w:t>
            </w:r>
          </w:p>
        </w:tc>
      </w:tr>
      <w:tr>
        <w:trPr>
          <w:cantSplit/>
          <w:tblHeader w:val="false"/>
        </w:trPr>
        <w:tc>
          <w:tcPr>
            <w:tcW w:type="dxa" w:w="46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27</w:t>
            </w:r>
          </w:p>
        </w:tc>
        <w:tc>
          <w:tcPr>
            <w:tcW w:type="dxa" w:w="439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Narasimhamurthy et al. (2025), "Startup Security in Industrial IoT," </w:t>
            </w:r>
            <w:r>
              <w:rPr>
                <w:rFonts w:ascii="Calibri" w:cs="Calibri" w:eastAsia="Calibri" w:hAnsi="Calibri"/>
                <w:i/>
                <w:iCs/>
                <w:sz w:val="19"/>
                <w:szCs w:val="19"/>
              </w:rPr>
              <w:t xml:space="preserve">Letters in High Energy Physics</w:t>
            </w:r>
          </w:p>
        </w:tc>
        <w:tc>
          <w:tcPr>
            <w:tcW w:type="dxa" w:w="149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Not stated</w:t>
            </w:r>
          </w:p>
        </w:tc>
        <w:tc>
          <w:tcPr>
            <w:tcW w:type="dxa" w:w="168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Intrusion detection, smart manufacturing</w:t>
            </w:r>
          </w:p>
        </w:tc>
        <w:tc>
          <w:tcPr>
            <w:tcW w:type="dxa" w:w="131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https://lettersinhighenergyphysics.com/index.php/LHEP/article/download/1532/1170/</w:t>
            </w:r>
          </w:p>
        </w:tc>
      </w:tr>
      <w:tr>
        <w:trPr>
          <w:cantSplit/>
          <w:tblHeader w:val="false"/>
        </w:trPr>
        <w:tc>
          <w:tcPr>
            <w:tcW w:type="dxa" w:w="46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28</w:t>
            </w:r>
          </w:p>
        </w:tc>
        <w:tc>
          <w:tcPr>
            <w:tcW w:type="dxa" w:w="439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Pangestu (2025), "Security Landscape of the Internet of Things (IoT): A Systematic Review of Vulnerabilities, Defense Mechanisms, and Future Research Directions," </w:t>
            </w:r>
            <w:r>
              <w:rPr>
                <w:rFonts w:ascii="Calibri" w:cs="Calibri" w:eastAsia="Calibri" w:hAnsi="Calibri"/>
                <w:i/>
                <w:iCs/>
                <w:sz w:val="19"/>
                <w:szCs w:val="19"/>
              </w:rPr>
              <w:t xml:space="preserve">Quanta Research 1(1)</w:t>
            </w:r>
          </w:p>
        </w:tc>
        <w:tc>
          <w:tcPr>
            <w:tcW w:type="dxa" w:w="149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Not stated</w:t>
            </w:r>
          </w:p>
        </w:tc>
        <w:tc>
          <w:tcPr>
            <w:tcW w:type="dxa" w:w="168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Smart home IoT security</w:t>
            </w:r>
          </w:p>
        </w:tc>
        <w:tc>
          <w:tcPr>
            <w:tcW w:type="dxa" w:w="131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https://ejournal.resincen.org/index.php/quanta/article/view/32</w:t>
            </w:r>
          </w:p>
        </w:tc>
      </w:tr>
      <w:tr>
        <w:trPr>
          <w:cantSplit/>
          <w:tblHeader w:val="false"/>
        </w:trPr>
        <w:tc>
          <w:tcPr>
            <w:tcW w:type="dxa" w:w="46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29</w:t>
            </w:r>
          </w:p>
        </w:tc>
        <w:tc>
          <w:tcPr>
            <w:tcW w:type="dxa" w:w="439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Parameswari and Latha (2025), "ChainFort: Hybrid Blockchain-Orchestrated Firmware Validation and Secure Update Delivery Using PQC and Federated Trust Consensus," </w:t>
            </w:r>
            <w:r>
              <w:rPr>
                <w:rFonts w:ascii="Calibri" w:cs="Calibri" w:eastAsia="Calibri" w:hAnsi="Calibri"/>
                <w:i/>
                <w:iCs/>
                <w:sz w:val="19"/>
                <w:szCs w:val="19"/>
              </w:rPr>
              <w:t xml:space="preserve">2025 IEEE Pune Section International Conference (PuneCon)</w:t>
            </w:r>
          </w:p>
        </w:tc>
        <w:tc>
          <w:tcPr>
            <w:tcW w:type="dxa" w:w="149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India</w:t>
            </w:r>
          </w:p>
        </w:tc>
        <w:tc>
          <w:tcPr>
            <w:tcW w:type="dxa" w:w="168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Firmware hardening, IIoT</w:t>
            </w:r>
          </w:p>
        </w:tc>
        <w:tc>
          <w:tcPr>
            <w:tcW w:type="dxa" w:w="131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https://doi.org/10.1109/punecon67554.2025.11378371</w:t>
            </w:r>
          </w:p>
        </w:tc>
      </w:tr>
      <w:tr>
        <w:trPr>
          <w:cantSplit/>
          <w:tblHeader w:val="false"/>
        </w:trPr>
        <w:tc>
          <w:tcPr>
            <w:tcW w:type="dxa" w:w="46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30</w:t>
            </w:r>
          </w:p>
        </w:tc>
        <w:tc>
          <w:tcPr>
            <w:tcW w:type="dxa" w:w="439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Sokolov and Ivanov (2025), "A Framework for Performance Optimization of Hybrid Azure AD Join Across Complex Multi-Forest Deployments," </w:t>
            </w:r>
            <w:r>
              <w:rPr>
                <w:rFonts w:ascii="Calibri" w:cs="Calibri" w:eastAsia="Calibri" w:hAnsi="Calibri"/>
                <w:i/>
                <w:iCs/>
                <w:sz w:val="19"/>
                <w:szCs w:val="19"/>
              </w:rPr>
              <w:t xml:space="preserve">Frontiers in Emerging Computer Science and Information Technology 2(10) 1-14</w:t>
            </w:r>
          </w:p>
        </w:tc>
        <w:tc>
          <w:tcPr>
            <w:tcW w:type="dxa" w:w="149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Russia</w:t>
            </w:r>
          </w:p>
        </w:tc>
        <w:tc>
          <w:tcPr>
            <w:tcW w:type="dxa" w:w="168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Multi-cloud data sync</w:t>
            </w:r>
          </w:p>
        </w:tc>
        <w:tc>
          <w:tcPr>
            <w:tcW w:type="dxa" w:w="131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https://irjernet.com/index.php/fecsit/article/view/227</w:t>
            </w:r>
          </w:p>
        </w:tc>
      </w:tr>
      <w:tr>
        <w:trPr>
          <w:cantSplit/>
          <w:tblHeader w:val="false"/>
        </w:trPr>
        <w:tc>
          <w:tcPr>
            <w:tcW w:type="dxa" w:w="46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31</w:t>
            </w:r>
          </w:p>
        </w:tc>
        <w:tc>
          <w:tcPr>
            <w:tcW w:type="dxa" w:w="439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Walawalkar et al. (2025), "Executive Financial Dashboards for Real-Time Strategic Oversight," </w:t>
            </w:r>
            <w:r>
              <w:rPr>
                <w:rFonts w:ascii="Calibri" w:cs="Calibri" w:eastAsia="Calibri" w:hAnsi="Calibri"/>
                <w:i/>
                <w:iCs/>
                <w:sz w:val="19"/>
                <w:szCs w:val="19"/>
              </w:rPr>
              <w:t xml:space="preserve">International Journal of Advanced Multidisciplinary Research and Studies 5(6) 2042-2054</w:t>
            </w:r>
          </w:p>
        </w:tc>
        <w:tc>
          <w:tcPr>
            <w:tcW w:type="dxa" w:w="149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United States</w:t>
            </w:r>
          </w:p>
        </w:tc>
        <w:tc>
          <w:tcPr>
            <w:tcW w:type="dxa" w:w="168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Multi-cloud data sync</w:t>
            </w:r>
          </w:p>
        </w:tc>
        <w:tc>
          <w:tcPr>
            <w:tcW w:type="dxa" w:w="131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https://www.multiresearchjournal.com/admin/uploads/archives/archive-1770118126.pdf</w:t>
            </w:r>
          </w:p>
        </w:tc>
      </w:tr>
      <w:tr>
        <w:trPr>
          <w:cantSplit/>
          <w:tblHeader w:val="false"/>
        </w:trPr>
        <w:tc>
          <w:tcPr>
            <w:tcW w:type="dxa" w:w="46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32</w:t>
            </w:r>
          </w:p>
        </w:tc>
        <w:tc>
          <w:tcPr>
            <w:tcW w:type="dxa" w:w="439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Walawalkar et al. (2025), "Capital Efficiency Optimization Models in High-Velocity Business Environments," </w:t>
            </w:r>
            <w:r>
              <w:rPr>
                <w:rFonts w:ascii="Calibri" w:cs="Calibri" w:eastAsia="Calibri" w:hAnsi="Calibri"/>
                <w:i/>
                <w:iCs/>
                <w:sz w:val="19"/>
                <w:szCs w:val="19"/>
              </w:rPr>
              <w:t xml:space="preserve">International Journal of Advanced Multidisciplinary Research and Studies 5(6) 2029-2041</w:t>
            </w:r>
          </w:p>
        </w:tc>
        <w:tc>
          <w:tcPr>
            <w:tcW w:type="dxa" w:w="149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United States</w:t>
            </w:r>
          </w:p>
        </w:tc>
        <w:tc>
          <w:tcPr>
            <w:tcW w:type="dxa" w:w="168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Multi-cloud data sync</w:t>
            </w:r>
          </w:p>
        </w:tc>
        <w:tc>
          <w:tcPr>
            <w:tcW w:type="dxa" w:w="131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https://doi.org/10.62225/2583049X.2025.5.6.5735</w:t>
            </w:r>
          </w:p>
        </w:tc>
      </w:tr>
      <w:tr>
        <w:trPr>
          <w:cantSplit/>
          <w:tblHeader w:val="false"/>
        </w:trPr>
        <w:tc>
          <w:tcPr>
            <w:tcW w:type="dxa" w:w="46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33</w:t>
            </w:r>
          </w:p>
        </w:tc>
        <w:tc>
          <w:tcPr>
            <w:tcW w:type="dxa" w:w="439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Akanbi et al. (2026), "A Review of Advances in AI-AMR Integration for Real-Time Material Flow Optimization in EV Manufacturing," </w:t>
            </w:r>
            <w:r>
              <w:rPr>
                <w:rFonts w:ascii="Calibri" w:cs="Calibri" w:eastAsia="Calibri" w:hAnsi="Calibri"/>
                <w:i/>
                <w:iCs/>
                <w:sz w:val="19"/>
                <w:szCs w:val="19"/>
              </w:rPr>
              <w:t xml:space="preserve">International Journal of Engineering and Modern Technology 12(5) 1-31</w:t>
            </w:r>
          </w:p>
        </w:tc>
        <w:tc>
          <w:tcPr>
            <w:tcW w:type="dxa" w:w="149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Not stated</w:t>
            </w:r>
          </w:p>
        </w:tc>
        <w:tc>
          <w:tcPr>
            <w:tcW w:type="dxa" w:w="168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Holistic cyber risk model; Multi-cloud data sync; Smart home IoT security</w:t>
            </w:r>
          </w:p>
        </w:tc>
        <w:tc>
          <w:tcPr>
            <w:tcW w:type="dxa" w:w="131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https://doi.org/10.56201/ijemt.vol.12.no5.2026.pg1.31</w:t>
            </w:r>
          </w:p>
        </w:tc>
      </w:tr>
      <w:tr>
        <w:trPr>
          <w:cantSplit/>
          <w:tblHeader w:val="false"/>
        </w:trPr>
        <w:tc>
          <w:tcPr>
            <w:tcW w:type="dxa" w:w="46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34</w:t>
            </w:r>
          </w:p>
        </w:tc>
        <w:tc>
          <w:tcPr>
            <w:tcW w:type="dxa" w:w="439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Kouser et al. (2026), "Firmware Reverse Engineering for IoT Devices," </w:t>
            </w:r>
            <w:r>
              <w:rPr>
                <w:rFonts w:ascii="Calibri" w:cs="Calibri" w:eastAsia="Calibri" w:hAnsi="Calibri"/>
                <w:i/>
                <w:iCs/>
                <w:sz w:val="19"/>
                <w:szCs w:val="19"/>
              </w:rPr>
              <w:t xml:space="preserve">Saudi Journal of Engineering and Technology 11(5)</w:t>
            </w:r>
          </w:p>
        </w:tc>
        <w:tc>
          <w:tcPr>
            <w:tcW w:type="dxa" w:w="149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Pakistan</w:t>
            </w:r>
          </w:p>
        </w:tc>
        <w:tc>
          <w:tcPr>
            <w:tcW w:type="dxa" w:w="168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Firmware hardening, IIoT</w:t>
            </w:r>
          </w:p>
        </w:tc>
        <w:tc>
          <w:tcPr>
            <w:tcW w:type="dxa" w:w="131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https://saudijournals.com/media/articles/SJEAT_115_438-449c.pdf</w:t>
            </w:r>
          </w:p>
        </w:tc>
      </w:tr>
    </w:tbl>
    <w:p>
      <w:pPr>
        <w:spacing w:after="80"/>
      </w:pPr>
    </w:p>
    <w:p>
      <w:pPr>
        <w:spacing w:after="120" w:line="264"/>
        <w:jc w:val="both"/>
      </w:pPr>
      <w:r>
        <w:rPr>
          <w:rFonts w:ascii="Calibri" w:cs="Calibri" w:eastAsia="Calibri" w:hAnsi="Calibri"/>
          <w:b/>
          <w:bCs/>
          <w:sz w:val="22"/>
          <w:szCs w:val="22"/>
        </w:rPr>
        <w:t xml:space="preserve">How the citing authors use my work.</w:t>
      </w:r>
      <w:r>
        <w:rPr>
          <w:rFonts w:ascii="Calibri" w:cs="Calibri" w:eastAsia="Calibri" w:hAnsi="Calibri"/>
          <w:sz w:val="22"/>
          <w:szCs w:val="22"/>
        </w:rPr>
        <w:t xml:space="preserve"> A reference-list entry shows that a work was read and cited. Table 32 goes further: it quotes, from the citing works themselves, passages in which independent authors rely on one of my papers as the authority for a specific technical statement. The pages containing each passage are reproduced at </w:t>
      </w:r>
      <w:r>
        <w:rPr>
          <w:rFonts w:ascii="Calibri" w:cs="Calibri" w:eastAsia="Calibri" w:hAnsi="Calibri"/>
          <w:b/>
          <w:bCs/>
          <w:color w:val="FF0000"/>
          <w:sz w:val="22"/>
          <w:szCs w:val="22"/>
        </w:rPr>
        <w:t xml:space="preserve">Exhibit RFE-6</w:t>
      </w:r>
      <w:r>
        <w:rPr>
          <w:rFonts w:ascii="Calibri" w:cs="Calibri" w:eastAsia="Calibri" w:hAnsi="Calibri"/>
          <w:sz w:val="22"/>
          <w:szCs w:val="22"/>
        </w:rPr>
        <w:t xml:space="preserve">.</w:t>
      </w:r>
    </w:p>
    <w:p>
      <w:pPr>
        <w:keepNext/>
        <w:spacing w:after="80" w:before="160"/>
      </w:pPr>
      <w:r>
        <w:rPr>
          <w:rFonts w:ascii="Calibri" w:cs="Calibri" w:eastAsia="Calibri" w:hAnsi="Calibri"/>
          <w:b/>
          <w:bCs/>
          <w:sz w:val="21"/>
          <w:szCs w:val="21"/>
        </w:rPr>
        <w:t xml:space="preserve">Table 32. Passages in which independent authors rely on my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4306"/>
        <w:gridCol w:w="1685"/>
        <w:gridCol w:w="1497"/>
      </w:tblGrid>
      <w:tr>
        <w:trPr>
          <w:cantSplit/>
          <w:tblHeader/>
        </w:trPr>
        <w:tc>
          <w:tcPr>
            <w:tcW w:type="dxa" w:w="187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b/>
                <w:bCs/>
                <w:sz w:val="19"/>
                <w:szCs w:val="19"/>
              </w:rPr>
              <w:t xml:space="preserve">Citing work</w:t>
            </w:r>
          </w:p>
        </w:tc>
        <w:tc>
          <w:tcPr>
            <w:tcW w:type="dxa" w:w="430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b/>
                <w:bCs/>
                <w:sz w:val="19"/>
                <w:szCs w:val="19"/>
              </w:rPr>
              <w:t xml:space="preserve">Passage (verbatim)</w:t>
            </w:r>
          </w:p>
        </w:tc>
        <w:tc>
          <w:tcPr>
            <w:tcW w:type="dxa" w:w="168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b/>
                <w:bCs/>
                <w:sz w:val="19"/>
                <w:szCs w:val="19"/>
              </w:rPr>
              <w:t xml:space="preserve">My paper relied on</w:t>
            </w:r>
          </w:p>
        </w:tc>
        <w:tc>
          <w:tcPr>
            <w:tcW w:type="dxa" w:w="149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b/>
                <w:bCs/>
                <w:sz w:val="19"/>
                <w:szCs w:val="19"/>
              </w:rPr>
              <w:t xml:space="preserve">Where it appears</w:t>
            </w:r>
          </w:p>
        </w:tc>
      </w:tr>
      <w:tr>
        <w:trPr>
          <w:cantSplit/>
          <w:tblHeader w:val="false"/>
        </w:trPr>
        <w:tc>
          <w:tcPr>
            <w:tcW w:type="dxa" w:w="187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Luo and Liang (2025), </w:t>
            </w:r>
            <w:r>
              <w:rPr>
                <w:rFonts w:ascii="Calibri" w:cs="Calibri" w:eastAsia="Calibri" w:hAnsi="Calibri"/>
                <w:i/>
                <w:iCs/>
                <w:sz w:val="19"/>
                <w:szCs w:val="19"/>
              </w:rPr>
              <w:t xml:space="preserve">Discover Artificial Intelligence</w:t>
            </w:r>
            <w:r>
              <w:rPr>
                <w:rFonts w:ascii="Calibri" w:cs="Calibri" w:eastAsia="Calibri" w:hAnsi="Calibri"/>
                <w:sz w:val="19"/>
                <w:szCs w:val="19"/>
              </w:rPr>
              <w:t xml:space="preserve"> (Springer)</w:t>
            </w:r>
          </w:p>
        </w:tc>
        <w:tc>
          <w:tcPr>
            <w:tcW w:type="dxa" w:w="430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"Deep Learning (DL) provides adaptive features, revealing latent patterns in massive data and facilitating more precise, anticipatory vulnerability detection in evolving network situations [6]."</w:t>
            </w:r>
          </w:p>
        </w:tc>
        <w:tc>
          <w:tcPr>
            <w:tcW w:type="dxa" w:w="168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Automated Vulnerability Detection and Firmware Hardening for Industrial IoT Devices (2023)</w:t>
            </w:r>
          </w:p>
        </w:tc>
        <w:tc>
          <w:tcPr>
            <w:tcW w:type="dxa" w:w="149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Section 1; the sole authority cited</w:t>
            </w:r>
          </w:p>
        </w:tc>
      </w:tr>
      <w:tr>
        <w:trPr>
          <w:cantSplit/>
          <w:tblHeader w:val="false"/>
        </w:trPr>
        <w:tc>
          <w:tcPr>
            <w:tcW w:type="dxa" w:w="187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Alexander and Wang (2025), </w:t>
            </w:r>
            <w:r>
              <w:rPr>
                <w:rFonts w:ascii="Calibri" w:cs="Calibri" w:eastAsia="Calibri" w:hAnsi="Calibri"/>
                <w:i/>
                <w:iCs/>
                <w:sz w:val="19"/>
                <w:szCs w:val="19"/>
              </w:rPr>
              <w:t xml:space="preserve">Artificial Intelligence in Health</w:t>
            </w:r>
          </w:p>
        </w:tc>
        <w:tc>
          <w:tcPr>
            <w:tcW w:type="dxa" w:w="430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"To avoid "risk silos," holistic risk management (also known as integrated risk management)18,42 emphasizes the need to address the fragmented nature of functions and processes that often focus on limited aspects of risks, typically divided by business lines or departments."</w:t>
            </w:r>
          </w:p>
        </w:tc>
        <w:tc>
          <w:tcPr>
            <w:tcW w:type="dxa" w:w="168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A Holistic Cyber Risk Assessment Model to Identify and Mitigate Threats in US and Canadian Enterprises (2025)</w:t>
            </w:r>
          </w:p>
        </w:tc>
        <w:tc>
          <w:tcPr>
            <w:tcW w:type="dxa" w:w="149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Section 4.4, on which the section's risk approach rests</w:t>
            </w:r>
          </w:p>
        </w:tc>
      </w:tr>
      <w:tr>
        <w:trPr>
          <w:cantSplit/>
          <w:tblHeader w:val="false"/>
        </w:trPr>
        <w:tc>
          <w:tcPr>
            <w:tcW w:type="dxa" w:w="187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Kouser et al. (2026), </w:t>
            </w:r>
            <w:r>
              <w:rPr>
                <w:rFonts w:ascii="Calibri" w:cs="Calibri" w:eastAsia="Calibri" w:hAnsi="Calibri"/>
                <w:i/>
                <w:iCs/>
                <w:sz w:val="19"/>
                <w:szCs w:val="19"/>
              </w:rPr>
              <w:t xml:space="preserve">Saudi Journal of Engineering and Technology</w:t>
            </w:r>
          </w:p>
        </w:tc>
        <w:tc>
          <w:tcPr>
            <w:tcW w:type="dxa" w:w="430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"In a research by Y. G. Hassan et al. 16, they focused on filling the current gaps and to develop a protected and strong IoT ecosystem by providing reliable solutions and collective efforts."</w:t>
            </w:r>
          </w:p>
        </w:tc>
        <w:tc>
          <w:tcPr>
            <w:tcW w:type="dxa" w:w="168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Automated Vulnerability Detection and Firmware Hardening for Industrial IoT Devices (2023)</w:t>
            </w:r>
          </w:p>
        </w:tc>
        <w:tc>
          <w:tcPr>
            <w:tcW w:type="dxa" w:w="149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Section 1; the sole authority cited</w:t>
            </w:r>
          </w:p>
        </w:tc>
      </w:tr>
      <w:tr>
        <w:trPr>
          <w:cantSplit/>
          <w:tblHeader w:val="false"/>
        </w:trPr>
        <w:tc>
          <w:tcPr>
            <w:tcW w:type="dxa" w:w="187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Akanbi et al. (2026), </w:t>
            </w:r>
            <w:r>
              <w:rPr>
                <w:rFonts w:ascii="Calibri" w:cs="Calibri" w:eastAsia="Calibri" w:hAnsi="Calibri"/>
                <w:i/>
                <w:iCs/>
                <w:sz w:val="19"/>
                <w:szCs w:val="19"/>
              </w:rPr>
              <w:t xml:space="preserve">International Journal of Engineering and Modern Technology</w:t>
            </w:r>
          </w:p>
        </w:tc>
        <w:tc>
          <w:tcPr>
            <w:tcW w:type="dxa" w:w="430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"Real-time data synchronization models further enhance interoperability by enabling consistent data updates across distributed systems, thereby supporting coordinated AMR operations (Kamau et al., 2024)."</w:t>
            </w:r>
          </w:p>
        </w:tc>
        <w:tc>
          <w:tcPr>
            <w:tcW w:type="dxa" w:w="168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A Conceptual Model for Real-Time Data Synchronization in Multi-Cloud Environments (2024)</w:t>
            </w:r>
          </w:p>
        </w:tc>
        <w:tc>
          <w:tcPr>
            <w:tcW w:type="dxa" w:w="149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Section 4.4; the sole authority cited</w:t>
            </w:r>
          </w:p>
        </w:tc>
      </w:tr>
      <w:tr>
        <w:trPr>
          <w:cantSplit/>
          <w:tblHeader w:val="false"/>
        </w:trPr>
        <w:tc>
          <w:tcPr>
            <w:tcW w:type="dxa" w:w="187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Egbuhuzor (2024), </w:t>
            </w:r>
            <w:r>
              <w:rPr>
                <w:rFonts w:ascii="Calibri" w:cs="Calibri" w:eastAsia="Calibri" w:hAnsi="Calibri"/>
                <w:i/>
                <w:iCs/>
                <w:sz w:val="19"/>
                <w:szCs w:val="19"/>
              </w:rPr>
              <w:t xml:space="preserve">International Journal of Management and Organizational Research</w:t>
            </w:r>
          </w:p>
        </w:tc>
        <w:tc>
          <w:tcPr>
            <w:tcW w:type="dxa" w:w="430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"By continuously monitoring network behavior and learning from past incidents, AI helps SDNs become more resilient against evolving security threats (Kamau, Myllynen, Mustapha, Babatunde, &amp; Alabi, 2024)."</w:t>
            </w:r>
          </w:p>
        </w:tc>
        <w:tc>
          <w:tcPr>
            <w:tcW w:type="dxa" w:w="168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A Conceptual Model for Real-Time Data Synchronization in Multi-Cloud Environments (2024)</w:t>
            </w:r>
          </w:p>
        </w:tc>
        <w:tc>
          <w:tcPr>
            <w:tcW w:type="dxa" w:w="149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Section 4.3; the sole authority cited</w:t>
            </w:r>
          </w:p>
        </w:tc>
      </w:tr>
      <w:tr>
        <w:trPr>
          <w:cantSplit/>
          <w:tblHeader w:val="false"/>
        </w:trPr>
        <w:tc>
          <w:tcPr>
            <w:tcW w:type="dxa" w:w="187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Friday et al. (2023), </w:t>
            </w:r>
            <w:r>
              <w:rPr>
                <w:rFonts w:ascii="Calibri" w:cs="Calibri" w:eastAsia="Calibri" w:hAnsi="Calibri"/>
                <w:i/>
                <w:iCs/>
                <w:sz w:val="19"/>
                <w:szCs w:val="19"/>
              </w:rPr>
              <w:t xml:space="preserve">International Journal of Management and Organizational Research</w:t>
            </w:r>
          </w:p>
        </w:tc>
        <w:tc>
          <w:tcPr>
            <w:tcW w:type="dxa" w:w="430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"With blockchain, financial institutions can create secure digital identities that are resistant to fraud, allowing customers to prove their identity without exposing sensitive personal information (Hassan et al., 2023)."</w:t>
            </w:r>
          </w:p>
        </w:tc>
        <w:tc>
          <w:tcPr>
            <w:tcW w:type="dxa" w:w="168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Blockchain and Zero-Trust Identity Management System for Smart Cities and IoT Networks (2023)</w:t>
            </w:r>
          </w:p>
        </w:tc>
        <w:tc>
          <w:tcPr>
            <w:tcW w:type="dxa" w:w="149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Section 2.6; the sole authority cited</w:t>
            </w:r>
          </w:p>
        </w:tc>
      </w:tr>
    </w:tbl>
    <w:p>
      <w:pPr>
        <w:spacing w:after="80"/>
      </w:pPr>
    </w:p>
    <w:p>
      <w:pPr>
        <w:spacing w:after="120" w:line="264"/>
        <w:jc w:val="both"/>
      </w:pPr>
      <w:r>
        <w:rPr>
          <w:rFonts w:ascii="Calibri" w:cs="Calibri" w:eastAsia="Calibri" w:hAnsi="Calibri"/>
          <w:b/>
          <w:bCs/>
          <w:sz w:val="22"/>
          <w:szCs w:val="22"/>
        </w:rPr>
        <w:t xml:space="preserve">What the citations show for the endeavor.</w:t>
      </w:r>
      <w:r>
        <w:rPr>
          <w:rFonts w:ascii="Calibri" w:cs="Calibri" w:eastAsia="Calibri" w:hAnsi="Calibri"/>
          <w:sz w:val="22"/>
          <w:szCs w:val="22"/>
        </w:rPr>
        <w:t xml:space="preserve"> The independent citations matter for two further reasons the second prong weighs. First, they show interest. Thirty-four groups of researchers in twelve countries, none of them my co-authors, chose to cite my work, and the papers they used most are my work on intrusion detection and threat modelling, firmware hardening and zero-trust identity (Table 31). Those are the attack-emulation, devices and identity components of this endeavor. </w:t>
      </w:r>
      <w:r>
        <w:rPr>
          <w:rFonts w:ascii="Calibri" w:cs="Calibri" w:eastAsia="Calibri" w:hAnsi="Calibri"/>
          <w:i/>
          <w:iCs/>
          <w:sz w:val="22"/>
          <w:szCs w:val="22"/>
        </w:rPr>
        <w:t xml:space="preserve">Dhanasar</w:t>
      </w:r>
      <w:r>
        <w:rPr>
          <w:rFonts w:ascii="Calibri" w:cs="Calibri" w:eastAsia="Calibri" w:hAnsi="Calibri"/>
          <w:sz w:val="22"/>
          <w:szCs w:val="22"/>
        </w:rPr>
        <w:t xml:space="preserve"> names "the interest of potential customers, users, investors, or other relevant entities or individuals" as a factor, 26 I&amp;N Dec. at 890; for public research, the researchers who take up the work are those users, and their interest is recorded in their own published reference lists rather than in letters written for this petition. Second, they show that the endeavor is already under way. The methods it will measure are methods I have already published, other researchers already rely on them in their own papers (Table 32), and the citing works were published from 2023 through 2026 and the citing continues. The endeavor does not begin from nothing on approval; it continues a line of work the field is already using, and the three manuscripts in Table 25 carry it forward.</w:t>
      </w:r>
    </w:p>
    <w:p>
      <w:pPr>
        <w:spacing w:after="120" w:line="264"/>
        <w:jc w:val="both"/>
      </w:pPr>
      <w:r>
        <w:rPr>
          <w:rFonts w:ascii="Calibri" w:cs="Calibri" w:eastAsia="Calibri" w:hAnsi="Calibri"/>
          <w:sz w:val="22"/>
          <w:szCs w:val="22"/>
        </w:rPr>
        <w:t xml:space="preserve">Weighing these factors together, my education, my record of success in the same controls the endeavor measures, the independent and continuing use of my published work (Part VI.K), my ongoing research and review activity, the progress already made, the plan, the funding in hand and the interest shown in the work establish that I am well positioned to advance the proposed endeavor.</w:t>
      </w:r>
    </w:p>
    <w:p>
      <w:pPr>
        <w:pStyle w:val="Heading1"/>
        <w:keepNext/>
        <w:spacing w:after="140" w:before="280"/>
      </w:pPr>
      <w:r>
        <w:rPr>
          <w:rFonts w:ascii="Calibri" w:cs="Calibri" w:eastAsia="Calibri" w:hAnsi="Calibri"/>
          <w:b/>
          <w:bCs/>
          <w:color w:val="1F3864"/>
          <w:sz w:val="26"/>
          <w:szCs w:val="26"/>
        </w:rPr>
        <w:t xml:space="preserve">VII. Prong Three: On Balance, Waiving the Job Offer and Labor Certification Benefits the United States</w:t>
      </w:r>
    </w:p>
    <w:p>
      <w:pPr>
        <w:spacing w:after="120" w:line="264"/>
        <w:jc w:val="both"/>
      </w:pPr>
      <w:r>
        <w:rPr>
          <w:rFonts w:ascii="Calibri" w:cs="Calibri" w:eastAsia="Calibri" w:hAnsi="Calibri"/>
          <w:sz w:val="22"/>
          <w:szCs w:val="22"/>
        </w:rPr>
        <w:t xml:space="preserve">The third prong asks whether, "on balance, it would be beneficial to the United States to waive the requirements of a job offer and thus of a labor certification." </w:t>
      </w:r>
      <w:r>
        <w:rPr>
          <w:rFonts w:ascii="Calibri" w:cs="Calibri" w:eastAsia="Calibri" w:hAnsi="Calibri"/>
          <w:i/>
          <w:iCs/>
          <w:sz w:val="22"/>
          <w:szCs w:val="22"/>
        </w:rPr>
        <w:t xml:space="preserve">Dhanasar</w:t>
      </w:r>
      <w:r>
        <w:rPr>
          <w:rFonts w:ascii="Calibri" w:cs="Calibri" w:eastAsia="Calibri" w:hAnsi="Calibri"/>
          <w:sz w:val="22"/>
          <w:szCs w:val="22"/>
        </w:rPr>
        <w:t xml:space="preserve">, 26 I&amp;N Dec. at 890-91. The Notice lists five factors USCIS may weigh. This Part argues each on its own terms; the balance is struck on these factors, which stand independently of the showing under the first two prongs. Table 33 summarizes the result.</w:t>
      </w:r>
    </w:p>
    <w:p>
      <w:pPr>
        <w:keepNext/>
        <w:spacing w:after="80" w:before="160"/>
      </w:pPr>
      <w:r>
        <w:rPr>
          <w:rFonts w:ascii="Calibri" w:cs="Calibri" w:eastAsia="Calibri" w:hAnsi="Calibri"/>
          <w:b/>
          <w:bCs/>
          <w:sz w:val="21"/>
          <w:szCs w:val="21"/>
        </w:rPr>
        <w:t xml:space="preserve">Table 33. The third-prong factors stated in the Notice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82"/>
        <w:gridCol w:w="4680"/>
        <w:gridCol w:w="1498"/>
      </w:tblGrid>
      <w:tr>
        <w:trPr>
          <w:cantSplit/>
          <w:tblHeader/>
        </w:trPr>
        <w:tc>
          <w:tcPr>
            <w:tcW w:type="dxa" w:w="318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b/>
                <w:bCs/>
                <w:sz w:val="19"/>
                <w:szCs w:val="19"/>
              </w:rPr>
              <w:t xml:space="preserve">Factor stated in the Notice</w:t>
            </w:r>
          </w:p>
        </w:tc>
        <w:tc>
          <w:tcPr>
            <w:tcW w:type="dxa" w:w="468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b/>
                <w:bCs/>
                <w:sz w:val="19"/>
                <w:szCs w:val="19"/>
              </w:rPr>
              <w:t xml:space="preserve">How it is met</w:t>
            </w:r>
          </w:p>
        </w:tc>
        <w:tc>
          <w:tcPr>
            <w:tcW w:type="dxa" w:w="149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b/>
                <w:bCs/>
                <w:sz w:val="19"/>
                <w:szCs w:val="19"/>
              </w:rPr>
              <w:t xml:space="preserve">Part</w:t>
            </w:r>
          </w:p>
        </w:tc>
      </w:tr>
      <w:tr>
        <w:trPr>
          <w:cantSplit/>
          <w:tblHeader w:val="false"/>
        </w:trPr>
        <w:tc>
          <w:tcPr>
            <w:tcW w:type="dxa" w:w="318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Whether it would be impractical to secure a job offer or obtain a labor certification</w:t>
            </w:r>
          </w:p>
        </w:tc>
        <w:tc>
          <w:tcPr>
            <w:tcW w:type="dxa" w:w="468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The endeavor is self-directed research with no employer; a labor certification would attach it to one employer's job duties, which do not include it.</w:t>
            </w:r>
          </w:p>
        </w:tc>
        <w:tc>
          <w:tcPr>
            <w:tcW w:type="dxa" w:w="149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VII.A</w:t>
            </w:r>
          </w:p>
        </w:tc>
      </w:tr>
      <w:tr>
        <w:trPr>
          <w:cantSplit/>
          <w:tblHeader w:val="false"/>
        </w:trPr>
        <w:tc>
          <w:tcPr>
            <w:tcW w:type="dxa" w:w="318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Whether the United States would benefit even if qualified U.S. workers are available</w:t>
            </w:r>
          </w:p>
        </w:tc>
        <w:tc>
          <w:tcPr>
            <w:tcW w:type="dxa" w:w="468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The benefit is a published body of measured results and open tools, added to what U.S. workers do and available to all of them.</w:t>
            </w:r>
          </w:p>
        </w:tc>
        <w:tc>
          <w:tcPr>
            <w:tcW w:type="dxa" w:w="149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VII.B</w:t>
            </w:r>
          </w:p>
        </w:tc>
      </w:tr>
      <w:tr>
        <w:trPr>
          <w:cantSplit/>
          <w:tblHeader w:val="false"/>
        </w:trPr>
        <w:tc>
          <w:tcPr>
            <w:tcW w:type="dxa" w:w="318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Whether the national interest is sufficiently urgent</w:t>
            </w:r>
          </w:p>
        </w:tc>
        <w:tc>
          <w:tcPr>
            <w:tcW w:type="dxa" w:w="468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Federal rulemaking and sector goals are raising the required controls now, ahead of small institutions' ability to meet them.</w:t>
            </w:r>
          </w:p>
        </w:tc>
        <w:tc>
          <w:tcPr>
            <w:tcW w:type="dxa" w:w="149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VII.C</w:t>
            </w:r>
          </w:p>
        </w:tc>
      </w:tr>
      <w:tr>
        <w:trPr>
          <w:cantSplit/>
          <w:tblHeader w:val="false"/>
        </w:trPr>
        <w:tc>
          <w:tcPr>
            <w:tcW w:type="dxa" w:w="318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Whether the endeavor may lead to potential creation of jobs</w:t>
            </w:r>
          </w:p>
        </w:tc>
        <w:tc>
          <w:tcPr>
            <w:tcW w:type="dxa" w:w="468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It protects employment at the institutions that apply it, most of all rural hospitals, and costs no U.S. worker a position.</w:t>
            </w:r>
          </w:p>
        </w:tc>
        <w:tc>
          <w:tcPr>
            <w:tcW w:type="dxa" w:w="149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VII.D</w:t>
            </w:r>
          </w:p>
        </w:tc>
      </w:tr>
      <w:tr>
        <w:trPr>
          <w:cantSplit/>
          <w:tblHeader w:val="false"/>
        </w:trPr>
        <w:tc>
          <w:tcPr>
            <w:tcW w:type="dxa" w:w="318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Whether the beneficiary is self-employed in a manner that generally does not adversely affect U.S. workers</w:t>
            </w:r>
          </w:p>
        </w:tc>
        <w:tc>
          <w:tcPr>
            <w:tcW w:type="dxa" w:w="468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The research is conducted independently on my own time and resources; it displaces no one and its outputs train and equip U.S. staff.</w:t>
            </w:r>
          </w:p>
        </w:tc>
        <w:tc>
          <w:tcPr>
            <w:tcW w:type="dxa" w:w="149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VII.E</w:t>
            </w:r>
          </w:p>
        </w:tc>
      </w:tr>
    </w:tbl>
    <w:p>
      <w:pPr>
        <w:spacing w:after="80"/>
      </w:pPr>
    </w:p>
    <w:p>
      <w:pPr>
        <w:pStyle w:val="Heading2"/>
        <w:keepNext/>
        <w:spacing w:after="100" w:before="200"/>
      </w:pPr>
      <w:r>
        <w:rPr>
          <w:rFonts w:ascii="Calibri" w:cs="Calibri" w:eastAsia="Calibri" w:hAnsi="Calibri"/>
          <w:b/>
          <w:bCs/>
          <w:color w:val="1F3864"/>
          <w:sz w:val="23"/>
          <w:szCs w:val="23"/>
        </w:rPr>
        <w:t xml:space="preserve">A. A labor certification describes a job, and this endeavor is not a job</w:t>
      </w:r>
    </w:p>
    <w:p>
      <w:pPr>
        <w:spacing w:after="120" w:line="264"/>
        <w:jc w:val="both"/>
      </w:pPr>
      <w:r>
        <w:rPr>
          <w:rFonts w:ascii="Calibri" w:cs="Calibri" w:eastAsia="Calibri" w:hAnsi="Calibri"/>
          <w:sz w:val="22"/>
          <w:szCs w:val="22"/>
        </w:rPr>
        <w:t xml:space="preserve">The labor certification process tests the labor market for a specific position offered by a specific employer, described by its duties and minimum requirements. The endeavor here has no employer. It is research I conduct independently, on my own resources, whose results go to the public. A labor certification sponsored by any employer would describe that employer's position and duties. It could not describe research the employer does not direct, does not fund and does not own. The Notice recognizes that a beneficiary "may be proposing an endeavor that may lead to her being self-employed and therefore make it impractical for her to obtain a labor certification." That is this case in its research form.</w:t>
      </w:r>
    </w:p>
    <w:p>
      <w:pPr>
        <w:spacing w:after="120" w:line="264"/>
        <w:jc w:val="both"/>
      </w:pPr>
      <w:r>
        <w:rPr>
          <w:rFonts w:ascii="Calibri" w:cs="Calibri" w:eastAsia="Calibri" w:hAnsi="Calibri"/>
          <w:sz w:val="22"/>
          <w:szCs w:val="22"/>
        </w:rPr>
        <w:t xml:space="preserve">The waiver also keeps the outputs public. Released environments, results and audit scripts are decisions an employer controls when the work is done within a sponsored position, and a company selling security services has reason to keep such tools in-house. Mr. Ayoade, writing independently from the banking sector, concludes that the United States is better served by enabling this work directly than by tying it to any single position (petition </w:t>
      </w:r>
      <w:r>
        <w:rPr>
          <w:rFonts w:ascii="Calibri" w:cs="Calibri" w:eastAsia="Calibri" w:hAnsi="Calibri"/>
          <w:b/>
          <w:bCs/>
          <w:color w:val="FF0000"/>
          <w:sz w:val="22"/>
          <w:szCs w:val="22"/>
        </w:rPr>
        <w:t xml:space="preserve">Exhibit 10</w:t>
      </w:r>
      <w:r>
        <w:rPr>
          <w:rFonts w:ascii="Calibri" w:cs="Calibri" w:eastAsia="Calibri" w:hAnsi="Calibri"/>
          <w:sz w:val="22"/>
          <w:szCs w:val="22"/>
        </w:rPr>
        <w:t xml:space="preserve">).</w:t>
      </w:r>
    </w:p>
    <w:p>
      <w:pPr>
        <w:pStyle w:val="Heading2"/>
        <w:keepNext/>
        <w:spacing w:after="100" w:before="200"/>
      </w:pPr>
      <w:r>
        <w:rPr>
          <w:rFonts w:ascii="Calibri" w:cs="Calibri" w:eastAsia="Calibri" w:hAnsi="Calibri"/>
          <w:b/>
          <w:bCs/>
          <w:color w:val="1F3864"/>
          <w:sz w:val="23"/>
          <w:szCs w:val="23"/>
        </w:rPr>
        <w:t xml:space="preserve">B. The United States benefits even if qualified U.S. workers are available</w:t>
      </w:r>
    </w:p>
    <w:p>
      <w:pPr>
        <w:spacing w:after="120" w:line="264"/>
        <w:jc w:val="both"/>
      </w:pPr>
      <w:r>
        <w:rPr>
          <w:rFonts w:ascii="Calibri" w:cs="Calibri" w:eastAsia="Calibri" w:hAnsi="Calibri"/>
          <w:sz w:val="22"/>
          <w:szCs w:val="22"/>
        </w:rPr>
        <w:t xml:space="preserve">The Notice states that urgency "is outweighed ... by the negative factor of granting the national interest waiver over simply letting supply and demand forces in the U.S. economy add to the workforce of U.S. workers." This prong is not argued on a shortage of workers, and the waiver does not substitute for any U.S. worker. The benefit comes from a particular body of work: a framework I designed, tested with controls I have executed in production, and published as open environments, measured results and scripts. A U.S. engineer hired into a comparable position would secure that employer. The endeavor's outputs are added to that work and are available, at no cost, to U.S. engineers at hospitals, banks and counties. A position certified through the labor market is defined by the employer's own systems and needs; publishing reference environments and measured results for institutions outside the employer is not among the duties such a position would describe, and whether such work is released is the employer's decision.</w:t>
      </w:r>
    </w:p>
    <w:p>
      <w:pPr>
        <w:spacing w:after="120" w:line="264"/>
        <w:jc w:val="both"/>
      </w:pPr>
      <w:r>
        <w:rPr>
          <w:rFonts w:ascii="Calibri" w:cs="Calibri" w:eastAsia="Calibri" w:hAnsi="Calibri"/>
          <w:b/>
          <w:bCs/>
          <w:sz w:val="22"/>
          <w:szCs w:val="22"/>
        </w:rPr>
        <w:t xml:space="preserve">What my particular contributions add.</w:t>
      </w:r>
      <w:r>
        <w:rPr>
          <w:rFonts w:ascii="Calibri" w:cs="Calibri" w:eastAsia="Calibri" w:hAnsi="Calibri"/>
          <w:sz w:val="22"/>
          <w:szCs w:val="22"/>
        </w:rPr>
        <w:t xml:space="preserve"> The benefit does not rest on the general value of cybersecurity work. It rests on four contributions particular to me, each in the record. First, the sixth pillar: the integration of cloud financial governance with the five CISA pillars, so that one audit finds both the risk and the waste, is my method, drawn from my own production work and identified by an independent senior banking executive as what an organization without a dedicated security team most needs (petition </w:t>
      </w:r>
      <w:r>
        <w:rPr>
          <w:rFonts w:ascii="Calibri" w:cs="Calibri" w:eastAsia="Calibri" w:hAnsi="Calibri"/>
          <w:b/>
          <w:bCs/>
          <w:color w:val="FF0000"/>
          <w:sz w:val="22"/>
          <w:szCs w:val="22"/>
        </w:rPr>
        <w:t xml:space="preserve">Exhibits 8, 10 and 11</w:t>
      </w:r>
      <w:r>
        <w:rPr>
          <w:rFonts w:ascii="Calibri" w:cs="Calibri" w:eastAsia="Calibri" w:hAnsi="Calibri"/>
          <w:sz w:val="22"/>
          <w:szCs w:val="22"/>
        </w:rPr>
        <w:t xml:space="preserve">). Second, the method has been carried out at both ends of the scale the endeavor spans, on a national network of more than fifteen thousand elements and in U.S. enterprise cloud practice, with measured results (Table 18). Third, I already have a published research line in this area and the independent readership it has drawn in twelve countries (Tables 31 and 32), which is the route by which the endeavor's results reach the field. Fourth, the work is planned, funded and scheduled, so the benefit begins in the first six months (Table 7) at no public cost.</w:t>
      </w:r>
    </w:p>
    <w:p>
      <w:pPr>
        <w:pStyle w:val="Heading2"/>
        <w:keepNext/>
        <w:spacing w:after="100" w:before="200"/>
      </w:pPr>
      <w:r>
        <w:rPr>
          <w:rFonts w:ascii="Calibri" w:cs="Calibri" w:eastAsia="Calibri" w:hAnsi="Calibri"/>
          <w:b/>
          <w:bCs/>
          <w:color w:val="1F3864"/>
          <w:sz w:val="23"/>
          <w:szCs w:val="23"/>
        </w:rPr>
        <w:t xml:space="preserve">C. The national interest is sufficiently urgent</w:t>
      </w:r>
    </w:p>
    <w:p>
      <w:pPr>
        <w:spacing w:after="120" w:line="264"/>
        <w:jc w:val="both"/>
      </w:pPr>
      <w:r>
        <w:rPr>
          <w:rFonts w:ascii="Calibri" w:cs="Calibri" w:eastAsia="Calibri" w:hAnsi="Calibri"/>
          <w:sz w:val="22"/>
          <w:szCs w:val="22"/>
        </w:rPr>
        <w:t xml:space="preserve">The urgency is documented by the government, and by the current administration in particular. Its Cyber Strategy for America of March 2026 commits to "deny our adversaries initial access" to critical infrastructure that it names as including water utilities and hospitals, and its AI Action Plan of July 2025 warns that owners of critical infrastructure "operate with limited financial resources" (</w:t>
      </w:r>
      <w:r>
        <w:rPr>
          <w:rFonts w:ascii="Calibri" w:cs="Calibri" w:eastAsia="Calibri" w:hAnsi="Calibri"/>
          <w:b/>
          <w:bCs/>
          <w:color w:val="FF0000"/>
          <w:sz w:val="22"/>
          <w:szCs w:val="22"/>
        </w:rPr>
        <w:t xml:space="preserve">Exhibits RFE-14 and RFE-15</w:t>
      </w:r>
      <w:r>
        <w:rPr>
          <w:rFonts w:ascii="Calibri" w:cs="Calibri" w:eastAsia="Calibri" w:hAnsi="Calibri"/>
          <w:sz w:val="22"/>
          <w:szCs w:val="22"/>
        </w:rPr>
        <w:t xml:space="preserve">). HHS has issued sector goals naming multi-factor authentication, asset inventory and segmentation for health care organizations (</w:t>
      </w:r>
      <w:r>
        <w:rPr>
          <w:rFonts w:ascii="Calibri" w:cs="Calibri" w:eastAsia="Calibri" w:hAnsi="Calibri"/>
          <w:b/>
          <w:bCs/>
          <w:color w:val="FF0000"/>
          <w:sz w:val="22"/>
          <w:szCs w:val="22"/>
        </w:rPr>
        <w:t xml:space="preserve">Exhibit RFE-8</w:t>
      </w:r>
      <w:r>
        <w:rPr>
          <w:rFonts w:ascii="Calibri" w:cs="Calibri" w:eastAsia="Calibri" w:hAnsi="Calibri"/>
          <w:sz w:val="22"/>
          <w:szCs w:val="22"/>
        </w:rPr>
        <w:t xml:space="preserve">), and has proposed to make those controls mandatory under the HIPAA Security Rule (petition </w:t>
      </w:r>
      <w:r>
        <w:rPr>
          <w:rFonts w:ascii="Calibri" w:cs="Calibri" w:eastAsia="Calibri" w:hAnsi="Calibri"/>
          <w:b/>
          <w:bCs/>
          <w:color w:val="FF0000"/>
          <w:sz w:val="22"/>
          <w:szCs w:val="22"/>
        </w:rPr>
        <w:t xml:space="preserve">Exhibit 54</w:t>
      </w:r>
      <w:r>
        <w:rPr>
          <w:rFonts w:ascii="Calibri" w:cs="Calibri" w:eastAsia="Calibri" w:hAnsi="Calibri"/>
          <w:sz w:val="22"/>
          <w:szCs w:val="22"/>
        </w:rPr>
        <w:t xml:space="preserve">). The incidents in Part III.A occurred in 2021 to 2024 and turned on exactly those controls (</w:t>
      </w:r>
      <w:r>
        <w:rPr>
          <w:rFonts w:ascii="Calibri" w:cs="Calibri" w:eastAsia="Calibri" w:hAnsi="Calibri"/>
          <w:b/>
          <w:bCs/>
          <w:color w:val="FF0000"/>
          <w:sz w:val="22"/>
          <w:szCs w:val="22"/>
        </w:rPr>
        <w:t xml:space="preserve">Exhibits RFE-9 to RFE-11</w:t>
      </w:r>
      <w:r>
        <w:rPr>
          <w:rFonts w:ascii="Calibri" w:cs="Calibri" w:eastAsia="Calibri" w:hAnsi="Calibri"/>
          <w:sz w:val="22"/>
          <w:szCs w:val="22"/>
        </w:rPr>
        <w:t xml:space="preserve">). The requirements are rising now, and the smallest institutions have the least capacity to meet them. The endeavor's first measured results are scheduled for its first six months (Table 7), and each year of delay is a year in which those institutions face rising requirements without measured guidance on how to meet them.</w:t>
      </w:r>
    </w:p>
    <w:p>
      <w:pPr>
        <w:pStyle w:val="Heading2"/>
        <w:keepNext/>
        <w:spacing w:after="100" w:before="200"/>
      </w:pPr>
      <w:r>
        <w:rPr>
          <w:rFonts w:ascii="Calibri" w:cs="Calibri" w:eastAsia="Calibri" w:hAnsi="Calibri"/>
          <w:b/>
          <w:bCs/>
          <w:color w:val="1F3864"/>
          <w:sz w:val="23"/>
          <w:szCs w:val="23"/>
        </w:rPr>
        <w:t xml:space="preserve">D. Potential creation of jobs</w:t>
      </w:r>
    </w:p>
    <w:p>
      <w:pPr>
        <w:spacing w:after="120" w:line="264"/>
        <w:jc w:val="both"/>
      </w:pPr>
      <w:r>
        <w:rPr>
          <w:rFonts w:ascii="Calibri" w:cs="Calibri" w:eastAsia="Calibri" w:hAnsi="Calibri"/>
          <w:sz w:val="22"/>
          <w:szCs w:val="22"/>
        </w:rPr>
        <w:t xml:space="preserve">The endeavor's employment effect is stated at the level the record supports. It is not a jobs programme. Its effect is to protect the employment of the institutions that apply it. A small hospital that loses billing for months can close, as St. Margaret's Health did, and with it go jobs in a small community (</w:t>
      </w:r>
      <w:r>
        <w:rPr>
          <w:rFonts w:ascii="Calibri" w:cs="Calibri" w:eastAsia="Calibri" w:hAnsi="Calibri"/>
          <w:b/>
          <w:bCs/>
          <w:color w:val="FF0000"/>
          <w:sz w:val="22"/>
          <w:szCs w:val="22"/>
        </w:rPr>
        <w:t xml:space="preserve">Exhibit RFE-11</w:t>
      </w:r>
      <w:r>
        <w:rPr>
          <w:rFonts w:ascii="Calibri" w:cs="Calibri" w:eastAsia="Calibri" w:hAnsi="Calibri"/>
          <w:sz w:val="22"/>
          <w:szCs w:val="22"/>
        </w:rPr>
        <w:t xml:space="preserve">). Measured, low-cost guidance that keeps such institutions running keeps those jobs. The published practitioner guides and tutorials also equip the generalist IT staff those institutions already employ to do work that would otherwise require a specialist they cannot hire.</w:t>
      </w:r>
    </w:p>
    <w:p>
      <w:pPr>
        <w:pStyle w:val="Heading2"/>
        <w:keepNext/>
        <w:spacing w:after="100" w:before="200"/>
      </w:pPr>
      <w:r>
        <w:rPr>
          <w:rFonts w:ascii="Calibri" w:cs="Calibri" w:eastAsia="Calibri" w:hAnsi="Calibri"/>
          <w:b/>
          <w:bCs/>
          <w:color w:val="1F3864"/>
          <w:sz w:val="23"/>
          <w:szCs w:val="23"/>
        </w:rPr>
        <w:t xml:space="preserve">E. The endeavor does not adversely affect U.S. workers</w:t>
      </w:r>
    </w:p>
    <w:p>
      <w:pPr>
        <w:spacing w:after="120" w:line="264"/>
        <w:jc w:val="both"/>
      </w:pPr>
      <w:r>
        <w:rPr>
          <w:rFonts w:ascii="Calibri" w:cs="Calibri" w:eastAsia="Calibri" w:hAnsi="Calibri"/>
          <w:sz w:val="22"/>
          <w:szCs w:val="22"/>
        </w:rPr>
        <w:t xml:space="preserve">I conduct the research independently, on my own time, equipment and budget. It occupies no position a U.S. worker could fill, it is offered to no client in competition with any U.S. firm, and its outputs are free to U.S. workers in the field. The interest the labor certification process protects, the domestic labor market for a particular job, is therefore not affected.</w:t>
      </w:r>
    </w:p>
    <w:p>
      <w:pPr>
        <w:pStyle w:val="Heading2"/>
        <w:keepNext/>
        <w:spacing w:after="100" w:before="200"/>
      </w:pPr>
      <w:r>
        <w:rPr>
          <w:rFonts w:ascii="Calibri" w:cs="Calibri" w:eastAsia="Calibri" w:hAnsi="Calibri"/>
          <w:b/>
          <w:bCs/>
          <w:color w:val="1F3864"/>
          <w:sz w:val="23"/>
          <w:szCs w:val="23"/>
        </w:rPr>
        <w:t xml:space="preserve">F. The Notice's specific third-prong findings</w:t>
      </w:r>
    </w:p>
    <w:p>
      <w:pPr>
        <w:spacing w:after="120" w:line="264"/>
        <w:jc w:val="both"/>
      </w:pPr>
      <w:r>
        <w:rPr>
          <w:rFonts w:ascii="Calibri" w:cs="Calibri" w:eastAsia="Calibri" w:hAnsi="Calibri"/>
          <w:b/>
          <w:bCs/>
          <w:sz w:val="22"/>
          <w:szCs w:val="22"/>
        </w:rPr>
        <w:t xml:space="preserve">"The beneficiary has not provided any cognizable information concerning what efforts she will be making to advance the proposed endeavor outside of the scope of her employment."</w:t>
      </w:r>
      <w:r>
        <w:rPr>
          <w:rFonts w:ascii="Calibri" w:cs="Calibri" w:eastAsia="Calibri" w:hAnsi="Calibri"/>
          <w:sz w:val="22"/>
          <w:szCs w:val="22"/>
        </w:rPr>
        <w:t xml:space="preserve"> Parts III and IV now provide it: three projects, a 36-month schedule, a budget and seventeen hours a week of my own time (Tables 11 and 12), all independent of any employment.</w:t>
      </w:r>
    </w:p>
    <w:p>
      <w:pPr>
        <w:spacing w:after="120" w:line="264"/>
        <w:jc w:val="both"/>
      </w:pPr>
      <w:r>
        <w:rPr>
          <w:rFonts w:ascii="Calibri" w:cs="Calibri" w:eastAsia="Calibri" w:hAnsi="Calibri"/>
          <w:b/>
          <w:bCs/>
          <w:sz w:val="22"/>
          <w:szCs w:val="22"/>
        </w:rPr>
        <w:t xml:space="preserve">"It does not establish that she has unique knowledge or skills, or that she is the principal leader of projects in the United States."</w:t>
      </w:r>
      <w:r>
        <w:rPr>
          <w:rFonts w:ascii="Calibri" w:cs="Calibri" w:eastAsia="Calibri" w:hAnsi="Calibri"/>
          <w:sz w:val="22"/>
          <w:szCs w:val="22"/>
        </w:rPr>
        <w:t xml:space="preserve"> The endeavor is mine, led and carried out by me (Part VI.I). The third prong does not require uniqueness; it asks whether the waiver benefits the United States on balance, and Parts VII.A to VII.E answer that on the Notice's own factors.</w:t>
      </w:r>
    </w:p>
    <w:p>
      <w:pPr>
        <w:spacing w:after="120" w:line="264"/>
        <w:jc w:val="both"/>
      </w:pPr>
      <w:r>
        <w:rPr>
          <w:rFonts w:ascii="Calibri" w:cs="Calibri" w:eastAsia="Calibri" w:hAnsi="Calibri"/>
          <w:b/>
          <w:bCs/>
          <w:sz w:val="22"/>
          <w:szCs w:val="22"/>
        </w:rPr>
        <w:t xml:space="preserve">"It is unclear as to why a labor certification would not be more appropriate."</w:t>
      </w:r>
      <w:r>
        <w:rPr>
          <w:rFonts w:ascii="Calibri" w:cs="Calibri" w:eastAsia="Calibri" w:hAnsi="Calibri"/>
          <w:sz w:val="22"/>
          <w:szCs w:val="22"/>
        </w:rPr>
        <w:t xml:space="preserve"> A labor certification would certify a job I already hold or might hold. It would not certify, fund or protect the research, because the research is not part of any job. Part VII.A explains this.</w:t>
      </w:r>
    </w:p>
    <w:p>
      <w:pPr>
        <w:pStyle w:val="Heading2"/>
        <w:keepNext/>
        <w:spacing w:after="100" w:before="200"/>
      </w:pPr>
      <w:r>
        <w:rPr>
          <w:rFonts w:ascii="Calibri" w:cs="Calibri" w:eastAsia="Calibri" w:hAnsi="Calibri"/>
          <w:b/>
          <w:bCs/>
          <w:color w:val="1F3864"/>
          <w:sz w:val="23"/>
          <w:szCs w:val="23"/>
        </w:rPr>
        <w:t xml:space="preserve">G. The balance</w:t>
      </w:r>
    </w:p>
    <w:p>
      <w:pPr>
        <w:spacing w:after="120" w:line="264"/>
        <w:jc w:val="both"/>
      </w:pPr>
      <w:r>
        <w:rPr>
          <w:rFonts w:ascii="Calibri" w:cs="Calibri" w:eastAsia="Calibri" w:hAnsi="Calibri"/>
          <w:sz w:val="22"/>
          <w:szCs w:val="22"/>
        </w:rPr>
        <w:t xml:space="preserve">Table 34 sets the interests the labor certification process protects beside what the waiver secures.</w:t>
      </w:r>
    </w:p>
    <w:p>
      <w:pPr>
        <w:keepNext/>
        <w:spacing w:after="80" w:before="160"/>
      </w:pPr>
      <w:r>
        <w:rPr>
          <w:rFonts w:ascii="Calibri" w:cs="Calibri" w:eastAsia="Calibri" w:hAnsi="Calibri"/>
          <w:b/>
          <w:bCs/>
          <w:sz w:val="21"/>
          <w:szCs w:val="21"/>
        </w:rPr>
        <w:t xml:space="preserve">Table 34. The balance under the third prong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89"/>
        <w:gridCol w:w="3089"/>
        <w:gridCol w:w="3182"/>
      </w:tblGrid>
      <w:tr>
        <w:trPr>
          <w:cantSplit/>
          <w:tblHeader/>
        </w:trPr>
        <w:tc>
          <w:tcPr>
            <w:tcW w:type="dxa" w:w="308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b/>
                <w:bCs/>
                <w:sz w:val="19"/>
                <w:szCs w:val="19"/>
              </w:rPr>
              <w:t xml:space="preserve">Interest the labor certification protects</w:t>
            </w:r>
          </w:p>
        </w:tc>
        <w:tc>
          <w:tcPr>
            <w:tcW w:type="dxa" w:w="308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b/>
                <w:bCs/>
                <w:sz w:val="19"/>
                <w:szCs w:val="19"/>
              </w:rPr>
              <w:t xml:space="preserve">Effect of the waiver on that interest</w:t>
            </w:r>
          </w:p>
        </w:tc>
        <w:tc>
          <w:tcPr>
            <w:tcW w:type="dxa" w:w="318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b/>
                <w:bCs/>
                <w:sz w:val="19"/>
                <w:szCs w:val="19"/>
              </w:rPr>
              <w:t xml:space="preserve">What the waiver secures for the United States</w:t>
            </w:r>
          </w:p>
        </w:tc>
      </w:tr>
      <w:tr>
        <w:trPr>
          <w:cantSplit/>
          <w:tblHeader w:val="false"/>
        </w:trPr>
        <w:tc>
          <w:tcPr>
            <w:tcW w:type="dxa" w:w="308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Job opportunities for qualified U.S. workers in a specific position</w:t>
            </w:r>
          </w:p>
        </w:tc>
        <w:tc>
          <w:tcPr>
            <w:tcW w:type="dxa" w:w="308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None: the research occupies no position and is offered to no client (Part VII.E)</w:t>
            </w:r>
          </w:p>
        </w:tc>
        <w:tc>
          <w:tcPr>
            <w:tcW w:type="dxa" w:w="318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Open, measured results and tools for under-resourced institutions, beginning in the first six months</w:t>
            </w:r>
          </w:p>
        </w:tc>
      </w:tr>
      <w:tr>
        <w:trPr>
          <w:cantSplit/>
          <w:tblHeader w:val="false"/>
        </w:trPr>
        <w:tc>
          <w:tcPr>
            <w:tcW w:type="dxa" w:w="308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Wages and working conditions of U.S. workers in that occupation</w:t>
            </w:r>
          </w:p>
        </w:tc>
        <w:tc>
          <w:tcPr>
            <w:tcW w:type="dxa" w:w="308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None: the outputs are free tools that support U.S. staff, not a competing service</w:t>
            </w:r>
          </w:p>
        </w:tc>
        <w:tc>
          <w:tcPr>
            <w:tcW w:type="dxa" w:w="318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Practitioner guides and audit scripts that equip generalist IT staff already employed at those institutions</w:t>
            </w:r>
          </w:p>
        </w:tc>
      </w:tr>
      <w:tr>
        <w:trPr>
          <w:cantSplit/>
          <w:tblHeader w:val="false"/>
        </w:trPr>
        <w:tc>
          <w:tcPr>
            <w:tcW w:type="dxa" w:w="308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Matching a foreign worker to a specific employer's need</w:t>
            </w:r>
          </w:p>
        </w:tc>
        <w:tc>
          <w:tcPr>
            <w:tcW w:type="dxa" w:w="308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Not applicable: no employer directs, funds or owns the work (Part III.B)</w:t>
            </w:r>
          </w:p>
        </w:tc>
        <w:tc>
          <w:tcPr>
            <w:tcW w:type="dxa" w:w="318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A research line whose outputs stay public because no employer controls their release</w:t>
            </w:r>
          </w:p>
        </w:tc>
      </w:tr>
    </w:tbl>
    <w:p>
      <w:pPr>
        <w:spacing w:after="80"/>
      </w:pPr>
    </w:p>
    <w:p>
      <w:pPr>
        <w:spacing w:after="120" w:line="264"/>
        <w:jc w:val="both"/>
      </w:pPr>
      <w:r>
        <w:rPr>
          <w:rFonts w:ascii="Calibri" w:cs="Calibri" w:eastAsia="Calibri" w:hAnsi="Calibri"/>
          <w:sz w:val="22"/>
          <w:szCs w:val="22"/>
        </w:rPr>
        <w:t xml:space="preserve">On balance, the benefit to the United States of the endeavor's public outputs, produced on the schedule in Part IV and directed at a risk the government describes as current and rising, outweighs the benefits inherent in the labor certification process, which would not apply to this research in any case. It would be beneficial to the United States to waive the requirements of a job offer and thus of a labor certification.</w:t>
      </w:r>
    </w:p>
    <w:p>
      <w:pPr>
        <w:pStyle w:val="Heading1"/>
        <w:keepNext/>
        <w:spacing w:after="140" w:before="280"/>
      </w:pPr>
      <w:r>
        <w:rPr>
          <w:rFonts w:ascii="Calibri" w:cs="Calibri" w:eastAsia="Calibri" w:hAnsi="Calibri"/>
          <w:b/>
          <w:bCs/>
          <w:color w:val="1F3864"/>
          <w:sz w:val="26"/>
          <w:szCs w:val="26"/>
        </w:rPr>
        <w:t xml:space="preserve">VIII. Conclusion</w:t>
      </w:r>
    </w:p>
    <w:p>
      <w:pPr>
        <w:spacing w:after="120" w:line="264"/>
        <w:jc w:val="both"/>
      </w:pPr>
      <w:r>
        <w:rPr>
          <w:rFonts w:ascii="Calibri" w:cs="Calibri" w:eastAsia="Calibri" w:hAnsi="Calibri"/>
          <w:sz w:val="22"/>
          <w:szCs w:val="22"/>
        </w:rPr>
        <w:t xml:space="preserve">The Notice asked what I will do, how I will do it, through which entity, how it is funded, why it matters beyond me, why I am the person to do it, and why the labor certification requirement should be waived. This response answers each question with evidence.</w:t>
      </w:r>
    </w:p>
    <w:p>
      <w:pPr>
        <w:spacing w:after="120" w:line="264"/>
        <w:jc w:val="both"/>
      </w:pPr>
      <w:r>
        <w:rPr>
          <w:rFonts w:ascii="Calibri" w:cs="Calibri" w:eastAsia="Calibri" w:hAnsi="Calibri"/>
          <w:sz w:val="22"/>
          <w:szCs w:val="22"/>
        </w:rPr>
        <w:t xml:space="preserve">The endeavor is the six-pillar Zero Trust governance framework the petition proposed, specified as self-directed, simulation-based research: four reference environments modelling the institutions with the least security staff, controlled attack emulation that measures what each control closes and costs, and a joint cost and security audit that tests whether recovered waste can pay for the first controls. It has three projects, six research questions, stated objectives and methods, a 36-month schedule of public outputs, a self-funded budget and a stated allocation of my time. Its outputs serve classes of institution across the country, and it supplies the measured link between federal Zero Trust requirements and the institutions least able to meet them.</w:t>
      </w:r>
    </w:p>
    <w:p>
      <w:pPr>
        <w:spacing w:after="120" w:line="264"/>
        <w:jc w:val="both"/>
      </w:pPr>
      <w:r>
        <w:rPr>
          <w:rFonts w:ascii="Calibri" w:cs="Calibri" w:eastAsia="Calibri" w:hAnsi="Calibri"/>
          <w:sz w:val="22"/>
          <w:szCs w:val="22"/>
        </w:rPr>
        <w:t xml:space="preserve">I am well positioned to advance it. The endeavor measures controls I have executed and measured in production, builds on published work that independent authors in at least twelve countries already cite, and begins from a framework, a review and publication practice, and funding already in place. On balance, the United States benefits from waiving the job offer and labor certification so that this work proceeds as independent public research.</w:t>
      </w:r>
    </w:p>
    <w:p>
      <w:pPr>
        <w:spacing w:after="120" w:line="264"/>
        <w:jc w:val="both"/>
      </w:pPr>
      <w:r>
        <w:rPr>
          <w:rFonts w:ascii="Calibri" w:cs="Calibri" w:eastAsia="Calibri" w:hAnsi="Calibri"/>
          <w:sz w:val="22"/>
          <w:szCs w:val="22"/>
        </w:rPr>
        <w:t xml:space="preserve">I respectfully request that USCIS approve the petition and grant the national interest waiver.</w:t>
      </w:r>
    </w:p>
    <w:p>
      <w:pPr>
        <w:spacing w:after="120" w:line="264"/>
        <w:jc w:val="both"/>
      </w:pPr>
    </w:p>
    <w:p>
      <w:pPr>
        <w:spacing w:after="20"/>
      </w:pPr>
      <w:r>
        <w:rPr>
          <w:rFonts w:ascii="Calibri" w:cs="Calibri" w:eastAsia="Calibri" w:hAnsi="Calibri"/>
          <w:sz w:val="22"/>
          <w:szCs w:val="22"/>
        </w:rPr>
        <w:t xml:space="preserve">Respectfully submitted,</w:t>
      </w:r>
    </w:p>
    <w:p>
      <w:pPr>
        <w:spacing w:after="120" w:line="264"/>
        <w:jc w:val="both"/>
      </w:pPr>
    </w:p>
    <w:p>
      <w:pPr>
        <w:spacing w:after="120" w:line="264"/>
        <w:jc w:val="both"/>
      </w:pPr>
    </w:p>
    <w:p>
      <w:pPr>
        <w:spacing w:after="20"/>
      </w:pPr>
      <w:r>
        <w:rPr>
          <w:rFonts w:ascii="Calibri" w:cs="Calibri" w:eastAsia="Calibri" w:hAnsi="Calibri"/>
          <w:sz w:val="22"/>
          <w:szCs w:val="22"/>
        </w:rPr>
        <w:t xml:space="preserve">______________________________</w:t>
      </w:r>
    </w:p>
    <w:p>
      <w:pPr>
        <w:spacing w:after="20"/>
      </w:pPr>
      <w:r>
        <w:rPr>
          <w:rFonts w:ascii="Calibri" w:cs="Calibri" w:eastAsia="Calibri" w:hAnsi="Calibri"/>
          <w:b/>
          <w:bCs/>
          <w:sz w:val="22"/>
          <w:szCs w:val="22"/>
        </w:rPr>
        <w:t xml:space="preserve">Abidemi Adeleye Alabi</w:t>
      </w:r>
    </w:p>
    <w:p>
      <w:pPr>
        <w:spacing w:after="20"/>
      </w:pPr>
      <w:r>
        <w:rPr>
          <w:rFonts w:ascii="Calibri" w:cs="Calibri" w:eastAsia="Calibri" w:hAnsi="Calibri"/>
          <w:sz w:val="22"/>
          <w:szCs w:val="22"/>
        </w:rPr>
        <w:t xml:space="preserve">Petitioner and Beneficiary, pro se</w:t>
      </w:r>
    </w:p>
    <w:p>
      <w:pPr>
        <w:spacing w:after="20"/>
      </w:pPr>
      <w:r>
        <w:rPr>
          <w:rFonts w:ascii="Calibri" w:cs="Calibri" w:eastAsia="Calibri" w:hAnsi="Calibri"/>
          <w:sz w:val="22"/>
          <w:szCs w:val="22"/>
        </w:rPr>
        <w:t xml:space="preserve">5410 McGrath Blvd, Apt 308, Rockville, MD 20852</w:t>
      </w:r>
    </w:p>
    <w:p>
      <w:pPr>
        <w:spacing w:after="20"/>
      </w:pPr>
      <w:r>
        <w:rPr>
          <w:rFonts w:ascii="Calibri" w:cs="Calibri" w:eastAsia="Calibri" w:hAnsi="Calibri"/>
          <w:sz w:val="22"/>
          <w:szCs w:val="22"/>
        </w:rPr>
        <w:t xml:space="preserve">October 12, 2026</w:t>
      </w:r>
    </w:p>
    <w:p>
      <w:r>
        <w:br w:type="page"/>
      </w:r>
    </w:p>
    <w:p>
      <w:pPr>
        <w:pStyle w:val="Heading1"/>
        <w:keepNext/>
        <w:spacing w:after="140" w:before="280"/>
      </w:pPr>
      <w:r>
        <w:rPr>
          <w:rFonts w:ascii="Calibri" w:cs="Calibri" w:eastAsia="Calibri" w:hAnsi="Calibri"/>
          <w:b/>
          <w:bCs/>
          <w:color w:val="1F3864"/>
          <w:sz w:val="26"/>
          <w:szCs w:val="26"/>
        </w:rPr>
        <w:t xml:space="preserve">Index of Exhibits</w:t>
      </w:r>
    </w:p>
    <w:p>
      <w:pPr>
        <w:spacing w:after="120" w:line="264"/>
        <w:jc w:val="both"/>
      </w:pPr>
      <w:r>
        <w:rPr>
          <w:rFonts w:ascii="Calibri" w:cs="Calibri" w:eastAsia="Calibri" w:hAnsi="Calibri"/>
          <w:sz w:val="22"/>
          <w:szCs w:val="22"/>
        </w:rPr>
        <w:t xml:space="preserve">Table 35 lists the exhibits submitted with this response. As the Notice directs, evidence already submitted with the petition is not resubmitted; it remains part of the record under its original petition exhibit number (</w:t>
      </w:r>
      <w:r>
        <w:rPr>
          <w:rFonts w:ascii="Calibri" w:cs="Calibri" w:eastAsia="Calibri" w:hAnsi="Calibri"/>
          <w:b/>
          <w:bCs/>
          <w:color w:val="FF0000"/>
          <w:sz w:val="22"/>
          <w:szCs w:val="22"/>
        </w:rPr>
        <w:t xml:space="preserve">Exhibits 1 to 62</w:t>
      </w:r>
      <w:r>
        <w:rPr>
          <w:rFonts w:ascii="Calibri" w:cs="Calibri" w:eastAsia="Calibri" w:hAnsi="Calibri"/>
          <w:sz w:val="22"/>
          <w:szCs w:val="22"/>
        </w:rPr>
        <w:t xml:space="preserve"> of the petition) and is cited in this response in that form.</w:t>
      </w:r>
    </w:p>
    <w:p>
      <w:pPr>
        <w:keepNext/>
        <w:spacing w:after="80" w:before="160"/>
      </w:pPr>
      <w:r>
        <w:rPr>
          <w:rFonts w:ascii="Calibri" w:cs="Calibri" w:eastAsia="Calibri" w:hAnsi="Calibri"/>
          <w:b/>
          <w:bCs/>
          <w:sz w:val="21"/>
          <w:szCs w:val="21"/>
        </w:rPr>
        <w:t xml:space="preserve">Table 35. Index of exhibits submitted with this 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23"/>
        <w:gridCol w:w="5616"/>
        <w:gridCol w:w="2621"/>
      </w:tblGrid>
      <w:tr>
        <w:trPr>
          <w:cantSplit/>
          <w:tblHeader/>
        </w:trPr>
        <w:tc>
          <w:tcPr>
            <w:tcW w:type="dxa" w:w="112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b/>
                <w:bCs/>
                <w:sz w:val="19"/>
                <w:szCs w:val="19"/>
              </w:rPr>
              <w:t xml:space="preserve">Exhibit</w:t>
            </w:r>
          </w:p>
        </w:tc>
        <w:tc>
          <w:tcPr>
            <w:tcW w:type="dxa" w:w="561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b/>
                <w:bCs/>
                <w:sz w:val="19"/>
                <w:szCs w:val="19"/>
              </w:rPr>
              <w:t xml:space="preserve">Document</w:t>
            </w:r>
          </w:p>
        </w:tc>
        <w:tc>
          <w:tcPr>
            <w:tcW w:type="dxa" w:w="262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b/>
                <w:bCs/>
                <w:sz w:val="19"/>
                <w:szCs w:val="19"/>
              </w:rPr>
              <w:t xml:space="preserve">Cited in</w:t>
            </w:r>
          </w:p>
        </w:tc>
      </w:tr>
      <w:tr>
        <w:trPr>
          <w:cantSplit/>
          <w:tblHeader w:val="false"/>
        </w:trPr>
        <w:tc>
          <w:tcPr>
            <w:tcW w:type="dxa" w:w="112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RFE-1</w:t>
            </w:r>
          </w:p>
        </w:tc>
        <w:tc>
          <w:tcPr>
            <w:tcW w:type="dxa" w:w="561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Request for Evidence dated October 5, 2026, with Premium Processing coversheet (original on top of this response)</w:t>
            </w:r>
          </w:p>
        </w:tc>
        <w:tc>
          <w:tcPr>
            <w:tcW w:type="dxa" w:w="262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Cover</w:t>
            </w:r>
          </w:p>
        </w:tc>
      </w:tr>
      <w:tr>
        <w:trPr>
          <w:cantSplit/>
          <w:tblHeader w:val="false"/>
        </w:trPr>
        <w:tc>
          <w:tcPr>
            <w:tcW w:type="dxa" w:w="112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RFE-2</w:t>
            </w:r>
          </w:p>
        </w:tc>
        <w:tc>
          <w:tcPr>
            <w:tcW w:type="dxa" w:w="561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Curriculum vitae of Abidemi Adeleye Alabi, updated October 2026</w:t>
            </w:r>
          </w:p>
        </w:tc>
        <w:tc>
          <w:tcPr>
            <w:tcW w:type="dxa" w:w="262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Part VI</w:t>
            </w:r>
          </w:p>
        </w:tc>
      </w:tr>
      <w:tr>
        <w:trPr>
          <w:cantSplit/>
          <w:tblHeader w:val="false"/>
        </w:trPr>
        <w:tc>
          <w:tcPr>
            <w:tcW w:type="dxa" w:w="112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RFE-3</w:t>
            </w:r>
          </w:p>
        </w:tc>
        <w:tc>
          <w:tcPr>
            <w:tcW w:type="dxa" w:w="561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Proof of funds: bank statements for the six most recent months, account numbers redacted, and income records (</w:t>
            </w:r>
            <w:r>
              <w:rPr>
                <w:rFonts w:ascii="Calibri" w:cs="Calibri" w:eastAsia="Calibri" w:hAnsi="Calibri"/>
                <w:color w:val="FF0000"/>
                <w:sz w:val="19"/>
                <w:szCs w:val="19"/>
              </w:rPr>
              <w:t xml:space="preserve">[three most recent pay statements and 2025 Form W-2 or IRS tax return transcript]</w:t>
            </w:r>
            <w:r>
              <w:rPr>
                <w:rFonts w:ascii="Calibri" w:cs="Calibri" w:eastAsia="Calibri" w:hAnsi="Calibri"/>
                <w:sz w:val="19"/>
                <w:szCs w:val="19"/>
              </w:rPr>
              <w:t xml:space="preserve">), showing the personal funds and income that meet the research budget and living expenses</w:t>
            </w:r>
          </w:p>
        </w:tc>
        <w:tc>
          <w:tcPr>
            <w:tcW w:type="dxa" w:w="262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Parts III.B, IV.D, VI</w:t>
            </w:r>
          </w:p>
        </w:tc>
      </w:tr>
      <w:tr>
        <w:trPr>
          <w:cantSplit/>
          <w:tblHeader w:val="false"/>
        </w:trPr>
        <w:tc>
          <w:tcPr>
            <w:tcW w:type="dxa" w:w="112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RFE-4</w:t>
            </w:r>
          </w:p>
        </w:tc>
        <w:tc>
          <w:tcPr>
            <w:tcW w:type="dxa" w:w="561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Signed declaration of Abidemi Adeleye Alabi committing personal funds to the 36-month research budget in Table 9</w:t>
            </w:r>
          </w:p>
        </w:tc>
        <w:tc>
          <w:tcPr>
            <w:tcW w:type="dxa" w:w="262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Parts III.B, IV.D, VI</w:t>
            </w:r>
          </w:p>
        </w:tc>
      </w:tr>
      <w:tr>
        <w:trPr>
          <w:cantSplit/>
          <w:tblHeader w:val="false"/>
        </w:trPr>
        <w:tc>
          <w:tcPr>
            <w:tcW w:type="dxa" w:w="112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RFE-5</w:t>
            </w:r>
          </w:p>
        </w:tc>
        <w:tc>
          <w:tcPr>
            <w:tcW w:type="dxa" w:w="561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Google Scholar profile of Abidemi Adeleye Alabi with the "Cited by" lists of the three principal papers, captured October 2026</w:t>
            </w:r>
          </w:p>
        </w:tc>
        <w:tc>
          <w:tcPr>
            <w:tcW w:type="dxa" w:w="262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Parts VI.C, VI.K</w:t>
            </w:r>
          </w:p>
        </w:tc>
      </w:tr>
      <w:tr>
        <w:trPr>
          <w:cantSplit/>
          <w:tblHeader w:val="false"/>
        </w:trPr>
        <w:tc>
          <w:tcPr>
            <w:tcW w:type="dxa" w:w="112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RFE-6</w:t>
            </w:r>
          </w:p>
        </w:tc>
        <w:tc>
          <w:tcPr>
            <w:tcW w:type="dxa" w:w="561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First page and reference-list page of each of the 34 independent citing works listed in Table 31, in the order of Table 31</w:t>
            </w:r>
          </w:p>
        </w:tc>
        <w:tc>
          <w:tcPr>
            <w:tcW w:type="dxa" w:w="262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Parts VI.C, VI.K</w:t>
            </w:r>
          </w:p>
        </w:tc>
      </w:tr>
      <w:tr>
        <w:trPr>
          <w:cantSplit/>
          <w:tblHeader w:val="false"/>
        </w:trPr>
        <w:tc>
          <w:tcPr>
            <w:tcW w:type="dxa" w:w="112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RFE-7</w:t>
            </w:r>
          </w:p>
        </w:tc>
        <w:tc>
          <w:tcPr>
            <w:tcW w:type="dxa" w:w="561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National Institute of Standards and Technology, SP 1800-35, Implementing a Zero Trust Architecture (final, June 2025), doi:10.6028/NIST.SP.1800-35</w:t>
            </w:r>
          </w:p>
        </w:tc>
        <w:tc>
          <w:tcPr>
            <w:tcW w:type="dxa" w:w="262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Parts III.A, IV, V</w:t>
            </w:r>
          </w:p>
        </w:tc>
      </w:tr>
      <w:tr>
        <w:trPr>
          <w:cantSplit/>
          <w:tblHeader w:val="false"/>
        </w:trPr>
        <w:tc>
          <w:tcPr>
            <w:tcW w:type="dxa" w:w="112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RFE-8</w:t>
            </w:r>
          </w:p>
        </w:tc>
        <w:tc>
          <w:tcPr>
            <w:tcW w:type="dxa" w:w="561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U.S. Department of Health and Human Services, Administration for Strategic Preparedness and Response, Healthcare and Public Health Sector Cybersecurity Performance Goals (January 24, 2024)</w:t>
            </w:r>
          </w:p>
        </w:tc>
        <w:tc>
          <w:tcPr>
            <w:tcW w:type="dxa" w:w="262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Parts III, V, VII</w:t>
            </w:r>
          </w:p>
        </w:tc>
      </w:tr>
      <w:tr>
        <w:trPr>
          <w:cantSplit/>
          <w:tblHeader w:val="false"/>
        </w:trPr>
        <w:tc>
          <w:tcPr>
            <w:tcW w:type="dxa" w:w="112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RFE-9</w:t>
            </w:r>
          </w:p>
        </w:tc>
        <w:tc>
          <w:tcPr>
            <w:tcW w:type="dxa" w:w="561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HHS Office for Civil Rights, Change Healthcare Cybersecurity Incident Frequently Asked Questions (updated to reflect the July 31, 2025 report of about 192.7 million affected individuals)</w:t>
            </w:r>
          </w:p>
        </w:tc>
        <w:tc>
          <w:tcPr>
            <w:tcW w:type="dxa" w:w="262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Parts III.A, V, VII</w:t>
            </w:r>
          </w:p>
        </w:tc>
      </w:tr>
      <w:tr>
        <w:trPr>
          <w:cantSplit/>
          <w:tblHeader w:val="false"/>
        </w:trPr>
        <w:tc>
          <w:tcPr>
            <w:tcW w:type="dxa" w:w="112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RFE-10</w:t>
            </w:r>
          </w:p>
        </w:tc>
        <w:tc>
          <w:tcPr>
            <w:tcW w:type="dxa" w:w="561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Mandiant (Google Cloud), "UNC5537 Targets Snowflake Customer Instances for Data Theft and Extortion" (June 2024)</w:t>
            </w:r>
          </w:p>
        </w:tc>
        <w:tc>
          <w:tcPr>
            <w:tcW w:type="dxa" w:w="262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Parts III.A, VII</w:t>
            </w:r>
          </w:p>
        </w:tc>
      </w:tr>
      <w:tr>
        <w:trPr>
          <w:cantSplit/>
          <w:tblHeader w:val="false"/>
        </w:trPr>
        <w:tc>
          <w:tcPr>
            <w:tcW w:type="dxa" w:w="112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RFE-11</w:t>
            </w:r>
          </w:p>
        </w:tc>
        <w:tc>
          <w:tcPr>
            <w:tcW w:type="dxa" w:w="561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S. Morse, "A cyberattack is partly to blame for St. Margaret's Health closing all operations," Healthcare Finance News (June 2023)</w:t>
            </w:r>
          </w:p>
        </w:tc>
        <w:tc>
          <w:tcPr>
            <w:tcW w:type="dxa" w:w="262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Parts III.A, V, VII</w:t>
            </w:r>
          </w:p>
        </w:tc>
      </w:tr>
      <w:tr>
        <w:trPr>
          <w:cantSplit/>
          <w:tblHeader w:val="false"/>
        </w:trPr>
        <w:tc>
          <w:tcPr>
            <w:tcW w:type="dxa" w:w="112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RFE-12</w:t>
            </w:r>
          </w:p>
        </w:tc>
        <w:tc>
          <w:tcPr>
            <w:tcW w:type="dxa" w:w="561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Fellowship certificate of the National Institute of Professional Engineers and Scientists, Abidemi Alabi, elected Fellow, February 13, 2025, No. AF01-000162; and the Institute's directory of Fellows listing Ms. Abidemi Alabi, Fellow, Cyber Security (nipes.org/members, captured July 23, 2026)</w:t>
            </w:r>
          </w:p>
        </w:tc>
        <w:tc>
          <w:tcPr>
            <w:tcW w:type="dxa" w:w="262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Part VI.I</w:t>
            </w:r>
          </w:p>
        </w:tc>
      </w:tr>
      <w:tr>
        <w:trPr>
          <w:cantSplit/>
          <w:tblHeader w:val="false"/>
        </w:trPr>
        <w:tc>
          <w:tcPr>
            <w:tcW w:type="dxa" w:w="112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RFE-13</w:t>
            </w:r>
          </w:p>
        </w:tc>
        <w:tc>
          <w:tcPr>
            <w:tcW w:type="dxa" w:w="561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National Institute of Professional Engineers and Scientists: Code of Conduct and Constitution (edition of February 10, 2026); Eligibility and Selection Criteria for Fellowship (nipes.org/eligibility-selection-criteria-for-fellow); About page (nipes.org/about); Management Team page (nipes.org/management-team); each captured July 23, 2026</w:t>
            </w:r>
          </w:p>
        </w:tc>
        <w:tc>
          <w:tcPr>
            <w:tcW w:type="dxa" w:w="262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Part VI.I</w:t>
            </w:r>
          </w:p>
        </w:tc>
      </w:tr>
      <w:tr>
        <w:trPr>
          <w:cantSplit/>
          <w:tblHeader w:val="false"/>
        </w:trPr>
        <w:tc>
          <w:tcPr>
            <w:tcW w:type="dxa" w:w="112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RFE-14</w:t>
            </w:r>
          </w:p>
        </w:tc>
        <w:tc>
          <w:tcPr>
            <w:tcW w:type="dxa" w:w="561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The White House, President Trump's Cyber Strategy for America (March 6, 2026), whitehouse.gov/wp-content/uploads/2026/03/President-Trumps-Cyber-Strategy-for-America.pdf</w:t>
            </w:r>
          </w:p>
        </w:tc>
        <w:tc>
          <w:tcPr>
            <w:tcW w:type="dxa" w:w="262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Parts V.B, VII.C</w:t>
            </w:r>
          </w:p>
        </w:tc>
      </w:tr>
      <w:tr>
        <w:trPr>
          <w:cantSplit/>
          <w:tblHeader w:val="false"/>
        </w:trPr>
        <w:tc>
          <w:tcPr>
            <w:tcW w:type="dxa" w:w="112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RFE-15</w:t>
            </w:r>
          </w:p>
        </w:tc>
        <w:tc>
          <w:tcPr>
            <w:tcW w:type="dxa" w:w="561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The White House, Winning the Race: America's AI Action Plan (July 2025), whitehouse.gov/wp-content/uploads/2025/07/Americas-AI-Action-Plan.pdf</w:t>
            </w:r>
          </w:p>
        </w:tc>
        <w:tc>
          <w:tcPr>
            <w:tcW w:type="dxa" w:w="262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Parts V.B, VII.C</w:t>
            </w:r>
          </w:p>
        </w:tc>
      </w:tr>
      <w:tr>
        <w:trPr>
          <w:cantSplit/>
          <w:tblHeader w:val="false"/>
        </w:trPr>
        <w:tc>
          <w:tcPr>
            <w:tcW w:type="dxa" w:w="112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RFE-16</w:t>
            </w:r>
          </w:p>
        </w:tc>
        <w:tc>
          <w:tcPr>
            <w:tcW w:type="dxa" w:w="561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Executive Order 14306, Sustaining Select Efforts to Strengthen the Nation's Cybersecurity and Amending Executive Order 13694 and Executive Order 14144 (June 6, 2025), 90 Fed. Reg. 24723 (June 11, 2025)</w:t>
            </w:r>
          </w:p>
        </w:tc>
        <w:tc>
          <w:tcPr>
            <w:tcW w:type="dxa" w:w="262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Part V.B</w:t>
            </w:r>
          </w:p>
        </w:tc>
      </w:tr>
      <w:tr>
        <w:trPr>
          <w:cantSplit/>
          <w:tblHeader w:val="false"/>
        </w:trPr>
        <w:tc>
          <w:tcPr>
            <w:tcW w:type="dxa" w:w="112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RFE-17</w:t>
            </w:r>
          </w:p>
        </w:tc>
        <w:tc>
          <w:tcPr>
            <w:tcW w:type="dxa" w:w="561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Executive Order 14239, Achieving Efficiency Through State and Local Preparedness (March 18, 2025)</w:t>
            </w:r>
          </w:p>
        </w:tc>
        <w:tc>
          <w:tcPr>
            <w:tcW w:type="dxa" w:w="262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Part V.B</w:t>
            </w:r>
          </w:p>
        </w:tc>
      </w:tr>
      <w:tr>
        <w:trPr>
          <w:cantSplit/>
          <w:tblHeader w:val="false"/>
        </w:trPr>
        <w:tc>
          <w:tcPr>
            <w:tcW w:type="dxa" w:w="112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RFE-18</w:t>
            </w:r>
          </w:p>
        </w:tc>
        <w:tc>
          <w:tcPr>
            <w:tcW w:type="dxa" w:w="561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U.S. Department of Health and Human Services, 405(d) Program, Health Industry Cybersecurity Practices: Managing Threats and Protecting Patients (2023 edition), with Technical Volume 1: Cybersecurity Practices for Small Healthcare Organizations, hhscyber.hhs.gov/cornerstone-hicp.html and hhscyber.hhs.gov/Documents/HICP/tech-vol1-508.pdf</w:t>
            </w:r>
          </w:p>
        </w:tc>
        <w:tc>
          <w:tcPr>
            <w:tcW w:type="dxa" w:w="262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Parts III.A, V.B</w:t>
            </w:r>
          </w:p>
        </w:tc>
      </w:tr>
      <w:tr>
        <w:trPr>
          <w:cantSplit/>
          <w:tblHeader w:val="false"/>
        </w:trPr>
        <w:tc>
          <w:tcPr>
            <w:tcW w:type="dxa" w:w="112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RFE-19</w:t>
            </w:r>
          </w:p>
        </w:tc>
        <w:tc>
          <w:tcPr>
            <w:tcW w:type="dxa" w:w="561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Cybersecurity and Infrastructure Security Agency, Cross-Sector Cybersecurity Performance Goals, cisa.gov/cross-sector-cybersecurity-performance-goals, captured October 2026</w:t>
            </w:r>
          </w:p>
        </w:tc>
        <w:tc>
          <w:tcPr>
            <w:tcW w:type="dxa" w:w="262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Parts III.A, V.B</w:t>
            </w:r>
          </w:p>
        </w:tc>
      </w:tr>
      <w:tr>
        <w:trPr>
          <w:cantSplit/>
          <w:tblHeader w:val="false"/>
        </w:trPr>
        <w:tc>
          <w:tcPr>
            <w:tcW w:type="dxa" w:w="112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RFE-20</w:t>
            </w:r>
          </w:p>
        </w:tc>
        <w:tc>
          <w:tcPr>
            <w:tcW w:type="dxa" w:w="561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National Institute of Standards and Technology, "NIST Offers 19 Ways to Build Zero Trust Architectures" (June 11, 2025), nist.gov/news-events/news/2025/06/nist-offers-19-ways-build-zero-trust-architectures</w:t>
            </w:r>
          </w:p>
        </w:tc>
        <w:tc>
          <w:tcPr>
            <w:tcW w:type="dxa" w:w="262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Part V.B</w:t>
            </w:r>
          </w:p>
        </w:tc>
      </w:tr>
      <w:tr>
        <w:trPr>
          <w:cantSplit/>
          <w:tblHeader w:val="false"/>
        </w:trPr>
        <w:tc>
          <w:tcPr>
            <w:tcW w:type="dxa" w:w="112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RFE-21</w:t>
            </w:r>
          </w:p>
        </w:tc>
        <w:tc>
          <w:tcPr>
            <w:tcW w:type="dxa" w:w="561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Preliminary Research Artifacts, Version 0.1 (October 2026): control catalogue draft, accountability record template for non-human identities, departure-review workflow and design, pre-stated attack-emulation protocol, and departure audit script with source code and a dated demonstration run on synthetic data; repository </w:t>
            </w:r>
            <w:r>
              <w:rPr>
                <w:rFonts w:ascii="Calibri" w:cs="Calibri" w:eastAsia="Calibri" w:hAnsi="Calibri"/>
                <w:color w:val="FF0000"/>
                <w:sz w:val="19"/>
                <w:szCs w:val="19"/>
              </w:rPr>
              <w:t xml:space="preserve">[repository URL]</w:t>
            </w:r>
          </w:p>
        </w:tc>
        <w:tc>
          <w:tcPr>
            <w:tcW w:type="dxa" w:w="262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Part V.B</w:t>
            </w:r>
          </w:p>
        </w:tc>
      </w:tr>
      <w:tr>
        <w:trPr>
          <w:cantSplit/>
          <w:tblHeader w:val="false"/>
        </w:trPr>
        <w:tc>
          <w:tcPr>
            <w:tcW w:type="dxa" w:w="112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RFE-22</w:t>
            </w:r>
          </w:p>
        </w:tc>
        <w:tc>
          <w:tcPr>
            <w:tcW w:type="dxa" w:w="561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Independent technical assessment of the framework by </w:t>
            </w:r>
            <w:r>
              <w:rPr>
                <w:rFonts w:ascii="Calibri" w:cs="Calibri" w:eastAsia="Calibri" w:hAnsi="Calibri"/>
                <w:color w:val="FF0000"/>
                <w:sz w:val="19"/>
                <w:szCs w:val="19"/>
              </w:rPr>
              <w:t xml:space="preserve">[name, title and institution]</w:t>
            </w:r>
            <w:r>
              <w:rPr>
                <w:rFonts w:ascii="Calibri" w:cs="Calibri" w:eastAsia="Calibri" w:hAnsi="Calibri"/>
                <w:sz w:val="19"/>
                <w:szCs w:val="19"/>
              </w:rPr>
              <w:t xml:space="preserve">, with curriculum vitae</w:t>
            </w:r>
          </w:p>
        </w:tc>
        <w:tc>
          <w:tcPr>
            <w:tcW w:type="dxa" w:w="262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Part V.B</w:t>
            </w:r>
          </w:p>
        </w:tc>
      </w:tr>
      <w:tr>
        <w:trPr>
          <w:cantSplit/>
          <w:tblHeader w:val="false"/>
        </w:trPr>
        <w:tc>
          <w:tcPr>
            <w:tcW w:type="dxa" w:w="112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RFE-23</w:t>
            </w:r>
          </w:p>
        </w:tc>
        <w:tc>
          <w:tcPr>
            <w:tcW w:type="dxa" w:w="561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Letters of interest from intended users: </w:t>
            </w:r>
            <w:r>
              <w:rPr>
                <w:rFonts w:ascii="Calibri" w:cs="Calibri" w:eastAsia="Calibri" w:hAnsi="Calibri"/>
                <w:color w:val="FF0000"/>
                <w:sz w:val="19"/>
                <w:szCs w:val="19"/>
              </w:rPr>
              <w:t xml:space="preserve">[organization names]</w:t>
            </w:r>
          </w:p>
        </w:tc>
        <w:tc>
          <w:tcPr>
            <w:tcW w:type="dxa" w:w="262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Part V.B</w:t>
            </w:r>
          </w:p>
        </w:tc>
      </w:tr>
      <w:tr>
        <w:trPr>
          <w:cantSplit/>
          <w:tblHeader w:val="false"/>
        </w:trPr>
        <w:tc>
          <w:tcPr>
            <w:tcW w:type="dxa" w:w="112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RFE-24</w:t>
            </w:r>
          </w:p>
        </w:tc>
        <w:tc>
          <w:tcPr>
            <w:tcW w:type="dxa" w:w="561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Sources for Table 19: Flex Monitoring Team, Critical Access Hospital list (July 2026), flexmonitoring.org; NCUA, Quarterly Data Summary, Second Quarter 2026, ncua.gov; FDIC, Quarterly Banking Profile, First Quarter 2026, fdic.gov; U.S. Department of Commerce, Census of Governments, Government Organization Summary Report: 2022 and 2025, census.gov</w:t>
            </w:r>
          </w:p>
        </w:tc>
        <w:tc>
          <w:tcPr>
            <w:tcW w:type="dxa" w:w="262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before="30"/>
            </w:pPr>
            <w:r>
              <w:rPr>
                <w:rFonts w:ascii="Calibri" w:cs="Calibri" w:eastAsia="Calibri" w:hAnsi="Calibri"/>
                <w:sz w:val="19"/>
                <w:szCs w:val="19"/>
              </w:rPr>
              <w:t xml:space="preserve">Part V.B</w:t>
            </w:r>
          </w:p>
        </w:tc>
      </w:tr>
    </w:tbl>
    <w:p>
      <w:pPr>
        <w:spacing w:after="80"/>
      </w:pPr>
    </w:p>
    <w:p>
      <w:r>
        <w:br w:type="page"/>
      </w:r>
    </w:p>
    <w:p>
      <w:pPr>
        <w:pStyle w:val="Heading1"/>
        <w:keepNext/>
        <w:spacing w:after="140" w:before="280"/>
      </w:pPr>
      <w:r>
        <w:rPr>
          <w:rFonts w:ascii="Calibri" w:cs="Calibri" w:eastAsia="Calibri" w:hAnsi="Calibri"/>
          <w:b/>
          <w:bCs/>
          <w:color w:val="1F3864"/>
          <w:sz w:val="26"/>
          <w:szCs w:val="26"/>
        </w:rPr>
        <w:t xml:space="preserve">Table of Legal Authorities</w:t>
      </w:r>
    </w:p>
    <w:p>
      <w:pPr>
        <w:keepNext/>
        <w:spacing w:after="60" w:before="140"/>
      </w:pPr>
      <w:r>
        <w:rPr>
          <w:rFonts w:ascii="Calibri" w:cs="Calibri" w:eastAsia="Calibri" w:hAnsi="Calibri"/>
          <w:b/>
          <w:bCs/>
          <w:i/>
          <w:iCs/>
          <w:sz w:val="22"/>
          <w:szCs w:val="22"/>
        </w:rPr>
        <w:t xml:space="preserve">Statutes and regulations</w:t>
      </w:r>
    </w:p>
    <w:p>
      <w:pPr>
        <w:pStyle w:val="ListParagraph"/>
        <w:numPr>
          <w:ilvl w:val="0"/>
          <w:numId w:val="2"/>
        </w:numPr>
        <w:spacing w:after="70" w:line="260"/>
        <w:jc w:val="both"/>
      </w:pPr>
      <w:r>
        <w:rPr>
          <w:rFonts w:ascii="Calibri" w:cs="Calibri" w:eastAsia="Calibri" w:hAnsi="Calibri"/>
          <w:sz w:val="22"/>
          <w:szCs w:val="22"/>
        </w:rPr>
        <w:t xml:space="preserve">Immigration and Nationality Act § 203(b)(2)(A) and (B)(i), 8 U.S.C. § 1153(b)(2)</w:t>
      </w:r>
    </w:p>
    <w:p>
      <w:pPr>
        <w:pStyle w:val="ListParagraph"/>
        <w:numPr>
          <w:ilvl w:val="0"/>
          <w:numId w:val="2"/>
        </w:numPr>
        <w:spacing w:after="70" w:line="260"/>
        <w:jc w:val="both"/>
      </w:pPr>
      <w:r>
        <w:rPr>
          <w:rFonts w:ascii="Calibri" w:cs="Calibri" w:eastAsia="Calibri" w:hAnsi="Calibri"/>
          <w:sz w:val="22"/>
          <w:szCs w:val="22"/>
        </w:rPr>
        <w:t xml:space="preserve">8 C.F.R. § 103.2(b)(8)(iv)</w:t>
      </w:r>
    </w:p>
    <w:p>
      <w:pPr>
        <w:pStyle w:val="ListParagraph"/>
        <w:numPr>
          <w:ilvl w:val="0"/>
          <w:numId w:val="2"/>
        </w:numPr>
        <w:spacing w:after="70" w:line="260"/>
        <w:jc w:val="both"/>
      </w:pPr>
      <w:r>
        <w:rPr>
          <w:rFonts w:ascii="Calibri" w:cs="Calibri" w:eastAsia="Calibri" w:hAnsi="Calibri"/>
          <w:sz w:val="22"/>
          <w:szCs w:val="22"/>
        </w:rPr>
        <w:t xml:space="preserve">8 C.F.R. § 103.2(b)(11)</w:t>
      </w:r>
    </w:p>
    <w:p>
      <w:pPr>
        <w:pStyle w:val="ListParagraph"/>
        <w:numPr>
          <w:ilvl w:val="0"/>
          <w:numId w:val="2"/>
        </w:numPr>
        <w:spacing w:after="70" w:line="260"/>
        <w:jc w:val="both"/>
      </w:pPr>
      <w:r>
        <w:rPr>
          <w:rFonts w:ascii="Calibri" w:cs="Calibri" w:eastAsia="Calibri" w:hAnsi="Calibri"/>
          <w:sz w:val="22"/>
          <w:szCs w:val="22"/>
        </w:rPr>
        <w:t xml:space="preserve">8 C.F.R. § 204.5(k)</w:t>
      </w:r>
    </w:p>
    <w:p>
      <w:pPr>
        <w:keepNext/>
        <w:spacing w:after="60" w:before="140"/>
      </w:pPr>
      <w:r>
        <w:rPr>
          <w:rFonts w:ascii="Calibri" w:cs="Calibri" w:eastAsia="Calibri" w:hAnsi="Calibri"/>
          <w:b/>
          <w:bCs/>
          <w:i/>
          <w:iCs/>
          <w:sz w:val="22"/>
          <w:szCs w:val="22"/>
        </w:rPr>
        <w:t xml:space="preserve">Precedent decisions</w:t>
      </w:r>
    </w:p>
    <w:p>
      <w:pPr>
        <w:pStyle w:val="ListParagraph"/>
        <w:numPr>
          <w:ilvl w:val="0"/>
          <w:numId w:val="2"/>
        </w:numPr>
        <w:spacing w:after="70" w:line="260"/>
        <w:jc w:val="both"/>
      </w:pPr>
      <w:r>
        <w:rPr>
          <w:rFonts w:ascii="Calibri" w:cs="Calibri" w:eastAsia="Calibri" w:hAnsi="Calibri"/>
          <w:i/>
          <w:iCs/>
          <w:sz w:val="22"/>
          <w:szCs w:val="22"/>
        </w:rPr>
        <w:t xml:space="preserve">Matter of Caron International</w:t>
      </w:r>
      <w:r>
        <w:rPr>
          <w:rFonts w:ascii="Calibri" w:cs="Calibri" w:eastAsia="Calibri" w:hAnsi="Calibri"/>
          <w:sz w:val="22"/>
          <w:szCs w:val="22"/>
        </w:rPr>
        <w:t xml:space="preserve">, 19 I&amp;N Dec. 791 (Comm'r 1988)</w:t>
      </w:r>
    </w:p>
    <w:p>
      <w:pPr>
        <w:pStyle w:val="ListParagraph"/>
        <w:numPr>
          <w:ilvl w:val="0"/>
          <w:numId w:val="2"/>
        </w:numPr>
        <w:spacing w:after="70" w:line="260"/>
        <w:jc w:val="both"/>
      </w:pPr>
      <w:r>
        <w:rPr>
          <w:rFonts w:ascii="Calibri" w:cs="Calibri" w:eastAsia="Calibri" w:hAnsi="Calibri"/>
          <w:i/>
          <w:iCs/>
          <w:sz w:val="22"/>
          <w:szCs w:val="22"/>
        </w:rPr>
        <w:t xml:space="preserve">Matter of Chawathe</w:t>
      </w:r>
      <w:r>
        <w:rPr>
          <w:rFonts w:ascii="Calibri" w:cs="Calibri" w:eastAsia="Calibri" w:hAnsi="Calibri"/>
          <w:sz w:val="22"/>
          <w:szCs w:val="22"/>
        </w:rPr>
        <w:t xml:space="preserve">, 25 I&amp;N Dec. 369 (AAO 2010)</w:t>
      </w:r>
    </w:p>
    <w:p>
      <w:pPr>
        <w:pStyle w:val="ListParagraph"/>
        <w:numPr>
          <w:ilvl w:val="0"/>
          <w:numId w:val="2"/>
        </w:numPr>
        <w:spacing w:after="70" w:line="260"/>
        <w:jc w:val="both"/>
      </w:pPr>
      <w:r>
        <w:rPr>
          <w:rFonts w:ascii="Calibri" w:cs="Calibri" w:eastAsia="Calibri" w:hAnsi="Calibri"/>
          <w:i/>
          <w:iCs/>
          <w:sz w:val="22"/>
          <w:szCs w:val="22"/>
        </w:rPr>
        <w:t xml:space="preserve">Matter of Dhanasar</w:t>
      </w:r>
      <w:r>
        <w:rPr>
          <w:rFonts w:ascii="Calibri" w:cs="Calibri" w:eastAsia="Calibri" w:hAnsi="Calibri"/>
          <w:sz w:val="22"/>
          <w:szCs w:val="22"/>
        </w:rPr>
        <w:t xml:space="preserve">, 26 I&amp;N Dec. 884 (AAO 2016)</w:t>
      </w:r>
    </w:p>
    <w:p>
      <w:pPr>
        <w:pStyle w:val="ListParagraph"/>
        <w:numPr>
          <w:ilvl w:val="0"/>
          <w:numId w:val="2"/>
        </w:numPr>
        <w:spacing w:after="70" w:line="260"/>
        <w:jc w:val="both"/>
      </w:pPr>
      <w:r>
        <w:rPr>
          <w:rFonts w:ascii="Calibri" w:cs="Calibri" w:eastAsia="Calibri" w:hAnsi="Calibri"/>
          <w:i/>
          <w:iCs/>
          <w:sz w:val="22"/>
          <w:szCs w:val="22"/>
        </w:rPr>
        <w:t xml:space="preserve">Matter of E-M-</w:t>
      </w:r>
      <w:r>
        <w:rPr>
          <w:rFonts w:ascii="Calibri" w:cs="Calibri" w:eastAsia="Calibri" w:hAnsi="Calibri"/>
          <w:sz w:val="22"/>
          <w:szCs w:val="22"/>
        </w:rPr>
        <w:t xml:space="preserve">, 20 I&amp;N Dec. 77 (Comm'r 1989)</w:t>
      </w:r>
    </w:p>
    <w:p>
      <w:pPr>
        <w:pStyle w:val="ListParagraph"/>
        <w:numPr>
          <w:ilvl w:val="0"/>
          <w:numId w:val="2"/>
        </w:numPr>
        <w:spacing w:after="70" w:line="260"/>
        <w:jc w:val="both"/>
      </w:pPr>
      <w:r>
        <w:rPr>
          <w:rFonts w:ascii="Calibri" w:cs="Calibri" w:eastAsia="Calibri" w:hAnsi="Calibri"/>
          <w:i/>
          <w:iCs/>
          <w:sz w:val="22"/>
          <w:szCs w:val="22"/>
        </w:rPr>
        <w:t xml:space="preserve">Matter of Izummi</w:t>
      </w:r>
      <w:r>
        <w:rPr>
          <w:rFonts w:ascii="Calibri" w:cs="Calibri" w:eastAsia="Calibri" w:hAnsi="Calibri"/>
          <w:sz w:val="22"/>
          <w:szCs w:val="22"/>
        </w:rPr>
        <w:t xml:space="preserve">, 22 I&amp;N Dec. 169 (Assoc. Comm'r 1998)</w:t>
      </w:r>
    </w:p>
    <w:p>
      <w:pPr>
        <w:keepNext/>
        <w:spacing w:after="60" w:before="140"/>
      </w:pPr>
      <w:r>
        <w:rPr>
          <w:rFonts w:ascii="Calibri" w:cs="Calibri" w:eastAsia="Calibri" w:hAnsi="Calibri"/>
          <w:b/>
          <w:bCs/>
          <w:i/>
          <w:iCs/>
          <w:sz w:val="22"/>
          <w:szCs w:val="22"/>
        </w:rPr>
        <w:t xml:space="preserve">Executive and agency materials</w:t>
      </w:r>
    </w:p>
    <w:p>
      <w:pPr>
        <w:pStyle w:val="ListParagraph"/>
        <w:numPr>
          <w:ilvl w:val="0"/>
          <w:numId w:val="2"/>
        </w:numPr>
        <w:spacing w:after="70" w:line="260"/>
        <w:jc w:val="both"/>
      </w:pPr>
      <w:r>
        <w:rPr>
          <w:rFonts w:ascii="Calibri" w:cs="Calibri" w:eastAsia="Calibri" w:hAnsi="Calibri"/>
          <w:sz w:val="22"/>
          <w:szCs w:val="22"/>
        </w:rPr>
        <w:t xml:space="preserve">Executive Order 14028, Improving the Nation's Cybersecurity, 86 Fed. Reg. 26633 (May 17, 2021)</w:t>
      </w:r>
    </w:p>
    <w:p>
      <w:pPr>
        <w:pStyle w:val="ListParagraph"/>
        <w:numPr>
          <w:ilvl w:val="0"/>
          <w:numId w:val="2"/>
        </w:numPr>
        <w:spacing w:after="70" w:line="260"/>
        <w:jc w:val="both"/>
      </w:pPr>
      <w:r>
        <w:rPr>
          <w:rFonts w:ascii="Calibri" w:cs="Calibri" w:eastAsia="Calibri" w:hAnsi="Calibri"/>
          <w:sz w:val="22"/>
          <w:szCs w:val="22"/>
        </w:rPr>
        <w:t xml:space="preserve">Executive Order 14239, Achieving Efficiency Through State and Local Preparedness (Mar. 18, 2025)</w:t>
      </w:r>
    </w:p>
    <w:p>
      <w:pPr>
        <w:pStyle w:val="ListParagraph"/>
        <w:numPr>
          <w:ilvl w:val="0"/>
          <w:numId w:val="2"/>
        </w:numPr>
        <w:spacing w:after="70" w:line="260"/>
        <w:jc w:val="both"/>
      </w:pPr>
      <w:r>
        <w:rPr>
          <w:rFonts w:ascii="Calibri" w:cs="Calibri" w:eastAsia="Calibri" w:hAnsi="Calibri"/>
          <w:sz w:val="22"/>
          <w:szCs w:val="22"/>
        </w:rPr>
        <w:t xml:space="preserve">Executive Order 14306, Sustaining Select Efforts to Strengthen the Nation's Cybersecurity, 90 Fed. Reg. 24723 (June 11, 2025)</w:t>
      </w:r>
    </w:p>
    <w:p>
      <w:pPr>
        <w:pStyle w:val="ListParagraph"/>
        <w:numPr>
          <w:ilvl w:val="0"/>
          <w:numId w:val="2"/>
        </w:numPr>
        <w:spacing w:after="70" w:line="260"/>
        <w:jc w:val="both"/>
      </w:pPr>
      <w:r>
        <w:rPr>
          <w:rFonts w:ascii="Calibri" w:cs="Calibri" w:eastAsia="Calibri" w:hAnsi="Calibri"/>
          <w:sz w:val="22"/>
          <w:szCs w:val="22"/>
        </w:rPr>
        <w:t xml:space="preserve">The White House, Winning the Race: America's AI Action Plan (July 2025)</w:t>
      </w:r>
    </w:p>
    <w:p>
      <w:pPr>
        <w:pStyle w:val="ListParagraph"/>
        <w:numPr>
          <w:ilvl w:val="0"/>
          <w:numId w:val="2"/>
        </w:numPr>
        <w:spacing w:after="70" w:line="260"/>
        <w:jc w:val="both"/>
      </w:pPr>
      <w:r>
        <w:rPr>
          <w:rFonts w:ascii="Calibri" w:cs="Calibri" w:eastAsia="Calibri" w:hAnsi="Calibri"/>
          <w:sz w:val="22"/>
          <w:szCs w:val="22"/>
        </w:rPr>
        <w:t xml:space="preserve">The White House, President Trump's Cyber Strategy for America (Mar. 2026)</w:t>
      </w:r>
    </w:p>
    <w:p>
      <w:pPr>
        <w:pStyle w:val="ListParagraph"/>
        <w:numPr>
          <w:ilvl w:val="0"/>
          <w:numId w:val="2"/>
        </w:numPr>
        <w:spacing w:after="70" w:line="260"/>
        <w:jc w:val="both"/>
      </w:pPr>
      <w:r>
        <w:rPr>
          <w:rFonts w:ascii="Calibri" w:cs="Calibri" w:eastAsia="Calibri" w:hAnsi="Calibri"/>
          <w:sz w:val="22"/>
          <w:szCs w:val="22"/>
        </w:rPr>
        <w:t xml:space="preserve">Office of Management and Budget, Memorandum M-22-09 (Jan. 26, 2022)</w:t>
      </w:r>
    </w:p>
    <w:p>
      <w:pPr>
        <w:pStyle w:val="ListParagraph"/>
        <w:numPr>
          <w:ilvl w:val="0"/>
          <w:numId w:val="2"/>
        </w:numPr>
        <w:spacing w:after="70" w:line="260"/>
        <w:jc w:val="both"/>
      </w:pPr>
      <w:r>
        <w:rPr>
          <w:rFonts w:ascii="Calibri" w:cs="Calibri" w:eastAsia="Calibri" w:hAnsi="Calibri"/>
          <w:sz w:val="22"/>
          <w:szCs w:val="22"/>
        </w:rPr>
        <w:t xml:space="preserve">HHS, HIPAA Security Rule To Strengthen the Cybersecurity of Electronic Protected Health Information, Notice of Proposed Rulemaking, 90 Fed. Reg. 898 (Jan. 6, 2025)</w:t>
      </w:r>
    </w:p>
    <w:p>
      <w:pPr>
        <w:pStyle w:val="ListParagraph"/>
        <w:numPr>
          <w:ilvl w:val="0"/>
          <w:numId w:val="2"/>
        </w:numPr>
        <w:spacing w:after="70" w:line="260"/>
        <w:jc w:val="both"/>
      </w:pPr>
      <w:r>
        <w:rPr>
          <w:rFonts w:ascii="Calibri" w:cs="Calibri" w:eastAsia="Calibri" w:hAnsi="Calibri"/>
          <w:sz w:val="22"/>
          <w:szCs w:val="22"/>
        </w:rPr>
        <w:t xml:space="preserve">HHS, Healthcare and Public Health Sector Cybersecurity Performance Goals (Jan. 24, 2024)</w:t>
      </w:r>
    </w:p>
    <w:p>
      <w:pPr>
        <w:pStyle w:val="ListParagraph"/>
        <w:numPr>
          <w:ilvl w:val="0"/>
          <w:numId w:val="2"/>
        </w:numPr>
        <w:spacing w:after="70" w:line="260"/>
        <w:jc w:val="both"/>
      </w:pPr>
      <w:r>
        <w:rPr>
          <w:rFonts w:ascii="Calibri" w:cs="Calibri" w:eastAsia="Calibri" w:hAnsi="Calibri"/>
          <w:sz w:val="22"/>
          <w:szCs w:val="22"/>
        </w:rPr>
        <w:t xml:space="preserve">NIST SP 1800-35, Implementing a Zero Trust Architecture (June 2025)</w:t>
      </w:r>
    </w:p>
    <w:p>
      <w:pPr>
        <w:pStyle w:val="ListParagraph"/>
        <w:numPr>
          <w:ilvl w:val="0"/>
          <w:numId w:val="2"/>
        </w:numPr>
        <w:spacing w:after="70" w:line="260"/>
        <w:jc w:val="both"/>
      </w:pPr>
      <w:r>
        <w:rPr>
          <w:rFonts w:ascii="Calibri" w:cs="Calibri" w:eastAsia="Calibri" w:hAnsi="Calibri"/>
          <w:sz w:val="22"/>
          <w:szCs w:val="22"/>
        </w:rPr>
        <w:t xml:space="preserve">CISA, Zero Trust Maturity Model, Version 2.0 (Apr. 2023)</w:t>
      </w:r>
    </w:p>
    <w:p>
      <w:pPr>
        <w:pStyle w:val="ListParagraph"/>
        <w:numPr>
          <w:ilvl w:val="0"/>
          <w:numId w:val="2"/>
        </w:numPr>
        <w:spacing w:after="70" w:line="260"/>
        <w:jc w:val="both"/>
      </w:pPr>
      <w:r>
        <w:rPr>
          <w:rFonts w:ascii="Calibri" w:cs="Calibri" w:eastAsia="Calibri" w:hAnsi="Calibri"/>
          <w:sz w:val="22"/>
          <w:szCs w:val="22"/>
        </w:rPr>
        <w:t xml:space="preserve">CISA, Cross-Sector Cybersecurity Performance Goals</w:t>
      </w:r>
    </w:p>
    <w:p>
      <w:pPr>
        <w:pStyle w:val="ListParagraph"/>
        <w:numPr>
          <w:ilvl w:val="0"/>
          <w:numId w:val="2"/>
        </w:numPr>
        <w:spacing w:after="70" w:line="260"/>
        <w:jc w:val="both"/>
      </w:pPr>
      <w:r>
        <w:rPr>
          <w:rFonts w:ascii="Calibri" w:cs="Calibri" w:eastAsia="Calibri" w:hAnsi="Calibri"/>
          <w:sz w:val="22"/>
          <w:szCs w:val="22"/>
        </w:rPr>
        <w:t xml:space="preserve">HHS 405(d) Program, Health Industry Cybersecurity Practices (2023 ed.) and Technical Volume 1: Cybersecurity Practices for Small Healthcare Organizations</w:t>
      </w:r>
    </w:p>
    <w:sectPr>
      <w:footerReference w:type="default" r:id="rId7"/>
      <w:pgSz w:w="12240" w:h="15840" w:orient="portrait"/>
      <w:pgMar w:top="144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7"/>
        <w:szCs w:val="17"/>
      </w:rPr>
      <w:t xml:space="preserve">Alabi, IOE0937870789, Response to Request for Evidence    |    Page </w:t>
    </w:r>
    <w:r>
      <w:rPr>
        <w:rFonts w:ascii="Calibri" w:cs="Calibri" w:eastAsia="Calibri" w:hAnsi="Calibri"/>
        <w:sz w:val="17"/>
        <w:szCs w:val="17"/>
      </w:rPr>
      <w:fldChar w:fldCharType="begin"/>
      <w:instrText xml:space="preserve">PAGE</w:instrText>
      <w:fldChar w:fldCharType="separate"/>
      <w:fldChar w:fldCharType="end"/>
    </w:r>
    <w:r>
      <w:rPr>
        <w:rFonts w:ascii="Calibri" w:cs="Calibri" w:eastAsia="Calibri" w:hAnsi="Calibri"/>
        <w:sz w:val="17"/>
        <w:szCs w:val="17"/>
      </w:rPr>
      <w:t xml:space="preserve"> of </w:t>
    </w:r>
    <w:r>
      <w:rPr>
        <w:rFonts w:ascii="Calibri" w:cs="Calibri" w:eastAsia="Calibri" w:hAnsi="Calibri"/>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outlineLvl w:val="0"/>
    </w:pPr>
    <w:rPr>
      <w:rFonts w:ascii="Calibri" w:cs="Calibri" w:eastAsia="Calibri" w:hAnsi="Calibri"/>
      <w:b/>
      <w:bCs/>
      <w:color w:val="1F3864"/>
      <w:sz w:val="26"/>
      <w:szCs w:val="26"/>
    </w:rPr>
  </w:style>
  <w:style w:type="paragraph" w:styleId="Heading2">
    <w:name w:val="Heading 2"/>
    <w:basedOn w:val="Normal"/>
    <w:next w:val="Normal"/>
    <w:pPr>
      <w:outlineLvl w:val="1"/>
    </w:pPr>
    <w:rPr>
      <w:rFonts w:ascii="Calibri" w:cs="Calibri" w:eastAsia="Calibri" w:hAnsi="Calibri"/>
      <w:b/>
      <w:bCs/>
      <w:color w:val="1F386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b52854ca55c033eb3bee8c22e8b7db1223f122ff.png"/><Relationship Id="rId9" Type="http://schemas.openxmlformats.org/officeDocument/2006/relationships/image" Target="media/672efbb52505245baf5675bf2a83af3fa50a8064.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2026-10-10T21:09:36.077Z</dcterms:created>
  <dcterms:modified xsi:type="dcterms:W3CDTF">2026-10-10T21:09:36.079Z</dcterms:modified>
</cp:coreProperties>
</file>

<file path=docProps/custom.xml><?xml version="1.0" encoding="utf-8"?>
<Properties xmlns="http://schemas.openxmlformats.org/officeDocument/2006/custom-properties" xmlns:vt="http://schemas.openxmlformats.org/officeDocument/2006/docPropsVTypes"/>
</file>