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LTVIP2025TMID32175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Citizen AI -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Real-Time Conversational AI Assistant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Provide AI-driven responses to citizen inquiries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Enable real-time interaction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Allow citizens to report issues 24/7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Citizen Sentiment Analysis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Analyze text input for public sentiment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Classify sentiment as Positive, Neutral, or Negative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Identify areas of public satisfaction or concern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Dynamic Dashboard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Visualize overall citizen sentiment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Track interaction trends over time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Display aggregated government service ratings or reported issues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platform provides a seamless and efficient conversational experience for citizens, with an easy-to-monitor dashboard for officials. Interactions are designed to be smarter, faster, and more accessible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ensure the secure handling of citizen data and interactions, including robust authentication for user registration and login, and protection of sensitive information exchanged through the platform.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provides real-time, AI-driven responses and is available 24/7 for citizen inquiries and support.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platform is designed for real-time operation, immediately sending user input to the AI model and generating responses almost instantly, ensuring fast and efficient interactions.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The Citizen AI platform is available around the clock (24/7) to provide continuous service for citizen inquiries and support.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The platform is built to handle a growing number of citizens and government interactions, capable of expanding its capacity to meet increasing demands as it revolutionizes public engagement.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2TRZ4qJbZEkfn6AihyZS+u1/g==">CgMxLjA4AHIhMU1uSTh1ZUN0OVU5OE9VdlRaUTRwekVxVjI2eXlKeFQ1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