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 / المقدمة</w:t>
      </w:r>
    </w:p>
    <w:p>
      <w:r>
        <w:t>This policy protects all information assets of the ministry. تحمي هذه السياسة جميع أصول المعلومات في الوزارة.</w:t>
      </w:r>
    </w:p>
    <w:p>
      <w:pPr>
        <w:pStyle w:val="Heading2"/>
      </w:pPr>
      <w:r>
        <w:t>Document Control / ضبط الوثيقة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 / الإصدار</w:t>
            </w:r>
          </w:p>
        </w:tc>
        <w:tc>
          <w:tcPr>
            <w:tcW w:type="dxa" w:w="2160"/>
          </w:tcPr>
          <w:p>
            <w:r>
              <w:t>Date / التاريخ</w:t>
            </w:r>
          </w:p>
        </w:tc>
        <w:tc>
          <w:tcPr>
            <w:tcW w:type="dxa" w:w="2160"/>
          </w:tcPr>
          <w:p>
            <w:r>
              <w:t>Status / الحالة</w:t>
            </w:r>
          </w:p>
        </w:tc>
        <w:tc>
          <w:tcPr>
            <w:tcW w:type="dxa" w:w="2160"/>
          </w:tcPr>
          <w:p>
            <w:r>
              <w:t>Author / المعد</w:t>
            </w:r>
          </w:p>
        </w:tc>
      </w:tr>
      <w:tr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14-03-2024</w:t>
            </w:r>
          </w:p>
        </w:tc>
        <w:tc>
          <w:tcPr>
            <w:tcW w:type="dxa" w:w="2160"/>
          </w:tcPr>
          <w:p>
            <w:r>
              <w:t>Draft / مسودة</w:t>
            </w:r>
          </w:p>
        </w:tc>
        <w:tc>
          <w:tcPr>
            <w:tcW w:type="dxa" w:w="2160"/>
          </w:tcPr>
          <w:p>
            <w:r>
              <w:t>ISM Team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08-05-2024</w:t>
            </w:r>
          </w:p>
        </w:tc>
        <w:tc>
          <w:tcPr>
            <w:tcW w:type="dxa" w:w="2160"/>
          </w:tcPr>
          <w:p>
            <w:r>
              <w:t>Reviewed / روجعت</w:t>
            </w:r>
          </w:p>
        </w:tc>
        <w:tc>
          <w:tcPr>
            <w:tcW w:type="dxa" w:w="2160"/>
          </w:tcPr>
          <w:p>
            <w:r>
              <w:t>ISM Team</w:t>
            </w:r>
          </w:p>
        </w:tc>
      </w:tr>
      <w:tr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01-04-2025</w:t>
            </w:r>
          </w:p>
        </w:tc>
        <w:tc>
          <w:tcPr>
            <w:tcW w:type="dxa" w:w="2160"/>
          </w:tcPr>
          <w:p>
            <w:r>
              <w:t>Approved / معتمدة</w:t>
            </w:r>
          </w:p>
        </w:tc>
        <w:tc>
          <w:tcPr>
            <w:tcW w:type="dxa" w:w="2160"/>
          </w:tcPr>
          <w:p>
            <w:r>
              <w:t>CISO</w:t>
            </w:r>
          </w:p>
        </w:tc>
      </w:tr>
    </w:tbl>
    <w:p>
      <w:pPr>
        <w:pStyle w:val="Heading1"/>
      </w:pPr>
      <w:r>
        <w:t>Scope / النطاق</w:t>
      </w:r>
    </w:p>
    <w:p>
      <w:r>
        <w:t>The policy applies to the following groups: تنطبق السياسة على الفئات التالية:</w:t>
      </w:r>
    </w:p>
    <w:p>
      <w:pPr>
        <w:pStyle w:val="ListBullet"/>
      </w:pPr>
      <w:r>
        <w:t>All employees / جميع الموظفين</w:t>
      </w:r>
    </w:p>
    <w:p>
      <w:pPr>
        <w:pStyle w:val="ListBullet"/>
      </w:pPr>
      <w:r>
        <w:t>Contractors / المتعاقدون</w:t>
      </w:r>
    </w:p>
    <w:p>
      <w:pPr>
        <w:pStyle w:val="ListBullet"/>
      </w:pPr>
      <w:r>
        <w:t>Visitors / الزوار</w:t>
      </w:r>
    </w:p>
    <w:p>
      <w:pPr>
        <w:pStyle w:val="Heading1"/>
      </w:pPr>
      <w:r>
        <w:t>Compliance Metrics / مؤشرات الامتثال</w:t>
      </w:r>
    </w:p>
    <w:p>
      <w:r>
        <w:t>Security awareness training completion reached 87% this year. Phishing simulation failure rate dropped 14%. The ministry manages 1,450 user accounts.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Department / الإدارة</w:t>
            </w:r>
          </w:p>
        </w:tc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</w:tr>
      <w:tr>
        <w:tc>
          <w:tcPr>
            <w:tcW w:type="dxa" w:w="2880"/>
          </w:tcPr>
          <w:p>
            <w:r>
              <w:t>IT / تقنية المعلومات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97</w:t>
            </w:r>
          </w:p>
        </w:tc>
      </w:tr>
      <w:tr>
        <w:tc>
          <w:tcPr>
            <w:tcW w:type="dxa" w:w="2880"/>
          </w:tcPr>
          <w:p>
            <w:r>
              <w:t>HR / الموارد البشرية</w:t>
            </w:r>
          </w:p>
        </w:tc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88</w:t>
            </w:r>
          </w:p>
        </w:tc>
      </w:tr>
      <w:tr>
        <w:tc>
          <w:tcPr>
            <w:tcW w:type="dxa" w:w="2880"/>
          </w:tcPr>
          <w:p>
            <w:r>
              <w:t>Finance / المالية</w:t>
            </w:r>
          </w:p>
        </w:tc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Security Policy / سياسة أمن المعلومات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