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1F3864"/>
          <w:sz w:val="32"/>
          <w:szCs w:val="32"/>
        </w:rPr>
        <w:t xml:space="preserve">Online Retail Performance</w:t>
      </w:r>
    </w:p>
    <w:p>
      <w:pPr>
        <w:spacing w:after="20"/>
      </w:pPr>
      <w:r>
        <w:rPr>
          <w:color w:val="1F3864"/>
          <w:sz w:val="19"/>
          <w:szCs w:val="19"/>
        </w:rPr>
        <w:t xml:space="preserve">Insights &amp; Recommendations for the Head of Sales</w:t>
      </w:r>
    </w:p>
    <w:p>
      <w:pPr>
        <w:spacing w:after="160"/>
      </w:pPr>
      <w:r>
        <w:rPr>
          <w:color w:val="595959"/>
          <w:sz w:val="16"/>
          <w:szCs w:val="16"/>
        </w:rPr>
        <w:t xml:space="preserve">December 2009 – December 2011  |  Prepared by Oluwapelumi, Data Analyst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FFFFFF" w:sz="2"/>
              <w:left w:val="single" w:color="FFFFFF" w:sz="2"/>
              <w:bottom w:val="single" w:color="FFFFFF" w:sz="2"/>
              <w:right w:val="single" w:color="FFFFFF" w:sz="2"/>
            </w:tcBorders>
            <w:shd w:fill="1F3864" w:val="clear"/>
            <w:tcMar>
              <w:top w:type="dxa" w:w="100"/>
              <w:left w:type="dxa" w:w="70"/>
              <w:bottom w:type="dxa" w:w="100"/>
              <w:right w:type="dxa" w:w="70"/>
            </w:tcMar>
          </w:tcPr>
          <w:p>
            <w:pPr>
              <w:spacing w:after="40"/>
              <w:jc w:val="center"/>
            </w:pPr>
            <w:r>
              <w:rPr>
                <w:b/>
                <w:bCs/>
                <w:color w:val="FFFFFF"/>
                <w:sz w:val="24"/>
                <w:szCs w:val="24"/>
              </w:rPr>
              <w:t xml:space="preserve">£19.65M</w:t>
            </w:r>
          </w:p>
          <w:p>
            <w:pPr>
              <w:jc w:val="center"/>
            </w:pPr>
            <w:r>
              <w:rPr>
                <w:color w:val="C9D6ED"/>
                <w:sz w:val="13"/>
                <w:szCs w:val="13"/>
              </w:rPr>
              <w:t xml:space="preserve">Total revenue</w:t>
            </w:r>
          </w:p>
        </w:tc>
        <w:tc>
          <w:tcPr>
            <w:tcW w:type="pct" w:w="20%"/>
            <w:tcBorders>
              <w:top w:val="single" w:color="FFFFFF" w:sz="2"/>
              <w:left w:val="single" w:color="FFFFFF" w:sz="2"/>
              <w:bottom w:val="single" w:color="FFFFFF" w:sz="2"/>
              <w:right w:val="single" w:color="FFFFFF" w:sz="2"/>
            </w:tcBorders>
            <w:shd w:fill="1F3864" w:val="clear"/>
            <w:tcMar>
              <w:top w:type="dxa" w:w="100"/>
              <w:left w:type="dxa" w:w="70"/>
              <w:bottom w:type="dxa" w:w="100"/>
              <w:right w:type="dxa" w:w="70"/>
            </w:tcMar>
          </w:tcPr>
          <w:p>
            <w:pPr>
              <w:spacing w:after="40"/>
              <w:jc w:val="center"/>
            </w:pPr>
            <w:r>
              <w:rPr>
                <w:b/>
                <w:bCs/>
                <w:color w:val="FFFFFF"/>
                <w:sz w:val="24"/>
                <w:szCs w:val="24"/>
              </w:rPr>
              <w:t xml:space="preserve">39,555</w:t>
            </w:r>
          </w:p>
          <w:p>
            <w:pPr>
              <w:jc w:val="center"/>
            </w:pPr>
            <w:r>
              <w:rPr>
                <w:color w:val="C9D6ED"/>
                <w:sz w:val="13"/>
                <w:szCs w:val="13"/>
              </w:rPr>
              <w:t xml:space="preserve">Total orders</w:t>
            </w:r>
          </w:p>
        </w:tc>
        <w:tc>
          <w:tcPr>
            <w:tcW w:type="pct" w:w="20%"/>
            <w:tcBorders>
              <w:top w:val="single" w:color="FFFFFF" w:sz="2"/>
              <w:left w:val="single" w:color="FFFFFF" w:sz="2"/>
              <w:bottom w:val="single" w:color="FFFFFF" w:sz="2"/>
              <w:right w:val="single" w:color="FFFFFF" w:sz="2"/>
            </w:tcBorders>
            <w:shd w:fill="1F3864" w:val="clear"/>
            <w:tcMar>
              <w:top w:type="dxa" w:w="100"/>
              <w:left w:type="dxa" w:w="70"/>
              <w:bottom w:type="dxa" w:w="100"/>
              <w:right w:type="dxa" w:w="70"/>
            </w:tcMar>
          </w:tcPr>
          <w:p>
            <w:pPr>
              <w:spacing w:after="40"/>
              <w:jc w:val="center"/>
            </w:pPr>
            <w:r>
              <w:rPr>
                <w:b/>
                <w:bCs/>
                <w:color w:val="FFFFFF"/>
                <w:sz w:val="24"/>
                <w:szCs w:val="24"/>
              </w:rPr>
              <w:t xml:space="preserve">£496.86</w:t>
            </w:r>
          </w:p>
          <w:p>
            <w:pPr>
              <w:jc w:val="center"/>
            </w:pPr>
            <w:r>
              <w:rPr>
                <w:color w:val="C9D6ED"/>
                <w:sz w:val="13"/>
                <w:szCs w:val="13"/>
              </w:rPr>
              <w:t xml:space="preserve">Avg order value</w:t>
            </w:r>
          </w:p>
        </w:tc>
        <w:tc>
          <w:tcPr>
            <w:tcW w:type="pct" w:w="20%"/>
            <w:tcBorders>
              <w:top w:val="single" w:color="FFFFFF" w:sz="2"/>
              <w:left w:val="single" w:color="FFFFFF" w:sz="2"/>
              <w:bottom w:val="single" w:color="FFFFFF" w:sz="2"/>
              <w:right w:val="single" w:color="FFFFFF" w:sz="2"/>
            </w:tcBorders>
            <w:shd w:fill="1F3864" w:val="clear"/>
            <w:tcMar>
              <w:top w:type="dxa" w:w="100"/>
              <w:left w:type="dxa" w:w="70"/>
              <w:bottom w:type="dxa" w:w="100"/>
              <w:right w:type="dxa" w:w="70"/>
            </w:tcMar>
          </w:tcPr>
          <w:p>
            <w:pPr>
              <w:spacing w:after="40"/>
              <w:jc w:val="center"/>
            </w:pPr>
            <w:r>
              <w:rPr>
                <w:b/>
                <w:bCs/>
                <w:color w:val="FFFFFF"/>
                <w:sz w:val="24"/>
                <w:szCs w:val="24"/>
              </w:rPr>
              <w:t xml:space="preserve">5,861</w:t>
            </w:r>
          </w:p>
          <w:p>
            <w:pPr>
              <w:jc w:val="center"/>
            </w:pPr>
            <w:r>
              <w:rPr>
                <w:color w:val="C9D6ED"/>
                <w:sz w:val="13"/>
                <w:szCs w:val="13"/>
              </w:rPr>
              <w:t xml:space="preserve">Unique customers</w:t>
            </w:r>
          </w:p>
        </w:tc>
        <w:tc>
          <w:tcPr>
            <w:tcW w:type="pct" w:w="20%"/>
            <w:tcBorders>
              <w:top w:val="single" w:color="FFFFFF" w:sz="2"/>
              <w:left w:val="single" w:color="FFFFFF" w:sz="2"/>
              <w:bottom w:val="single" w:color="FFFFFF" w:sz="2"/>
              <w:right w:val="single" w:color="FFFFFF" w:sz="2"/>
            </w:tcBorders>
            <w:shd w:fill="1F3864" w:val="clear"/>
            <w:tcMar>
              <w:top w:type="dxa" w:w="100"/>
              <w:left w:type="dxa" w:w="70"/>
              <w:bottom w:type="dxa" w:w="100"/>
              <w:right w:type="dxa" w:w="70"/>
            </w:tcMar>
          </w:tcPr>
          <w:p>
            <w:pPr>
              <w:spacing w:after="40"/>
              <w:jc w:val="center"/>
            </w:pPr>
            <w:r>
              <w:rPr>
                <w:b/>
                <w:bCs/>
                <w:color w:val="FFFFFF"/>
                <w:sz w:val="24"/>
                <w:szCs w:val="24"/>
              </w:rPr>
              <w:t xml:space="preserve">72.3%</w:t>
            </w:r>
          </w:p>
          <w:p>
            <w:pPr>
              <w:jc w:val="center"/>
            </w:pPr>
            <w:r>
              <w:rPr>
                <w:color w:val="C9D6ED"/>
                <w:sz w:val="13"/>
                <w:szCs w:val="13"/>
              </w:rPr>
              <w:t xml:space="preserve">Repeat customer rate</w:t>
            </w:r>
          </w:p>
        </w:tc>
      </w:tr>
    </w:tbl>
    <w:p>
      <w:pPr>
        <w:spacing w:after="180" w:before="160"/>
      </w:pPr>
      <w:r>
        <w:rPr>
          <w:i/>
          <w:iCs/>
          <w:color w:val="595959"/>
          <w:sz w:val="18"/>
          <w:szCs w:val="18"/>
        </w:rPr>
        <w:t xml:space="preserve">Two years of transaction data point to the same conclusion: this is a retention-driven, seasonally concentrated business with real, largely untapped room to grow beyond the UK. The three findings below explain why, and what to do about each one. Supporting charts for every figure referenced here are available in the accompanying Power BI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FFFFF" w:sz="2"/>
              <w:left w:val="single" w:color="FFFFFF" w:sz="2"/>
              <w:bottom w:val="single" w:color="FFFFFF" w:sz="2"/>
              <w:right w:val="single" w:color="FFFFFF" w:sz="2"/>
            </w:tcBorders>
            <w:shd w:fill="E9EEF7" w:val="clear"/>
            <w:tcMar>
              <w:top w:type="dxa" w:w="140"/>
              <w:left w:type="dxa" w:w="200"/>
              <w:bottom w:type="dxa" w:w="140"/>
              <w:right w:type="dxa" w:w="200"/>
            </w:tcMar>
          </w:tcPr>
          <w:p>
            <w:pPr>
              <w:spacing w:after="70"/>
            </w:pPr>
            <w:r>
              <w:rPr>
                <w:b/>
                <w:bCs/>
                <w:color w:val="1F3864"/>
                <w:sz w:val="19"/>
                <w:szCs w:val="19"/>
              </w:rPr>
              <w:t xml:space="preserve">1.  Revenue is highly seasonal, and planning treats it as flat</w:t>
            </w:r>
          </w:p>
          <w:p>
            <w:pPr>
              <w:spacing w:after="60"/>
            </w:pPr>
            <w:r>
              <w:rPr>
                <w:b/>
                <w:bCs/>
                <w:color w:val="1F3864"/>
                <w:sz w:val="18"/>
                <w:szCs w:val="18"/>
              </w:rPr>
              <w:t xml:space="preserve">Problem   </w:t>
            </w:r>
            <w:r>
              <w:rPr>
                <w:sz w:val="19"/>
                <w:szCs w:val="19"/>
              </w:rPr>
              <w:t xml:space="preserve">Inventory, staffing, and cash flow appear to be planned against a roughly even monthly baseline.</w:t>
            </w:r>
          </w:p>
          <w:p>
            <w:pPr>
              <w:spacing w:after="60"/>
            </w:pPr>
            <w:r>
              <w:rPr>
                <w:b/>
                <w:bCs/>
                <w:color w:val="1F3864"/>
                <w:sz w:val="18"/>
                <w:szCs w:val="18"/>
              </w:rPr>
              <w:t xml:space="preserve">Insight   </w:t>
            </w:r>
            <w:r>
              <w:rPr>
                <w:sz w:val="19"/>
                <w:szCs w:val="19"/>
              </w:rPr>
              <w:t xml:space="preserve">Revenue nearly doubles every October–November versus the summer months, in both years of data, then tapers off through December. This is a predictable, repeating pattern — not a one-off spike.</w:t>
            </w:r>
          </w:p>
          <w:p>
            <w:pPr>
              <w:spacing w:after="35"/>
            </w:pPr>
            <w:r>
              <w:rPr>
                <w:b/>
                <w:bCs/>
                <w:color w:val="1F3864"/>
                <w:sz w:val="18"/>
                <w:szCs w:val="18"/>
              </w:rPr>
              <w:t xml:space="preserve">Recommendations   </w:t>
            </w:r>
            <w:r>
              <w:rPr>
                <w:sz w:val="19"/>
                <w:szCs w:val="19"/>
              </w:rPr>
              <w:t xml:space="preserve">Increase stock and warehouse capacity starting in September, ahead of the October–November surge, rather than reacting once order volume has already climbed.</w:t>
            </w:r>
          </w:p>
          <w:p>
            <w:pPr>
              <w:spacing w:after="0"/>
            </w:pPr>
            <w:r>
              <w:rPr>
                <w:sz w:val="19"/>
                <w:szCs w:val="19"/>
              </w:rPr>
              <w:t xml:space="preserve">   </w:t>
            </w:r>
            <w:r>
              <w:rPr>
                <w:sz w:val="19"/>
                <w:szCs w:val="19"/>
              </w:rPr>
              <w:t xml:space="preserve">Bring in temporary or flexible staffing for Q4 fulfillment, and plan cash flow around the November peak specifically so working capital isn't tied up right when demand is highest.</w:t>
            </w:r>
          </w:p>
        </w:tc>
      </w:tr>
    </w:tbl>
    <w:p>
      <w:pPr>
        <w:spacing w:before="9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FFFFF" w:sz="2"/>
              <w:left w:val="single" w:color="FFFFFF" w:sz="2"/>
              <w:bottom w:val="single" w:color="FFFFFF" w:sz="2"/>
              <w:right w:val="single" w:color="FFFFFF" w:sz="2"/>
            </w:tcBorders>
            <w:shd w:fill="E9EEF7" w:val="clear"/>
            <w:tcMar>
              <w:top w:type="dxa" w:w="140"/>
              <w:left w:type="dxa" w:w="200"/>
              <w:bottom w:type="dxa" w:w="140"/>
              <w:right w:type="dxa" w:w="200"/>
            </w:tcMar>
          </w:tcPr>
          <w:p>
            <w:pPr>
              <w:spacing w:after="70"/>
            </w:pPr>
            <w:r>
              <w:rPr>
                <w:b/>
                <w:bCs/>
                <w:color w:val="1F3864"/>
                <w:sz w:val="19"/>
                <w:szCs w:val="19"/>
              </w:rPr>
              <w:t xml:space="preserve">2.  Retention is doing the heavy lifting, but isn't treated as a priority</w:t>
            </w:r>
          </w:p>
          <w:p>
            <w:pPr>
              <w:spacing w:after="60"/>
            </w:pPr>
            <w:r>
              <w:rPr>
                <w:b/>
                <w:bCs/>
                <w:color w:val="1F3864"/>
                <w:sz w:val="18"/>
                <w:szCs w:val="18"/>
              </w:rPr>
              <w:t xml:space="preserve">Problem   </w:t>
            </w:r>
            <w:r>
              <w:rPr>
                <w:sz w:val="19"/>
                <w:szCs w:val="19"/>
              </w:rPr>
              <w:t xml:space="preserve">It's unclear whether current marketing and account management effort is weighted toward acquiring new customers or retaining existing ones.</w:t>
            </w:r>
          </w:p>
          <w:p>
            <w:pPr>
              <w:spacing w:after="60"/>
            </w:pPr>
            <w:r>
              <w:rPr>
                <w:b/>
                <w:bCs/>
                <w:color w:val="1F3864"/>
                <w:sz w:val="18"/>
                <w:szCs w:val="18"/>
              </w:rPr>
              <w:t xml:space="preserve">Insight   </w:t>
            </w:r>
            <w:r>
              <w:rPr>
                <w:sz w:val="19"/>
                <w:szCs w:val="19"/>
              </w:rPr>
              <w:t xml:space="preserve">72% of customers are repeat buyers, and they generate 96.7% of total revenue. A small group of large, wholesale-sized orders also carries disproportionate weight — these are high-value relationships, not incidental sales.</w:t>
            </w:r>
          </w:p>
          <w:p>
            <w:pPr>
              <w:spacing w:after="35"/>
            </w:pPr>
            <w:r>
              <w:rPr>
                <w:b/>
                <w:bCs/>
                <w:color w:val="1F3864"/>
                <w:sz w:val="18"/>
                <w:szCs w:val="18"/>
              </w:rPr>
              <w:t xml:space="preserve">Recommendations   </w:t>
            </w:r>
            <w:r>
              <w:rPr>
                <w:sz w:val="19"/>
                <w:szCs w:val="19"/>
              </w:rPr>
              <w:t xml:space="preserve">Identify the top-spending accounts and assign them dedicated account management with direct follow-up, since losing even one is a measurable revenue risk.</w:t>
            </w:r>
          </w:p>
          <w:p>
            <w:pPr>
              <w:spacing w:after="0"/>
            </w:pPr>
            <w:r>
              <w:rPr>
                <w:sz w:val="19"/>
                <w:szCs w:val="19"/>
              </w:rPr>
              <w:t xml:space="preserve">   </w:t>
            </w:r>
            <w:r>
              <w:rPr>
                <w:sz w:val="19"/>
                <w:szCs w:val="19"/>
              </w:rPr>
              <w:t xml:space="preserve">Shift a meaningful share of marketing budget from broad new-customer acquisition toward retention offers and loyalty incentives aimed at existing repeat buyers, where the return is already proven.</w:t>
            </w:r>
          </w:p>
        </w:tc>
      </w:tr>
    </w:tbl>
    <w:p>
      <w:pPr>
        <w:spacing w:before="9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FFFFF" w:sz="2"/>
              <w:left w:val="single" w:color="FFFFFF" w:sz="2"/>
              <w:bottom w:val="single" w:color="FFFFFF" w:sz="2"/>
              <w:right w:val="single" w:color="FFFFFF" w:sz="2"/>
            </w:tcBorders>
            <w:shd w:fill="E9EEF7" w:val="clear"/>
            <w:tcMar>
              <w:top w:type="dxa" w:w="140"/>
              <w:left w:type="dxa" w:w="200"/>
              <w:bottom w:type="dxa" w:w="140"/>
              <w:right w:type="dxa" w:w="200"/>
            </w:tcMar>
          </w:tcPr>
          <w:p>
            <w:pPr>
              <w:spacing w:after="70"/>
            </w:pPr>
            <w:r>
              <w:rPr>
                <w:b/>
                <w:bCs/>
                <w:color w:val="1F3864"/>
                <w:sz w:val="19"/>
                <w:szCs w:val="19"/>
              </w:rPr>
              <w:t xml:space="preserve">3.  The business depends heavily on one market</w:t>
            </w:r>
          </w:p>
          <w:p>
            <w:pPr>
              <w:spacing w:after="60"/>
            </w:pPr>
            <w:r>
              <w:rPr>
                <w:b/>
                <w:bCs/>
                <w:color w:val="1F3864"/>
                <w:sz w:val="18"/>
                <w:szCs w:val="18"/>
              </w:rPr>
              <w:t xml:space="preserve">Problem   </w:t>
            </w:r>
            <w:r>
              <w:rPr>
                <w:sz w:val="19"/>
                <w:szCs w:val="19"/>
              </w:rPr>
              <w:t xml:space="preserve">85.5% of revenue comes from the UK alone, with no other single market contributing more than 4%.</w:t>
            </w:r>
          </w:p>
          <w:p>
            <w:pPr>
              <w:spacing w:after="60"/>
            </w:pPr>
            <w:r>
              <w:rPr>
                <w:b/>
                <w:bCs/>
                <w:color w:val="1F3864"/>
                <w:sz w:val="18"/>
                <w:szCs w:val="18"/>
              </w:rPr>
              <w:t xml:space="preserve">Insight   </w:t>
            </w:r>
            <w:r>
              <w:rPr>
                <w:sz w:val="19"/>
                <w:szCs w:val="19"/>
              </w:rPr>
              <w:t xml:space="preserve">Ireland, the Netherlands, and Germany are the next-strongest markets, but each remains under 4% of revenue — meaning there's real, largely untapped demand nearby that hasn't been pursued.</w:t>
            </w:r>
          </w:p>
          <w:p>
            <w:pPr>
              <w:spacing w:after="35"/>
            </w:pPr>
            <w:r>
              <w:rPr>
                <w:b/>
                <w:bCs/>
                <w:color w:val="1F3864"/>
                <w:sz w:val="18"/>
                <w:szCs w:val="18"/>
              </w:rPr>
              <w:t xml:space="preserve">Recommendations   </w:t>
            </w:r>
            <w:r>
              <w:rPr>
                <w:sz w:val="19"/>
                <w:szCs w:val="19"/>
              </w:rPr>
              <w:t xml:space="preserve">Treat Ireland, the Netherlands, and Germany as the first targets for international growth, since they already show organic demand without any dedicated investment behind them yet.</w:t>
            </w:r>
          </w:p>
          <w:p>
            <w:pPr>
              <w:spacing w:after="0"/>
            </w:pPr>
            <w:r>
              <w:rPr>
                <w:sz w:val="19"/>
                <w:szCs w:val="19"/>
              </w:rPr>
              <w:t xml:space="preserve">   </w:t>
            </w:r>
            <w:r>
              <w:rPr>
                <w:sz w:val="19"/>
                <w:szCs w:val="19"/>
              </w:rPr>
              <w:t xml:space="preserve">Test market-specific promotions or localized shipping/payment options in these three markets before expanding further afield, to reduce dependence on the UK without overextending into unproven territory.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FFFFF" w:sz="2"/>
              <w:left w:val="single" w:color="FFFFFF" w:sz="2"/>
              <w:bottom w:val="single" w:color="FFFFFF" w:sz="2"/>
              <w:right w:val="single" w:color="FFFFFF" w:sz="2"/>
            </w:tcBorders>
            <w:shd w:fill="1F3864" w:val="clear"/>
            <w:tcMar>
              <w:top w:type="dxa" w:w="130"/>
              <w:left w:type="dxa" w:w="200"/>
              <w:bottom w:type="dxa" w:w="130"/>
              <w:right w:type="dxa" w:w="200"/>
            </w:tcMar>
          </w:tcPr>
          <w:p>
            <w:pPr>
              <w:spacing w:after="80"/>
            </w:pPr>
            <w:r>
              <w:rPr>
                <w:b/>
                <w:bCs/>
                <w:color w:val="FFFFFF"/>
                <w:sz w:val="20"/>
                <w:szCs w:val="20"/>
              </w:rPr>
              <w:t xml:space="preserve">Bottom line for Q1 planning</w:t>
            </w:r>
          </w:p>
          <w:p>
            <w:r>
              <w:rPr>
                <w:color w:val="DCE4F5"/>
                <w:sz w:val="18"/>
                <w:szCs w:val="18"/>
              </w:rPr>
              <w:t xml:space="preserve">Plan Q4 capacity now, put account management behind the top customers who already drive nearly all repeat revenue, and open a deliberate push into Ireland, the Netherlands, and Germany before a competitor does.</w:t>
            </w:r>
          </w:p>
        </w:tc>
      </w:tr>
    </w:tbl>
    <w:p>
      <w:pPr>
        <w:spacing w:after="0" w:before="140"/>
      </w:pPr>
      <w:r>
        <w:rPr>
          <w:i/>
          <w:iCs/>
          <w:color w:val="595959"/>
          <w:sz w:val="18"/>
          <w:szCs w:val="18"/>
        </w:rPr>
        <w:t xml:space="preserve">Supporting detail: cancelled transactions run at a stable 3.66% of gross revenue with no seasonal spike — not currently a concern. A small, distinct set of products shows a genuinely elevated cancellation rate once normalized by sales volume, and is worth a quality or listing review separately from the findings above.</w:t>
      </w:r>
    </w:p>
    <w:sectPr>
      <w:pgSz w:w="12240" w:h="15840" w:orient="portrait"/>
      <w:pgMar w:top="380" w:right="650" w:bottom="35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2026-08-01T04:48:16.393Z</dcterms:created>
  <dcterms:modified xsi:type="dcterms:W3CDTF">2026-08-01T04:48:16.393Z</dcterms:modified>
</cp:coreProperties>
</file>

<file path=docProps/custom.xml><?xml version="1.0" encoding="utf-8"?>
<Properties xmlns="http://schemas.openxmlformats.org/officeDocument/2006/custom-properties" xmlns:vt="http://schemas.openxmlformats.org/officeDocument/2006/docPropsVTypes"/>
</file>