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QUARTERLY DEMAND FORECAST: RECOMMENDED ACTIONS</w:t>
      </w:r>
    </w:p>
    <w:p>
      <w:pPr>
        <w:spacing w:after="200"/>
      </w:pPr>
      <w:r>
        <w:rPr>
          <w:i/>
          <w:iCs/>
          <w:color w:val="595959"/>
          <w:sz w:val="20"/>
          <w:szCs w:val="20"/>
        </w:rPr>
        <w:t xml:space="preserve">Project 4: Time Series Forecasting  |  Store Item Demand Forecasting dataset</w:t>
      </w:r>
    </w:p>
    <w:p>
      <w:pPr>
        <w:pBdr>
          <w:bottom w:val="single" w:color="BFBFBF" w:sz="6" w:space="4"/>
        </w:pBdr>
        <w:spacing w:after="200"/>
      </w:pPr>
    </w:p>
    <w:p>
      <w:pPr>
        <w:pStyle w:val="Heading1"/>
        <w:spacing w:after="150" w:before="300"/>
      </w:pPr>
      <w:r>
        <w:t xml:space="preserve">The Problem</w:t>
      </w:r>
    </w:p>
    <w:p>
      <w:pPr>
        <w:spacing w:after="160"/>
      </w:pPr>
      <w:r>
        <w:t xml:space="preserve">The inventory team needs to know how many units of key products to order for next quarter. Ordering too much ties up money in stock that sits on shelves. Ordering too little means running out and losing sales. This document answers that question for three products representing different sales volumes, using five years of daily sales history, and checks that the answer can actually be trusted before anyone acts on it.</w:t>
      </w:r>
    </w:p>
    <w:p>
      <w:pPr>
        <w:pStyle w:val="Heading1"/>
        <w:spacing w:after="150" w:before="300"/>
      </w:pPr>
      <w:r>
        <w:t xml:space="preserve">Key Insights</w:t>
      </w:r>
    </w:p>
    <w:p>
      <w:pPr>
        <w:pStyle w:val="ListParagraph"/>
        <w:numPr>
          <w:ilvl w:val="0"/>
          <w:numId w:val="2"/>
        </w:numPr>
        <w:spacing w:after="100"/>
      </w:pPr>
      <w:r>
        <w:t xml:space="preserve">Demand drops in the fourth quarter for these products. Across all three products tested, actual sales ran about 20% lower in Q4 than in Q3. This is the opposite of the holiday sales increase a generic assumption might expect, so it changes the stocking decision in the other direction.</w:t>
      </w:r>
    </w:p>
    <w:p>
      <w:pPr>
        <w:pStyle w:val="ListParagraph"/>
        <w:numPr>
          <w:ilvl w:val="0"/>
          <w:numId w:val="2"/>
        </w:numPr>
        <w:spacing w:after="100"/>
      </w:pPr>
      <w:r>
        <w:t xml:space="preserve">One forecasting method was clearly the most accurate. We compared a simple same as last year guess, an older statistical method, and a newer method called Prophet. Prophet was the most accurate for every product tested, and we ran a statistical check to confirm this was a real result and not a lucky guess.</w:t>
      </w:r>
    </w:p>
    <w:p>
      <w:pPr>
        <w:pStyle w:val="ListParagraph"/>
        <w:numPr>
          <w:ilvl w:val="0"/>
          <w:numId w:val="2"/>
        </w:numPr>
        <w:spacing w:after="100"/>
      </w:pPr>
      <w:r>
        <w:t xml:space="preserve">The older statistical method is not dependable across products. It looked good on the best-seller but was no better than a simple guess on the mid-range product. It should not be trusted on a new product without testing it first.</w:t>
      </w:r>
    </w:p>
    <w:p>
      <w:pPr>
        <w:pStyle w:val="ListParagraph"/>
        <w:numPr>
          <w:ilvl w:val="0"/>
          <w:numId w:val="2"/>
        </w:numPr>
        <w:spacing w:after="100"/>
      </w:pPr>
      <w:r>
        <w:t xml:space="preserve">Our confidence ranges were too tight. Prophet said it was 90% sure of a range, but backtesting showed it was only right about 82 to 85% of the time. We widened the ranges to match what actually happened before turning them into stocking cushions.</w:t>
      </w:r>
    </w:p>
    <w:p>
      <w:pPr>
        <w:pStyle w:val="Heading1"/>
        <w:spacing w:after="150" w:before="300"/>
      </w:pPr>
      <w:r>
        <w:t xml:space="preserve">Recommendations</w:t>
      </w:r>
    </w:p>
    <w:p>
      <w:pPr>
        <w:pStyle w:val="ListParagraph"/>
        <w:numPr>
          <w:ilvl w:val="0"/>
          <w:numId w:val="3"/>
        </w:numPr>
        <w:spacing w:after="140"/>
      </w:pPr>
      <w:r>
        <w:t xml:space="preserve">Use Prophet to forecast demand for next quarter, not the older statistical method or a simple guess. It was the most accurate for every product tested, and the improvement over guessing was confirmed to be real, not chance.</w:t>
      </w:r>
    </w:p>
    <w:p>
      <w:pPr>
        <w:pStyle w:val="ListParagraph"/>
        <w:numPr>
          <w:ilvl w:val="0"/>
          <w:numId w:val="3"/>
        </w:numPr>
        <w:spacing w:after="140"/>
      </w:pPr>
      <w:r>
        <w:t xml:space="preserve">Order less for Q4, not more. Actual demand ran about 20% below Q3 across every product tested. The table below gives the specific direction and cushion amount per product.</w:t>
      </w:r>
    </w:p>
    <w:p>
      <w:pPr>
        <w:pStyle w:val="ListParagraph"/>
        <w:numPr>
          <w:ilvl w:val="0"/>
          <w:numId w:val="3"/>
        </w:numPr>
        <w:spacing w:after="140"/>
      </w:pPr>
      <w:r>
        <w:t xml:space="preserve">Add extra cushion stock on top of the forecast, using the amounts below, because our own tests showed the model's confidence range was a bit too narrow.</w:t>
      </w:r>
    </w:p>
    <w:p>
      <w:pPr>
        <w:pStyle w:val="ListParagraph"/>
        <w:numPr>
          <w:ilvl w:val="0"/>
          <w:numId w:val="3"/>
        </w:numPr>
        <w:spacing w:after="140"/>
      </w:pPr>
      <w:r>
        <w:t xml:space="preserve">Treat this as a strong first answer, not a final one. We tested 3 products out of 500 product and store combinations, and this was checked against known past outcomes, not a live future quarter. Re-check the forecast on the most current sales data before placing a real order, and test more products before rolling this out catalog-wide.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160"/>
        <w:gridCol w:w="20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18"/>
                <w:szCs w:val="18"/>
              </w:rPr>
              <w:t xml:space="preserve">Product tier</w:t>
            </w:r>
          </w:p>
        </w:tc>
        <w:tc>
          <w:tcPr>
            <w:tcW w:type="dxa" w:w="2600"/>
            <w:shd w:fill="1F3864" w:val="clear"/>
            <w:tcMar>
              <w:top w:type="dxa" w:w="80"/>
              <w:left w:type="dxa" w:w="100"/>
              <w:bottom w:type="dxa" w:w="80"/>
              <w:right w:type="dxa" w:w="100"/>
            </w:tcMar>
            <w:vAlign w:val="center"/>
          </w:tcPr>
          <w:p>
            <w:pPr>
              <w:jc w:val="center"/>
            </w:pPr>
            <w:r>
              <w:rPr>
                <w:b/>
                <w:bCs/>
                <w:color w:val="FFFFFF"/>
                <w:sz w:val="18"/>
                <w:szCs w:val="18"/>
              </w:rPr>
              <w:t xml:space="preserve">Order less or more for Q4?</w:t>
            </w:r>
          </w:p>
        </w:tc>
        <w:tc>
          <w:tcPr>
            <w:tcW w:type="dxa" w:w="2160"/>
            <w:shd w:fill="1F3864" w:val="clear"/>
            <w:tcMar>
              <w:top w:type="dxa" w:w="80"/>
              <w:left w:type="dxa" w:w="100"/>
              <w:bottom w:type="dxa" w:w="80"/>
              <w:right w:type="dxa" w:w="100"/>
            </w:tcMar>
            <w:vAlign w:val="center"/>
          </w:tcPr>
          <w:p>
            <w:pPr>
              <w:jc w:val="center"/>
            </w:pPr>
            <w:r>
              <w:rPr>
                <w:b/>
                <w:bCs/>
                <w:color w:val="FFFFFF"/>
                <w:sz w:val="18"/>
                <w:szCs w:val="18"/>
              </w:rPr>
              <w:t xml:space="preserve">Forecast tool to use</w:t>
            </w:r>
          </w:p>
        </w:tc>
        <w:tc>
          <w:tcPr>
            <w:tcW w:type="dxa" w:w="2000"/>
            <w:shd w:fill="1F3864" w:val="clear"/>
            <w:tcMar>
              <w:top w:type="dxa" w:w="80"/>
              <w:left w:type="dxa" w:w="100"/>
              <w:bottom w:type="dxa" w:w="80"/>
              <w:right w:type="dxa" w:w="100"/>
            </w:tcMar>
            <w:vAlign w:val="center"/>
          </w:tcPr>
          <w:p>
            <w:pPr>
              <w:jc w:val="center"/>
            </w:pPr>
            <w:r>
              <w:rPr>
                <w:b/>
                <w:bCs/>
                <w:color w:val="FFFFFF"/>
                <w:sz w:val="18"/>
                <w:szCs w:val="18"/>
              </w:rPr>
              <w:t xml:space="preserve">Extra cushion stock</w:t>
            </w:r>
          </w:p>
        </w:tc>
      </w:tr>
      <w:tr>
        <w:tc>
          <w:tcPr>
            <w:tcW w:type="dxa" w:w="2600"/>
            <w:shd w:fill="F2F2F2" w:val="clear"/>
            <w:tcMar>
              <w:top w:type="dxa" w:w="80"/>
              <w:left w:type="dxa" w:w="100"/>
              <w:bottom w:type="dxa" w:w="80"/>
              <w:right w:type="dxa" w:w="100"/>
            </w:tcMar>
            <w:vAlign w:val="center"/>
          </w:tcPr>
          <w:p>
            <w:pPr>
              <w:jc w:val="left"/>
            </w:pPr>
            <w:r>
              <w:rPr>
                <w:b w:val="null"/>
                <w:bCs w:val="null"/>
                <w:color w:val="000000"/>
                <w:sz w:val="18"/>
                <w:szCs w:val="18"/>
              </w:rPr>
              <w:t xml:space="preserve">Best-seller</w:t>
            </w:r>
          </w:p>
        </w:tc>
        <w:tc>
          <w:tcPr>
            <w:tcW w:type="dxa" w:w="26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~20% less than Q3</w:t>
            </w:r>
          </w:p>
        </w:tc>
        <w:tc>
          <w:tcPr>
            <w:tcW w:type="dxa" w:w="216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Prophet</w:t>
            </w:r>
          </w:p>
        </w:tc>
        <w:tc>
          <w:tcPr>
            <w:tcW w:type="dxa" w:w="20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~23 units/day</w:t>
            </w:r>
          </w:p>
        </w:tc>
      </w:tr>
      <w:tr>
        <w:tc>
          <w:tcPr>
            <w:tcW w:type="dxa" w:w="2600"/>
            <w:shd w:fill="FFFFFF" w:val="clear"/>
            <w:tcMar>
              <w:top w:type="dxa" w:w="80"/>
              <w:left w:type="dxa" w:w="100"/>
              <w:bottom w:type="dxa" w:w="80"/>
              <w:right w:type="dxa" w:w="100"/>
            </w:tcMar>
            <w:vAlign w:val="center"/>
          </w:tcPr>
          <w:p>
            <w:pPr>
              <w:jc w:val="left"/>
            </w:pPr>
            <w:r>
              <w:rPr>
                <w:b w:val="null"/>
                <w:bCs w:val="null"/>
                <w:color w:val="000000"/>
                <w:sz w:val="18"/>
                <w:szCs w:val="18"/>
              </w:rPr>
              <w:t xml:space="preserve">Mid-seller</w:t>
            </w:r>
          </w:p>
        </w:tc>
        <w:tc>
          <w:tcPr>
            <w:tcW w:type="dxa" w:w="260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~20% less than Q3</w:t>
            </w:r>
          </w:p>
        </w:tc>
        <w:tc>
          <w:tcPr>
            <w:tcW w:type="dxa" w:w="216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Prophet</w:t>
            </w:r>
          </w:p>
        </w:tc>
        <w:tc>
          <w:tcPr>
            <w:tcW w:type="dxa" w:w="200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~15 units/day</w:t>
            </w:r>
          </w:p>
        </w:tc>
      </w:tr>
      <w:tr>
        <w:tc>
          <w:tcPr>
            <w:tcW w:type="dxa" w:w="2600"/>
            <w:shd w:fill="F2F2F2" w:val="clear"/>
            <w:tcMar>
              <w:top w:type="dxa" w:w="80"/>
              <w:left w:type="dxa" w:w="100"/>
              <w:bottom w:type="dxa" w:w="80"/>
              <w:right w:type="dxa" w:w="100"/>
            </w:tcMar>
            <w:vAlign w:val="center"/>
          </w:tcPr>
          <w:p>
            <w:pPr>
              <w:jc w:val="left"/>
            </w:pPr>
            <w:r>
              <w:rPr>
                <w:b w:val="null"/>
                <w:bCs w:val="null"/>
                <w:color w:val="000000"/>
                <w:sz w:val="18"/>
                <w:szCs w:val="18"/>
              </w:rPr>
              <w:t xml:space="preserve">Slower-seller</w:t>
            </w:r>
          </w:p>
        </w:tc>
        <w:tc>
          <w:tcPr>
            <w:tcW w:type="dxa" w:w="26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~21% less than Q3</w:t>
            </w:r>
          </w:p>
        </w:tc>
        <w:tc>
          <w:tcPr>
            <w:tcW w:type="dxa" w:w="216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Prophet</w:t>
            </w:r>
          </w:p>
        </w:tc>
        <w:tc>
          <w:tcPr>
            <w:tcW w:type="dxa" w:w="20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~7 units/day</w:t>
            </w:r>
          </w:p>
        </w:tc>
      </w:tr>
    </w:tbl>
    <w:p>
      <w:pPr>
        <w:spacing w:after="100" w:before="260"/>
      </w:pPr>
      <w:r>
        <w:rPr>
          <w:i/>
          <w:iCs/>
          <w:color w:val="595959"/>
          <w:sz w:val="20"/>
          <w:szCs w:val="20"/>
        </w:rPr>
        <w:t xml:space="preserve">The rest of this document is the technical evidence behind these recommendations: the models compared, the accuracy numbers, and the statistical tests used to confirm the results above. It is included for anyone who wants to verify the analysis in detail.</w:t>
      </w:r>
    </w:p>
    <w:p>
      <w:pPr>
        <w:pStyle w:val="Heading1"/>
        <w:spacing w:after="150" w:before="300"/>
      </w:pPr>
      <w:r>
        <w:t xml:space="preserve">PART A: Core Analysis</w:t>
      </w:r>
    </w:p>
    <w:p>
      <w:pPr>
        <w:spacing w:after="160"/>
      </w:pPr>
      <w:r>
        <w:rPr>
          <w:b/>
          <w:bCs/>
        </w:rPr>
        <w:t xml:space="preserve">Satisfies the brief exactly as written: </w:t>
      </w:r>
      <w:r>
        <w:t xml:space="preserve">decompose the series, split into train/test, build a forecasting model, evaluate with RMSE/MAPE, visualize forecast vs. actuals.</w:t>
      </w:r>
    </w:p>
    <w:p>
      <w:pPr>
        <w:pStyle w:val="Heading2"/>
        <w:spacing w:after="120" w:before="240"/>
      </w:pPr>
      <w:r>
        <w:t xml:space="preserve">A1. Single-Split Model Evaluation</w:t>
      </w:r>
    </w:p>
    <w:p>
      <w:pPr>
        <w:spacing w:after="160"/>
      </w:pPr>
      <w:r>
        <w:t xml:space="preserve">Each model trained on data through Q3 2017, evaluated against actual Q4 2017 sales: a genuine holdout, one chronological split, exactly as the brief specifies.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50"/>
        <w:gridCol w:w="1950"/>
        <w:gridCol w:w="176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18"/>
                <w:szCs w:val="18"/>
              </w:rPr>
              <w:t xml:space="preserve">Series</w:t>
            </w:r>
          </w:p>
        </w:tc>
        <w:tc>
          <w:tcPr>
            <w:tcW w:type="dxa" w:w="1400"/>
            <w:shd w:fill="1F3864" w:val="clear"/>
            <w:tcMar>
              <w:top w:type="dxa" w:w="80"/>
              <w:left w:type="dxa" w:w="100"/>
              <w:bottom w:type="dxa" w:w="80"/>
              <w:right w:type="dxa" w:w="100"/>
            </w:tcMar>
            <w:vAlign w:val="center"/>
          </w:tcPr>
          <w:p>
            <w:pPr>
              <w:jc w:val="center"/>
            </w:pPr>
            <w:r>
              <w:rPr>
                <w:b/>
                <w:bCs/>
                <w:color w:val="FFFFFF"/>
                <w:sz w:val="18"/>
                <w:szCs w:val="18"/>
              </w:rPr>
              <w:t xml:space="preserve">Avg units/day</w:t>
            </w:r>
          </w:p>
        </w:tc>
        <w:tc>
          <w:tcPr>
            <w:tcW w:type="dxa" w:w="1850"/>
            <w:shd w:fill="1F3864" w:val="clear"/>
            <w:tcMar>
              <w:top w:type="dxa" w:w="80"/>
              <w:left w:type="dxa" w:w="100"/>
              <w:bottom w:type="dxa" w:w="80"/>
              <w:right w:type="dxa" w:w="100"/>
            </w:tcMar>
            <w:vAlign w:val="center"/>
          </w:tcPr>
          <w:p>
            <w:pPr>
              <w:jc w:val="center"/>
            </w:pPr>
            <w:r>
              <w:rPr>
                <w:b/>
                <w:bCs/>
                <w:color w:val="FFFFFF"/>
                <w:sz w:val="18"/>
                <w:szCs w:val="18"/>
              </w:rPr>
              <w:t xml:space="preserve">Baseline
RMSE / MAPE</w:t>
            </w:r>
          </w:p>
        </w:tc>
        <w:tc>
          <w:tcPr>
            <w:tcW w:type="dxa" w:w="1950"/>
            <w:shd w:fill="1F3864" w:val="clear"/>
            <w:tcMar>
              <w:top w:type="dxa" w:w="80"/>
              <w:left w:type="dxa" w:w="100"/>
              <w:bottom w:type="dxa" w:w="80"/>
              <w:right w:type="dxa" w:w="100"/>
            </w:tcMar>
            <w:vAlign w:val="center"/>
          </w:tcPr>
          <w:p>
            <w:pPr>
              <w:jc w:val="center"/>
            </w:pPr>
            <w:r>
              <w:rPr>
                <w:b/>
                <w:bCs/>
                <w:color w:val="FFFFFF"/>
                <w:sz w:val="18"/>
                <w:szCs w:val="18"/>
              </w:rPr>
              <w:t xml:space="preserve">SARIMAX+Fourier
RMSE / MAPE</w:t>
            </w:r>
          </w:p>
        </w:tc>
        <w:tc>
          <w:tcPr>
            <w:tcW w:type="dxa" w:w="1760"/>
            <w:shd w:fill="1F3864" w:val="clear"/>
            <w:tcMar>
              <w:top w:type="dxa" w:w="80"/>
              <w:left w:type="dxa" w:w="100"/>
              <w:bottom w:type="dxa" w:w="80"/>
              <w:right w:type="dxa" w:w="100"/>
            </w:tcMar>
            <w:vAlign w:val="center"/>
          </w:tcPr>
          <w:p>
            <w:pPr>
              <w:jc w:val="center"/>
            </w:pPr>
            <w:r>
              <w:rPr>
                <w:b/>
                <w:bCs/>
                <w:color w:val="FFFFFF"/>
                <w:sz w:val="18"/>
                <w:szCs w:val="18"/>
              </w:rPr>
              <w:t xml:space="preserve">Prophet
RMSE / MAPE</w:t>
            </w:r>
          </w:p>
        </w:tc>
      </w:tr>
      <w:tr>
        <w:tc>
          <w:tcPr>
            <w:tcW w:type="dxa" w:w="2400"/>
            <w:shd w:fill="F2F2F2" w:val="clear"/>
            <w:tcMar>
              <w:top w:type="dxa" w:w="80"/>
              <w:left w:type="dxa" w:w="100"/>
              <w:bottom w:type="dxa" w:w="80"/>
              <w:right w:type="dxa" w:w="100"/>
            </w:tcMar>
            <w:vAlign w:val="center"/>
          </w:tcPr>
          <w:p>
            <w:pPr>
              <w:jc w:val="left"/>
            </w:pPr>
            <w:r>
              <w:rPr>
                <w:b w:val="null"/>
                <w:bCs w:val="null"/>
                <w:color w:val="000000"/>
                <w:sz w:val="18"/>
                <w:szCs w:val="18"/>
              </w:rPr>
              <w:t xml:space="preserve">High-volume
(Store 2 / Item 28)</w:t>
            </w:r>
          </w:p>
        </w:tc>
        <w:tc>
          <w:tcPr>
            <w:tcW w:type="dxa" w:w="14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112.6</w:t>
            </w:r>
          </w:p>
        </w:tc>
        <w:tc>
          <w:tcPr>
            <w:tcW w:type="dxa" w:w="185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25.24 / 19.2%</w:t>
            </w:r>
          </w:p>
        </w:tc>
        <w:tc>
          <w:tcPr>
            <w:tcW w:type="dxa" w:w="195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22.21 / 17.3%</w:t>
            </w:r>
          </w:p>
        </w:tc>
        <w:tc>
          <w:tcPr>
            <w:tcW w:type="dxa" w:w="1760"/>
            <w:shd w:fill="F2F2F2" w:val="clear"/>
            <w:tcMar>
              <w:top w:type="dxa" w:w="80"/>
              <w:left w:type="dxa" w:w="100"/>
              <w:bottom w:type="dxa" w:w="80"/>
              <w:right w:type="dxa" w:w="100"/>
            </w:tcMar>
            <w:vAlign w:val="center"/>
          </w:tcPr>
          <w:p>
            <w:pPr>
              <w:jc w:val="center"/>
            </w:pPr>
            <w:r>
              <w:rPr>
                <w:b/>
                <w:bCs/>
                <w:color w:val="1E7D32"/>
                <w:sz w:val="18"/>
                <w:szCs w:val="18"/>
              </w:rPr>
              <w:t xml:space="preserve">12.53 / 9.4%</w:t>
            </w:r>
          </w:p>
        </w:tc>
      </w:tr>
      <w:tr>
        <w:tc>
          <w:tcPr>
            <w:tcW w:type="dxa" w:w="2400"/>
            <w:shd w:fill="FFFFFF" w:val="clear"/>
            <w:tcMar>
              <w:top w:type="dxa" w:w="80"/>
              <w:left w:type="dxa" w:w="100"/>
              <w:bottom w:type="dxa" w:w="80"/>
              <w:right w:type="dxa" w:w="100"/>
            </w:tcMar>
            <w:vAlign w:val="center"/>
          </w:tcPr>
          <w:p>
            <w:pPr>
              <w:jc w:val="left"/>
            </w:pPr>
            <w:r>
              <w:rPr>
                <w:b w:val="null"/>
                <w:bCs w:val="null"/>
                <w:color w:val="000000"/>
                <w:sz w:val="18"/>
                <w:szCs w:val="18"/>
              </w:rPr>
              <w:t xml:space="preserve">Mid-volume
(Store 3 / Item 32)</w:t>
            </w:r>
          </w:p>
        </w:tc>
        <w:tc>
          <w:tcPr>
            <w:tcW w:type="dxa" w:w="140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49.9</w:t>
            </w:r>
          </w:p>
        </w:tc>
        <w:tc>
          <w:tcPr>
            <w:tcW w:type="dxa" w:w="185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13.75 / 20.5%</w:t>
            </w:r>
          </w:p>
        </w:tc>
        <w:tc>
          <w:tcPr>
            <w:tcW w:type="dxa" w:w="195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17.55 / 25.0%</w:t>
            </w:r>
          </w:p>
        </w:tc>
        <w:tc>
          <w:tcPr>
            <w:tcW w:type="dxa" w:w="1760"/>
            <w:shd w:fill="FFFFFF" w:val="clear"/>
            <w:tcMar>
              <w:top w:type="dxa" w:w="80"/>
              <w:left w:type="dxa" w:w="100"/>
              <w:bottom w:type="dxa" w:w="80"/>
              <w:right w:type="dxa" w:w="100"/>
            </w:tcMar>
            <w:vAlign w:val="center"/>
          </w:tcPr>
          <w:p>
            <w:pPr>
              <w:jc w:val="center"/>
            </w:pPr>
            <w:r>
              <w:rPr>
                <w:b/>
                <w:bCs/>
                <w:color w:val="1E7D32"/>
                <w:sz w:val="18"/>
                <w:szCs w:val="18"/>
              </w:rPr>
              <w:t xml:space="preserve">8.75 / 13.2%</w:t>
            </w:r>
          </w:p>
        </w:tc>
      </w:tr>
      <w:tr>
        <w:tc>
          <w:tcPr>
            <w:tcW w:type="dxa" w:w="2400"/>
            <w:shd w:fill="F2F2F2" w:val="clear"/>
            <w:tcMar>
              <w:top w:type="dxa" w:w="80"/>
              <w:left w:type="dxa" w:w="100"/>
              <w:bottom w:type="dxa" w:w="80"/>
              <w:right w:type="dxa" w:w="100"/>
            </w:tcMar>
            <w:vAlign w:val="center"/>
          </w:tcPr>
          <w:p>
            <w:pPr>
              <w:jc w:val="left"/>
            </w:pPr>
            <w:r>
              <w:rPr>
                <w:b w:val="null"/>
                <w:bCs w:val="null"/>
                <w:color w:val="000000"/>
                <w:sz w:val="18"/>
                <w:szCs w:val="18"/>
              </w:rPr>
              <w:t xml:space="preserve">Low-volume
(Store 7 / Item 5)</w:t>
            </w:r>
          </w:p>
        </w:tc>
        <w:tc>
          <w:tcPr>
            <w:tcW w:type="dxa" w:w="14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12.7</w:t>
            </w:r>
          </w:p>
        </w:tc>
        <w:tc>
          <w:tcPr>
            <w:tcW w:type="dxa" w:w="185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6.16 / 37.8%</w:t>
            </w:r>
          </w:p>
        </w:tc>
        <w:tc>
          <w:tcPr>
            <w:tcW w:type="dxa" w:w="195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6.00 / 30.5%</w:t>
            </w:r>
          </w:p>
        </w:tc>
        <w:tc>
          <w:tcPr>
            <w:tcW w:type="dxa" w:w="1760"/>
            <w:shd w:fill="F2F2F2" w:val="clear"/>
            <w:tcMar>
              <w:top w:type="dxa" w:w="80"/>
              <w:left w:type="dxa" w:w="100"/>
              <w:bottom w:type="dxa" w:w="80"/>
              <w:right w:type="dxa" w:w="100"/>
            </w:tcMar>
            <w:vAlign w:val="center"/>
          </w:tcPr>
          <w:p>
            <w:pPr>
              <w:jc w:val="center"/>
            </w:pPr>
            <w:r>
              <w:rPr>
                <w:b/>
                <w:bCs/>
                <w:color w:val="1E7D32"/>
                <w:sz w:val="18"/>
                <w:szCs w:val="18"/>
              </w:rPr>
              <w:t xml:space="preserve">4.13 / 28.9%</w:t>
            </w:r>
          </w:p>
        </w:tc>
      </w:tr>
    </w:tbl>
    <w:p>
      <w:pPr>
        <w:spacing w:after="160" w:before="160"/>
      </w:pPr>
      <w:r>
        <w:rPr>
          <w:b/>
          <w:bCs/>
        </w:rPr>
        <w:t xml:space="preserve">Reading note: </w:t>
      </w:r>
      <w:r>
        <w:t xml:space="preserve">MAPE inflates at low sales volumes. The low-volume series shows the highest MAPE but the lowest RMSE, so Prophet's absolute accuracy is actually best where volume is lowest. RMSE is the more reliable metric across tiers.</w:t>
      </w:r>
    </w:p>
    <w:p>
      <w:pPr>
        <w:pStyle w:val="Heading2"/>
        <w:spacing w:after="120" w:before="240"/>
      </w:pPr>
      <w:r>
        <w:t xml:space="preserve">A2. Demand Direction: Q3 to Q4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18"/>
                <w:szCs w:val="18"/>
              </w:rPr>
              <w:t xml:space="preserve">Series</w:t>
            </w:r>
          </w:p>
        </w:tc>
        <w:tc>
          <w:tcPr>
            <w:tcW w:type="dxa" w:w="2120"/>
            <w:shd w:fill="1F3864" w:val="clear"/>
            <w:tcMar>
              <w:top w:type="dxa" w:w="80"/>
              <w:left w:type="dxa" w:w="100"/>
              <w:bottom w:type="dxa" w:w="80"/>
              <w:right w:type="dxa" w:w="100"/>
            </w:tcMar>
            <w:vAlign w:val="center"/>
          </w:tcPr>
          <w:p>
            <w:pPr>
              <w:jc w:val="center"/>
            </w:pPr>
            <w:r>
              <w:rPr>
                <w:b/>
                <w:bCs/>
                <w:color w:val="FFFFFF"/>
                <w:sz w:val="18"/>
                <w:szCs w:val="18"/>
              </w:rPr>
              <w:t xml:space="preserve">Q3 2017 actual</w:t>
            </w:r>
          </w:p>
        </w:tc>
        <w:tc>
          <w:tcPr>
            <w:tcW w:type="dxa" w:w="2120"/>
            <w:shd w:fill="1F3864" w:val="clear"/>
            <w:tcMar>
              <w:top w:type="dxa" w:w="80"/>
              <w:left w:type="dxa" w:w="100"/>
              <w:bottom w:type="dxa" w:w="80"/>
              <w:right w:type="dxa" w:w="100"/>
            </w:tcMar>
            <w:vAlign w:val="center"/>
          </w:tcPr>
          <w:p>
            <w:pPr>
              <w:jc w:val="center"/>
            </w:pPr>
            <w:r>
              <w:rPr>
                <w:b/>
                <w:bCs/>
                <w:color w:val="FFFFFF"/>
                <w:sz w:val="18"/>
                <w:szCs w:val="18"/>
              </w:rPr>
              <w:t xml:space="preserve">Q4 2017 actual</w:t>
            </w:r>
          </w:p>
        </w:tc>
        <w:tc>
          <w:tcPr>
            <w:tcW w:type="dxa" w:w="2120"/>
            <w:shd w:fill="1F3864" w:val="clear"/>
            <w:tcMar>
              <w:top w:type="dxa" w:w="80"/>
              <w:left w:type="dxa" w:w="100"/>
              <w:bottom w:type="dxa" w:w="80"/>
              <w:right w:type="dxa" w:w="100"/>
            </w:tcMar>
            <w:vAlign w:val="center"/>
          </w:tcPr>
          <w:p>
            <w:pPr>
              <w:jc w:val="center"/>
            </w:pPr>
            <w:r>
              <w:rPr>
                <w:b/>
                <w:bCs/>
                <w:color w:val="FFFFFF"/>
                <w:sz w:val="18"/>
                <w:szCs w:val="18"/>
              </w:rPr>
              <w:t xml:space="preserve">QoQ change</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High-volume (Store 2 / Item 28)</w:t>
            </w:r>
          </w:p>
        </w:tc>
        <w:tc>
          <w:tcPr>
            <w:tcW w:type="dxa" w:w="2120"/>
            <w:shd w:fill="F2F2F2" w:val="clear"/>
            <w:tcMar>
              <w:top w:type="dxa" w:w="80"/>
              <w:left w:type="dxa" w:w="100"/>
              <w:bottom w:type="dxa" w:w="80"/>
              <w:right w:type="dxa" w:w="100"/>
            </w:tcMar>
            <w:vAlign w:val="center"/>
          </w:tcPr>
          <w:p>
            <w:pPr>
              <w:jc w:val="center"/>
            </w:pPr>
            <w:r>
              <w:rPr>
                <w:b w:val="false"/>
                <w:bCs w:val="false"/>
                <w:color w:val="000000"/>
                <w:sz w:val="18"/>
                <w:szCs w:val="18"/>
              </w:rPr>
              <w:t xml:space="preserve">13,607</w:t>
            </w:r>
          </w:p>
        </w:tc>
        <w:tc>
          <w:tcPr>
            <w:tcW w:type="dxa" w:w="2120"/>
            <w:shd w:fill="F2F2F2" w:val="clear"/>
            <w:tcMar>
              <w:top w:type="dxa" w:w="80"/>
              <w:left w:type="dxa" w:w="100"/>
              <w:bottom w:type="dxa" w:w="80"/>
              <w:right w:type="dxa" w:w="100"/>
            </w:tcMar>
            <w:vAlign w:val="center"/>
          </w:tcPr>
          <w:p>
            <w:pPr>
              <w:jc w:val="center"/>
            </w:pPr>
            <w:r>
              <w:rPr>
                <w:b w:val="false"/>
                <w:bCs w:val="false"/>
                <w:color w:val="000000"/>
                <w:sz w:val="18"/>
                <w:szCs w:val="18"/>
              </w:rPr>
              <w:t xml:space="preserve">10,811</w:t>
            </w:r>
          </w:p>
        </w:tc>
        <w:tc>
          <w:tcPr>
            <w:tcW w:type="dxa" w:w="2120"/>
            <w:shd w:fill="F2F2F2" w:val="clear"/>
            <w:tcMar>
              <w:top w:type="dxa" w:w="80"/>
              <w:left w:type="dxa" w:w="100"/>
              <w:bottom w:type="dxa" w:w="80"/>
              <w:right w:type="dxa" w:w="100"/>
            </w:tcMar>
            <w:vAlign w:val="center"/>
          </w:tcPr>
          <w:p>
            <w:pPr>
              <w:jc w:val="center"/>
            </w:pPr>
            <w:r>
              <w:rPr>
                <w:b/>
                <w:bCs/>
                <w:color w:val="C0392B"/>
                <w:sz w:val="18"/>
                <w:szCs w:val="18"/>
              </w:rPr>
              <w:t xml:space="preserve">-20.5%</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Mid-volume (Store 3 / Item 32)</w:t>
            </w:r>
          </w:p>
        </w:tc>
        <w:tc>
          <w:tcPr>
            <w:tcW w:type="dxa" w:w="212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6,158</w:t>
            </w:r>
          </w:p>
        </w:tc>
        <w:tc>
          <w:tcPr>
            <w:tcW w:type="dxa" w:w="212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4,899</w:t>
            </w:r>
          </w:p>
        </w:tc>
        <w:tc>
          <w:tcPr>
            <w:tcW w:type="dxa" w:w="2120"/>
            <w:shd w:fill="FFFFFF" w:val="clear"/>
            <w:tcMar>
              <w:top w:type="dxa" w:w="80"/>
              <w:left w:type="dxa" w:w="100"/>
              <w:bottom w:type="dxa" w:w="80"/>
              <w:right w:type="dxa" w:w="100"/>
            </w:tcMar>
            <w:vAlign w:val="center"/>
          </w:tcPr>
          <w:p>
            <w:pPr>
              <w:jc w:val="center"/>
            </w:pPr>
            <w:r>
              <w:rPr>
                <w:b/>
                <w:bCs/>
                <w:color w:val="C0392B"/>
                <w:sz w:val="18"/>
                <w:szCs w:val="18"/>
              </w:rPr>
              <w:t xml:space="preserve">-20.4%</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Low-volume (Store 7 / Item 5)</w:t>
            </w:r>
          </w:p>
        </w:tc>
        <w:tc>
          <w:tcPr>
            <w:tcW w:type="dxa" w:w="2120"/>
            <w:shd w:fill="F2F2F2" w:val="clear"/>
            <w:tcMar>
              <w:top w:type="dxa" w:w="80"/>
              <w:left w:type="dxa" w:w="100"/>
              <w:bottom w:type="dxa" w:w="80"/>
              <w:right w:type="dxa" w:w="100"/>
            </w:tcMar>
            <w:vAlign w:val="center"/>
          </w:tcPr>
          <w:p>
            <w:pPr>
              <w:jc w:val="center"/>
            </w:pPr>
            <w:r>
              <w:rPr>
                <w:b w:val="false"/>
                <w:bCs w:val="false"/>
                <w:color w:val="000000"/>
                <w:sz w:val="18"/>
                <w:szCs w:val="18"/>
              </w:rPr>
              <w:t xml:space="preserve">1,554</w:t>
            </w:r>
          </w:p>
        </w:tc>
        <w:tc>
          <w:tcPr>
            <w:tcW w:type="dxa" w:w="2120"/>
            <w:shd w:fill="F2F2F2" w:val="clear"/>
            <w:tcMar>
              <w:top w:type="dxa" w:w="80"/>
              <w:left w:type="dxa" w:w="100"/>
              <w:bottom w:type="dxa" w:w="80"/>
              <w:right w:type="dxa" w:w="100"/>
            </w:tcMar>
            <w:vAlign w:val="center"/>
          </w:tcPr>
          <w:p>
            <w:pPr>
              <w:jc w:val="center"/>
            </w:pPr>
            <w:r>
              <w:rPr>
                <w:b w:val="false"/>
                <w:bCs w:val="false"/>
                <w:color w:val="000000"/>
                <w:sz w:val="18"/>
                <w:szCs w:val="18"/>
              </w:rPr>
              <w:t xml:space="preserve">1,226</w:t>
            </w:r>
          </w:p>
        </w:tc>
        <w:tc>
          <w:tcPr>
            <w:tcW w:type="dxa" w:w="2120"/>
            <w:shd w:fill="F2F2F2" w:val="clear"/>
            <w:tcMar>
              <w:top w:type="dxa" w:w="80"/>
              <w:left w:type="dxa" w:w="100"/>
              <w:bottom w:type="dxa" w:w="80"/>
              <w:right w:type="dxa" w:w="100"/>
            </w:tcMar>
            <w:vAlign w:val="center"/>
          </w:tcPr>
          <w:p>
            <w:pPr>
              <w:jc w:val="center"/>
            </w:pPr>
            <w:r>
              <w:rPr>
                <w:b/>
                <w:bCs/>
                <w:color w:val="C0392B"/>
                <w:sz w:val="18"/>
                <w:szCs w:val="18"/>
              </w:rPr>
              <w:t xml:space="preserve">-21.1%</w:t>
            </w:r>
          </w:p>
        </w:tc>
      </w:tr>
    </w:tbl>
    <w:p>
      <w:pPr>
        <w:spacing w:after="160" w:before="160"/>
      </w:pPr>
      <w:r>
        <w:rPr>
          <w:b/>
          <w:bCs/>
        </w:rPr>
        <w:t xml:space="preserve">Note: </w:t>
      </w:r>
      <w:r>
        <w:t xml:space="preserve">the brief's example phrase (“prepare for a 15% sales increase in Q4”) was illustrative only, not a finding. The actual, measured direction is a decrease of roughly 20%.</w:t>
      </w:r>
    </w:p>
    <w:p>
      <w:pPr>
        <w:pStyle w:val="Heading2"/>
        <w:spacing w:after="120" w:before="240"/>
      </w:pPr>
      <w:r>
        <w:t xml:space="preserve">A3. Part A Conclusion</w:t>
      </w:r>
    </w:p>
    <w:p>
      <w:pPr>
        <w:spacing w:after="160"/>
      </w:pPr>
      <w:r>
        <w:t xml:space="preserve">On this single split, Prophet is the most accurate model and Q4 demand is trending down, not up. Part B tests whether that conclusion is robust.</w:t>
      </w:r>
    </w:p>
    <w:p>
      <w:pPr>
        <w:pStyle w:val="Heading1"/>
        <w:spacing w:after="150" w:before="300"/>
      </w:pPr>
      <w:r>
        <w:t xml:space="preserve">PART B: Extended Validation</w:t>
      </w:r>
    </w:p>
    <w:p>
      <w:pPr>
        <w:spacing w:after="160"/>
      </w:pPr>
      <w:r>
        <w:rPr>
          <w:i/>
          <w:iCs/>
          <w:color w:val="595959"/>
        </w:rPr>
        <w:t xml:space="preserve">Beyond the brief's scope. Included to verify Part A's result isn't a lucky split.</w:t>
      </w:r>
    </w:p>
    <w:p>
      <w:pPr>
        <w:pStyle w:val="Heading2"/>
        <w:spacing w:after="120" w:before="240"/>
      </w:pPr>
      <w:r>
        <w:t xml:space="preserve">B1. Rolling-Origin Cross-Validation</w:t>
      </w:r>
    </w:p>
    <w:p>
      <w:pPr>
        <w:spacing w:after="160"/>
      </w:pPr>
      <w:r>
        <w:t xml:space="preserve">Three expanding-window folds per series, each forecasting one quarter ahead. Numbers below are the mean across all three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50"/>
        <w:gridCol w:w="1950"/>
        <w:gridCol w:w="176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18"/>
                <w:szCs w:val="18"/>
              </w:rPr>
              <w:t xml:space="preserve">Series</w:t>
            </w:r>
          </w:p>
        </w:tc>
        <w:tc>
          <w:tcPr>
            <w:tcW w:type="dxa" w:w="1400"/>
            <w:shd w:fill="1F3864" w:val="clear"/>
            <w:tcMar>
              <w:top w:type="dxa" w:w="80"/>
              <w:left w:type="dxa" w:w="100"/>
              <w:bottom w:type="dxa" w:w="80"/>
              <w:right w:type="dxa" w:w="100"/>
            </w:tcMar>
            <w:vAlign w:val="center"/>
          </w:tcPr>
          <w:p>
            <w:pPr>
              <w:jc w:val="center"/>
            </w:pPr>
            <w:r>
              <w:rPr>
                <w:b/>
                <w:bCs/>
                <w:color w:val="FFFFFF"/>
                <w:sz w:val="18"/>
                <w:szCs w:val="18"/>
              </w:rPr>
              <w:t xml:space="preserve">Avg units/day</w:t>
            </w:r>
          </w:p>
        </w:tc>
        <w:tc>
          <w:tcPr>
            <w:tcW w:type="dxa" w:w="1850"/>
            <w:shd w:fill="1F3864" w:val="clear"/>
            <w:tcMar>
              <w:top w:type="dxa" w:w="80"/>
              <w:left w:type="dxa" w:w="100"/>
              <w:bottom w:type="dxa" w:w="80"/>
              <w:right w:type="dxa" w:w="100"/>
            </w:tcMar>
            <w:vAlign w:val="center"/>
          </w:tcPr>
          <w:p>
            <w:pPr>
              <w:jc w:val="center"/>
            </w:pPr>
            <w:r>
              <w:rPr>
                <w:b/>
                <w:bCs/>
                <w:color w:val="FFFFFF"/>
                <w:sz w:val="18"/>
                <w:szCs w:val="18"/>
              </w:rPr>
              <w:t xml:space="preserve">Baseline
RMSE / MAPE</w:t>
            </w:r>
          </w:p>
        </w:tc>
        <w:tc>
          <w:tcPr>
            <w:tcW w:type="dxa" w:w="1950"/>
            <w:shd w:fill="1F3864" w:val="clear"/>
            <w:tcMar>
              <w:top w:type="dxa" w:w="80"/>
              <w:left w:type="dxa" w:w="100"/>
              <w:bottom w:type="dxa" w:w="80"/>
              <w:right w:type="dxa" w:w="100"/>
            </w:tcMar>
            <w:vAlign w:val="center"/>
          </w:tcPr>
          <w:p>
            <w:pPr>
              <w:jc w:val="center"/>
            </w:pPr>
            <w:r>
              <w:rPr>
                <w:b/>
                <w:bCs/>
                <w:color w:val="FFFFFF"/>
                <w:sz w:val="18"/>
                <w:szCs w:val="18"/>
              </w:rPr>
              <w:t xml:space="preserve">SARIMAX+Fourier
RMSE / MAPE</w:t>
            </w:r>
          </w:p>
        </w:tc>
        <w:tc>
          <w:tcPr>
            <w:tcW w:type="dxa" w:w="1760"/>
            <w:shd w:fill="1F3864" w:val="clear"/>
            <w:tcMar>
              <w:top w:type="dxa" w:w="80"/>
              <w:left w:type="dxa" w:w="100"/>
              <w:bottom w:type="dxa" w:w="80"/>
              <w:right w:type="dxa" w:w="100"/>
            </w:tcMar>
            <w:vAlign w:val="center"/>
          </w:tcPr>
          <w:p>
            <w:pPr>
              <w:jc w:val="center"/>
            </w:pPr>
            <w:r>
              <w:rPr>
                <w:b/>
                <w:bCs/>
                <w:color w:val="FFFFFF"/>
                <w:sz w:val="18"/>
                <w:szCs w:val="18"/>
              </w:rPr>
              <w:t xml:space="preserve">Prophet
RMSE / MAPE</w:t>
            </w:r>
          </w:p>
        </w:tc>
      </w:tr>
      <w:tr>
        <w:tc>
          <w:tcPr>
            <w:tcW w:type="dxa" w:w="2400"/>
            <w:shd w:fill="F2F2F2" w:val="clear"/>
            <w:tcMar>
              <w:top w:type="dxa" w:w="80"/>
              <w:left w:type="dxa" w:w="100"/>
              <w:bottom w:type="dxa" w:w="80"/>
              <w:right w:type="dxa" w:w="100"/>
            </w:tcMar>
            <w:vAlign w:val="center"/>
          </w:tcPr>
          <w:p>
            <w:pPr>
              <w:jc w:val="left"/>
            </w:pPr>
            <w:r>
              <w:rPr>
                <w:b w:val="null"/>
                <w:bCs w:val="null"/>
                <w:color w:val="000000"/>
                <w:sz w:val="18"/>
                <w:szCs w:val="18"/>
              </w:rPr>
              <w:t xml:space="preserve">High-volume
(Store 2 / Item 28)</w:t>
            </w:r>
          </w:p>
        </w:tc>
        <w:tc>
          <w:tcPr>
            <w:tcW w:type="dxa" w:w="14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112.6</w:t>
            </w:r>
          </w:p>
        </w:tc>
        <w:tc>
          <w:tcPr>
            <w:tcW w:type="dxa" w:w="185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27.91 / 17.7%</w:t>
            </w:r>
          </w:p>
        </w:tc>
        <w:tc>
          <w:tcPr>
            <w:tcW w:type="dxa" w:w="195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22.77 / 14.3%</w:t>
            </w:r>
          </w:p>
        </w:tc>
        <w:tc>
          <w:tcPr>
            <w:tcW w:type="dxa" w:w="1760"/>
            <w:shd w:fill="F2F2F2" w:val="clear"/>
            <w:tcMar>
              <w:top w:type="dxa" w:w="80"/>
              <w:left w:type="dxa" w:w="100"/>
              <w:bottom w:type="dxa" w:w="80"/>
              <w:right w:type="dxa" w:w="100"/>
            </w:tcMar>
            <w:vAlign w:val="center"/>
          </w:tcPr>
          <w:p>
            <w:pPr>
              <w:jc w:val="center"/>
            </w:pPr>
            <w:r>
              <w:rPr>
                <w:b/>
                <w:bCs/>
                <w:color w:val="1E7D32"/>
                <w:sz w:val="18"/>
                <w:szCs w:val="18"/>
              </w:rPr>
              <w:t xml:space="preserve">14.10 / 8.6%</w:t>
            </w:r>
          </w:p>
        </w:tc>
      </w:tr>
      <w:tr>
        <w:tc>
          <w:tcPr>
            <w:tcW w:type="dxa" w:w="2400"/>
            <w:shd w:fill="FFFFFF" w:val="clear"/>
            <w:tcMar>
              <w:top w:type="dxa" w:w="80"/>
              <w:left w:type="dxa" w:w="100"/>
              <w:bottom w:type="dxa" w:w="80"/>
              <w:right w:type="dxa" w:w="100"/>
            </w:tcMar>
            <w:vAlign w:val="center"/>
          </w:tcPr>
          <w:p>
            <w:pPr>
              <w:jc w:val="left"/>
            </w:pPr>
            <w:r>
              <w:rPr>
                <w:b w:val="null"/>
                <w:bCs w:val="null"/>
                <w:color w:val="000000"/>
                <w:sz w:val="18"/>
                <w:szCs w:val="18"/>
              </w:rPr>
              <w:t xml:space="preserve">Mid-volume
(Store 3 / Item 32)</w:t>
            </w:r>
          </w:p>
        </w:tc>
        <w:tc>
          <w:tcPr>
            <w:tcW w:type="dxa" w:w="140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49.9</w:t>
            </w:r>
          </w:p>
        </w:tc>
        <w:tc>
          <w:tcPr>
            <w:tcW w:type="dxa" w:w="185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15.22 / 20.8%</w:t>
            </w:r>
          </w:p>
        </w:tc>
        <w:tc>
          <w:tcPr>
            <w:tcW w:type="dxa" w:w="195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15.93 / 20.2%</w:t>
            </w:r>
          </w:p>
        </w:tc>
        <w:tc>
          <w:tcPr>
            <w:tcW w:type="dxa" w:w="1760"/>
            <w:shd w:fill="FFFFFF" w:val="clear"/>
            <w:tcMar>
              <w:top w:type="dxa" w:w="80"/>
              <w:left w:type="dxa" w:w="100"/>
              <w:bottom w:type="dxa" w:w="80"/>
              <w:right w:type="dxa" w:w="100"/>
            </w:tcMar>
            <w:vAlign w:val="center"/>
          </w:tcPr>
          <w:p>
            <w:pPr>
              <w:jc w:val="center"/>
            </w:pPr>
            <w:r>
              <w:rPr>
                <w:b/>
                <w:bCs/>
                <w:color w:val="1E7D32"/>
                <w:sz w:val="18"/>
                <w:szCs w:val="18"/>
              </w:rPr>
              <w:t xml:space="preserve">9.07 / 12.0%</w:t>
            </w:r>
          </w:p>
        </w:tc>
      </w:tr>
      <w:tr>
        <w:tc>
          <w:tcPr>
            <w:tcW w:type="dxa" w:w="2400"/>
            <w:shd w:fill="F2F2F2" w:val="clear"/>
            <w:tcMar>
              <w:top w:type="dxa" w:w="80"/>
              <w:left w:type="dxa" w:w="100"/>
              <w:bottom w:type="dxa" w:w="80"/>
              <w:right w:type="dxa" w:w="100"/>
            </w:tcMar>
            <w:vAlign w:val="center"/>
          </w:tcPr>
          <w:p>
            <w:pPr>
              <w:jc w:val="left"/>
            </w:pPr>
            <w:r>
              <w:rPr>
                <w:b w:val="null"/>
                <w:bCs w:val="null"/>
                <w:color w:val="000000"/>
                <w:sz w:val="18"/>
                <w:szCs w:val="18"/>
              </w:rPr>
              <w:t xml:space="preserve">Low-volume
(Store 7 / Item 5)</w:t>
            </w:r>
          </w:p>
        </w:tc>
        <w:tc>
          <w:tcPr>
            <w:tcW w:type="dxa" w:w="14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12.7</w:t>
            </w:r>
          </w:p>
        </w:tc>
        <w:tc>
          <w:tcPr>
            <w:tcW w:type="dxa" w:w="185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6.18 / 35.3%</w:t>
            </w:r>
          </w:p>
        </w:tc>
        <w:tc>
          <w:tcPr>
            <w:tcW w:type="dxa" w:w="195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4.95 / 28.4%</w:t>
            </w:r>
          </w:p>
        </w:tc>
        <w:tc>
          <w:tcPr>
            <w:tcW w:type="dxa" w:w="1760"/>
            <w:shd w:fill="F2F2F2" w:val="clear"/>
            <w:tcMar>
              <w:top w:type="dxa" w:w="80"/>
              <w:left w:type="dxa" w:w="100"/>
              <w:bottom w:type="dxa" w:w="80"/>
              <w:right w:type="dxa" w:w="100"/>
            </w:tcMar>
            <w:vAlign w:val="center"/>
          </w:tcPr>
          <w:p>
            <w:pPr>
              <w:jc w:val="center"/>
            </w:pPr>
            <w:r>
              <w:rPr>
                <w:b/>
                <w:bCs/>
                <w:color w:val="1E7D32"/>
                <w:sz w:val="18"/>
                <w:szCs w:val="18"/>
              </w:rPr>
              <w:t xml:space="preserve">4.14 / 25.4%</w:t>
            </w:r>
          </w:p>
        </w:tc>
      </w:tr>
    </w:tbl>
    <w:p>
      <w:pPr>
        <w:pStyle w:val="Heading2"/>
        <w:spacing w:after="120" w:before="240"/>
      </w:pPr>
      <w:r>
        <w:t xml:space="preserve">B2. Is the Difference Real? Statistical Significance</w:t>
      </w:r>
    </w:p>
    <w:p>
      <w:pPr>
        <w:spacing w:after="160"/>
      </w:pPr>
      <w:r>
        <w:t xml:space="preserve">A lower RMSE alone doesn't prove one model is actually better. The gap could be noise. The Diebold-Mariano test (Newey-West corrected for autocorrelation) checks whether each model's accuracy advantage is statistically significant, pooling errors across all 3 folds per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18"/>
                <w:szCs w:val="18"/>
              </w:rPr>
              <w:t xml:space="preserve">Series</w:t>
            </w:r>
          </w:p>
        </w:tc>
        <w:tc>
          <w:tcPr>
            <w:tcW w:type="dxa" w:w="2320"/>
            <w:shd w:fill="1F3864" w:val="clear"/>
            <w:tcMar>
              <w:top w:type="dxa" w:w="80"/>
              <w:left w:type="dxa" w:w="100"/>
              <w:bottom w:type="dxa" w:w="80"/>
              <w:right w:type="dxa" w:w="100"/>
            </w:tcMar>
            <w:vAlign w:val="center"/>
          </w:tcPr>
          <w:p>
            <w:pPr>
              <w:jc w:val="center"/>
            </w:pPr>
            <w:r>
              <w:rPr>
                <w:b/>
                <w:bCs/>
                <w:color w:val="FFFFFF"/>
                <w:sz w:val="18"/>
                <w:szCs w:val="18"/>
              </w:rPr>
              <w:t xml:space="preserve">Prophet vs SARIMAX</w:t>
            </w:r>
          </w:p>
        </w:tc>
        <w:tc>
          <w:tcPr>
            <w:tcW w:type="dxa" w:w="2320"/>
            <w:shd w:fill="1F3864" w:val="clear"/>
            <w:tcMar>
              <w:top w:type="dxa" w:w="80"/>
              <w:left w:type="dxa" w:w="100"/>
              <w:bottom w:type="dxa" w:w="80"/>
              <w:right w:type="dxa" w:w="100"/>
            </w:tcMar>
            <w:vAlign w:val="center"/>
          </w:tcPr>
          <w:p>
            <w:pPr>
              <w:jc w:val="center"/>
            </w:pPr>
            <w:r>
              <w:rPr>
                <w:b/>
                <w:bCs/>
                <w:color w:val="FFFFFF"/>
                <w:sz w:val="18"/>
                <w:szCs w:val="18"/>
              </w:rPr>
              <w:t xml:space="preserve">Prophet vs Baseline</w:t>
            </w:r>
          </w:p>
        </w:tc>
        <w:tc>
          <w:tcPr>
            <w:tcW w:type="dxa" w:w="2320"/>
            <w:shd w:fill="1F3864" w:val="clear"/>
            <w:tcMar>
              <w:top w:type="dxa" w:w="80"/>
              <w:left w:type="dxa" w:w="100"/>
              <w:bottom w:type="dxa" w:w="80"/>
              <w:right w:type="dxa" w:w="100"/>
            </w:tcMar>
            <w:vAlign w:val="center"/>
          </w:tcPr>
          <w:p>
            <w:pPr>
              <w:jc w:val="center"/>
            </w:pPr>
            <w:r>
              <w:rPr>
                <w:b/>
                <w:bCs/>
                <w:color w:val="FFFFFF"/>
                <w:sz w:val="18"/>
                <w:szCs w:val="18"/>
              </w:rPr>
              <w:t xml:space="preserve">SARIMAX vs Baseline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High-volume</w:t>
            </w:r>
          </w:p>
        </w:tc>
        <w:tc>
          <w:tcPr>
            <w:tcW w:type="dxa" w:w="2320"/>
            <w:shd w:fill="F2F2F2" w:val="clear"/>
            <w:tcMar>
              <w:top w:type="dxa" w:w="80"/>
              <w:left w:type="dxa" w:w="100"/>
              <w:bottom w:type="dxa" w:w="80"/>
              <w:right w:type="dxa" w:w="100"/>
            </w:tcMar>
            <w:vAlign w:val="center"/>
          </w:tcPr>
          <w:p>
            <w:pPr>
              <w:jc w:val="center"/>
            </w:pPr>
            <w:r>
              <w:rPr>
                <w:b w:val="false"/>
                <w:bCs w:val="false"/>
                <w:color w:val="1E7D32"/>
                <w:sz w:val="18"/>
                <w:szCs w:val="18"/>
              </w:rPr>
              <w:t xml:space="preserve">p &lt; 0.0001</w:t>
            </w:r>
          </w:p>
        </w:tc>
        <w:tc>
          <w:tcPr>
            <w:tcW w:type="dxa" w:w="2320"/>
            <w:shd w:fill="F2F2F2" w:val="clear"/>
            <w:tcMar>
              <w:top w:type="dxa" w:w="80"/>
              <w:left w:type="dxa" w:w="100"/>
              <w:bottom w:type="dxa" w:w="80"/>
              <w:right w:type="dxa" w:w="100"/>
            </w:tcMar>
            <w:vAlign w:val="center"/>
          </w:tcPr>
          <w:p>
            <w:pPr>
              <w:jc w:val="center"/>
            </w:pPr>
            <w:r>
              <w:rPr>
                <w:b w:val="false"/>
                <w:bCs w:val="false"/>
                <w:color w:val="1E7D32"/>
                <w:sz w:val="18"/>
                <w:szCs w:val="18"/>
              </w:rPr>
              <w:t xml:space="preserve">p &lt; 0.0001</w:t>
            </w:r>
          </w:p>
        </w:tc>
        <w:tc>
          <w:tcPr>
            <w:tcW w:type="dxa" w:w="2320"/>
            <w:shd w:fill="F2F2F2" w:val="clear"/>
            <w:tcMar>
              <w:top w:type="dxa" w:w="80"/>
              <w:left w:type="dxa" w:w="100"/>
              <w:bottom w:type="dxa" w:w="80"/>
              <w:right w:type="dxa" w:w="100"/>
            </w:tcMar>
            <w:vAlign w:val="center"/>
          </w:tcPr>
          <w:p>
            <w:pPr>
              <w:jc w:val="center"/>
            </w:pPr>
            <w:r>
              <w:rPr>
                <w:b w:val="false"/>
                <w:bCs w:val="false"/>
                <w:color w:val="1E7D32"/>
                <w:sz w:val="18"/>
                <w:szCs w:val="18"/>
              </w:rPr>
              <w:t xml:space="preserve">p &lt; 0.0001</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18"/>
                <w:szCs w:val="18"/>
              </w:rPr>
              <w:t xml:space="preserve">Mid-volume</w:t>
            </w:r>
          </w:p>
        </w:tc>
        <w:tc>
          <w:tcPr>
            <w:tcW w:type="dxa" w:w="2320"/>
            <w:shd w:fill="FFFFFF" w:val="clear"/>
            <w:tcMar>
              <w:top w:type="dxa" w:w="80"/>
              <w:left w:type="dxa" w:w="100"/>
              <w:bottom w:type="dxa" w:w="80"/>
              <w:right w:type="dxa" w:w="100"/>
            </w:tcMar>
            <w:vAlign w:val="center"/>
          </w:tcPr>
          <w:p>
            <w:pPr>
              <w:jc w:val="center"/>
            </w:pPr>
            <w:r>
              <w:rPr>
                <w:b w:val="false"/>
                <w:bCs w:val="false"/>
                <w:color w:val="1E7D32"/>
                <w:sz w:val="18"/>
                <w:szCs w:val="18"/>
              </w:rPr>
              <w:t xml:space="preserve">p &lt; 0.0001</w:t>
            </w:r>
          </w:p>
        </w:tc>
        <w:tc>
          <w:tcPr>
            <w:tcW w:type="dxa" w:w="2320"/>
            <w:shd w:fill="FFFFFF" w:val="clear"/>
            <w:tcMar>
              <w:top w:type="dxa" w:w="80"/>
              <w:left w:type="dxa" w:w="100"/>
              <w:bottom w:type="dxa" w:w="80"/>
              <w:right w:type="dxa" w:w="100"/>
            </w:tcMar>
            <w:vAlign w:val="center"/>
          </w:tcPr>
          <w:p>
            <w:pPr>
              <w:jc w:val="center"/>
            </w:pPr>
            <w:r>
              <w:rPr>
                <w:b w:val="false"/>
                <w:bCs w:val="false"/>
                <w:color w:val="1E7D32"/>
                <w:sz w:val="18"/>
                <w:szCs w:val="18"/>
              </w:rPr>
              <w:t xml:space="preserve">p &lt; 0.0001</w:t>
            </w:r>
          </w:p>
        </w:tc>
        <w:tc>
          <w:tcPr>
            <w:tcW w:type="dxa" w:w="2320"/>
            <w:shd w:fill="FFFFFF" w:val="clear"/>
            <w:tcMar>
              <w:top w:type="dxa" w:w="80"/>
              <w:left w:type="dxa" w:w="100"/>
              <w:bottom w:type="dxa" w:w="80"/>
              <w:right w:type="dxa" w:w="100"/>
            </w:tcMar>
            <w:vAlign w:val="center"/>
          </w:tcPr>
          <w:p>
            <w:pPr>
              <w:jc w:val="center"/>
            </w:pPr>
            <w:r>
              <w:rPr>
                <w:b/>
                <w:bCs/>
                <w:color w:val="C0392B"/>
                <w:sz w:val="18"/>
                <w:szCs w:val="18"/>
              </w:rPr>
              <w:t xml:space="preserve">p = 0.42, not significant</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18"/>
                <w:szCs w:val="18"/>
              </w:rPr>
              <w:t xml:space="preserve">Low-volume</w:t>
            </w:r>
          </w:p>
        </w:tc>
        <w:tc>
          <w:tcPr>
            <w:tcW w:type="dxa" w:w="2320"/>
            <w:shd w:fill="F2F2F2" w:val="clear"/>
            <w:tcMar>
              <w:top w:type="dxa" w:w="80"/>
              <w:left w:type="dxa" w:w="100"/>
              <w:bottom w:type="dxa" w:w="80"/>
              <w:right w:type="dxa" w:w="100"/>
            </w:tcMar>
            <w:vAlign w:val="center"/>
          </w:tcPr>
          <w:p>
            <w:pPr>
              <w:jc w:val="center"/>
            </w:pPr>
            <w:r>
              <w:rPr>
                <w:b w:val="false"/>
                <w:bCs w:val="false"/>
                <w:color w:val="1E7D32"/>
                <w:sz w:val="18"/>
                <w:szCs w:val="18"/>
              </w:rPr>
              <w:t xml:space="preserve">p = 0.0004</w:t>
            </w:r>
          </w:p>
        </w:tc>
        <w:tc>
          <w:tcPr>
            <w:tcW w:type="dxa" w:w="2320"/>
            <w:shd w:fill="F2F2F2" w:val="clear"/>
            <w:tcMar>
              <w:top w:type="dxa" w:w="80"/>
              <w:left w:type="dxa" w:w="100"/>
              <w:bottom w:type="dxa" w:w="80"/>
              <w:right w:type="dxa" w:w="100"/>
            </w:tcMar>
            <w:vAlign w:val="center"/>
          </w:tcPr>
          <w:p>
            <w:pPr>
              <w:jc w:val="center"/>
            </w:pPr>
            <w:r>
              <w:rPr>
                <w:b w:val="false"/>
                <w:bCs w:val="false"/>
                <w:color w:val="1E7D32"/>
                <w:sz w:val="18"/>
                <w:szCs w:val="18"/>
              </w:rPr>
              <w:t xml:space="preserve">p &lt; 0.0001</w:t>
            </w:r>
          </w:p>
        </w:tc>
        <w:tc>
          <w:tcPr>
            <w:tcW w:type="dxa" w:w="2320"/>
            <w:shd w:fill="F2F2F2" w:val="clear"/>
            <w:tcMar>
              <w:top w:type="dxa" w:w="80"/>
              <w:left w:type="dxa" w:w="100"/>
              <w:bottom w:type="dxa" w:w="80"/>
              <w:right w:type="dxa" w:w="100"/>
            </w:tcMar>
            <w:vAlign w:val="center"/>
          </w:tcPr>
          <w:p>
            <w:pPr>
              <w:jc w:val="center"/>
            </w:pPr>
            <w:r>
              <w:rPr>
                <w:b w:val="false"/>
                <w:bCs w:val="false"/>
                <w:color w:val="1E7D32"/>
                <w:sz w:val="18"/>
                <w:szCs w:val="18"/>
              </w:rPr>
              <w:t xml:space="preserve">p &lt; 0.0001</w:t>
            </w:r>
          </w:p>
        </w:tc>
      </w:tr>
    </w:tbl>
    <w:p>
      <w:pPr>
        <w:spacing w:after="160" w:before="160"/>
      </w:pPr>
      <w:r>
        <w:t xml:space="preserve">The one non-significant result confirms with a formal test what Part A's single split could only suggest: SARIMAX's apparent edge over the naive baseline does not reliably generalize.</w:t>
      </w:r>
    </w:p>
    <w:p>
      <w:pPr>
        <w:pStyle w:val="Heading2"/>
        <w:spacing w:after="120" w:before="240"/>
      </w:pPr>
      <w:r>
        <w:t xml:space="preserve">B3. Forecast Uncertainty: Are the Confidence Intervals Trustworthy?</w:t>
      </w:r>
    </w:p>
    <w:p>
      <w:pPr>
        <w:spacing w:after="160"/>
      </w:pPr>
      <w:r>
        <w:t xml:space="preserve">Both models were configured to produce 90% prediction intervals. Coverage, the percentage of actual outcomes that fell inside the model's own stated interval, tests whether that 90% figure can be trusted at face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vAlign w:val="center"/>
          </w:tcPr>
          <w:p>
            <w:pPr>
              <w:jc w:val="center"/>
            </w:pPr>
            <w:r>
              <w:rPr>
                <w:b/>
                <w:bCs/>
                <w:color w:val="FFFFFF"/>
                <w:sz w:val="18"/>
                <w:szCs w:val="18"/>
              </w:rPr>
              <w:t xml:space="preserve">Series</w:t>
            </w:r>
          </w:p>
        </w:tc>
        <w:tc>
          <w:tcPr>
            <w:tcW w:type="dxa" w:w="3120"/>
            <w:shd w:fill="1F3864" w:val="clear"/>
            <w:tcMar>
              <w:top w:type="dxa" w:w="80"/>
              <w:left w:type="dxa" w:w="100"/>
              <w:bottom w:type="dxa" w:w="80"/>
              <w:right w:type="dxa" w:w="100"/>
            </w:tcMar>
            <w:vAlign w:val="center"/>
          </w:tcPr>
          <w:p>
            <w:pPr>
              <w:jc w:val="center"/>
            </w:pPr>
            <w:r>
              <w:rPr>
                <w:b/>
                <w:bCs/>
                <w:color w:val="FFFFFF"/>
                <w:sz w:val="18"/>
                <w:szCs w:val="18"/>
              </w:rPr>
              <w:t xml:space="preserve">SARIMAX coverage
(90% target)</w:t>
            </w:r>
          </w:p>
        </w:tc>
        <w:tc>
          <w:tcPr>
            <w:tcW w:type="dxa" w:w="3120"/>
            <w:shd w:fill="1F3864" w:val="clear"/>
            <w:tcMar>
              <w:top w:type="dxa" w:w="80"/>
              <w:left w:type="dxa" w:w="100"/>
              <w:bottom w:type="dxa" w:w="80"/>
              <w:right w:type="dxa" w:w="100"/>
            </w:tcMar>
            <w:vAlign w:val="center"/>
          </w:tcPr>
          <w:p>
            <w:pPr>
              <w:jc w:val="center"/>
            </w:pPr>
            <w:r>
              <w:rPr>
                <w:b/>
                <w:bCs/>
                <w:color w:val="FFFFFF"/>
                <w:sz w:val="18"/>
                <w:szCs w:val="18"/>
              </w:rPr>
              <w:t xml:space="preserve">Prophet coverage
(90% target)</w:t>
            </w:r>
          </w:p>
        </w:tc>
      </w:tr>
      <w:tr>
        <w:tc>
          <w:tcPr>
            <w:tcW w:type="dxa" w:w="3120"/>
            <w:shd w:fill="F2F2F2" w:val="clear"/>
            <w:tcMar>
              <w:top w:type="dxa" w:w="80"/>
              <w:left w:type="dxa" w:w="100"/>
              <w:bottom w:type="dxa" w:w="80"/>
              <w:right w:type="dxa" w:w="100"/>
            </w:tcMar>
            <w:vAlign w:val="center"/>
          </w:tcPr>
          <w:p>
            <w:pPr>
              <w:jc w:val="left"/>
            </w:pPr>
            <w:r>
              <w:rPr>
                <w:b w:val="null"/>
                <w:bCs w:val="null"/>
                <w:color w:val="000000"/>
                <w:sz w:val="18"/>
                <w:szCs w:val="18"/>
              </w:rPr>
              <w:t xml:space="preserve">High-volume</w:t>
            </w:r>
          </w:p>
        </w:tc>
        <w:tc>
          <w:tcPr>
            <w:tcW w:type="dxa" w:w="312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77.5%, slightly too narrow</w:t>
            </w:r>
          </w:p>
        </w:tc>
        <w:tc>
          <w:tcPr>
            <w:tcW w:type="dxa" w:w="312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81.5%, too narrow</w:t>
            </w:r>
          </w:p>
        </w:tc>
      </w:tr>
      <w:tr>
        <w:tc>
          <w:tcPr>
            <w:tcW w:type="dxa" w:w="3120"/>
            <w:shd w:fill="FFFFFF" w:val="clear"/>
            <w:tcMar>
              <w:top w:type="dxa" w:w="80"/>
              <w:left w:type="dxa" w:w="100"/>
              <w:bottom w:type="dxa" w:w="80"/>
              <w:right w:type="dxa" w:w="100"/>
            </w:tcMar>
            <w:vAlign w:val="center"/>
          </w:tcPr>
          <w:p>
            <w:pPr>
              <w:jc w:val="left"/>
            </w:pPr>
            <w:r>
              <w:rPr>
                <w:b w:val="null"/>
                <w:bCs w:val="null"/>
                <w:color w:val="000000"/>
                <w:sz w:val="18"/>
                <w:szCs w:val="18"/>
              </w:rPr>
              <w:t xml:space="preserve">Mid-volume</w:t>
            </w:r>
          </w:p>
        </w:tc>
        <w:tc>
          <w:tcPr>
            <w:tcW w:type="dxa" w:w="312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98.9%, much too wide</w:t>
            </w:r>
          </w:p>
        </w:tc>
        <w:tc>
          <w:tcPr>
            <w:tcW w:type="dxa" w:w="312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82.2%, too narrow</w:t>
            </w:r>
          </w:p>
        </w:tc>
      </w:tr>
      <w:tr>
        <w:tc>
          <w:tcPr>
            <w:tcW w:type="dxa" w:w="3120"/>
            <w:shd w:fill="F2F2F2" w:val="clear"/>
            <w:tcMar>
              <w:top w:type="dxa" w:w="80"/>
              <w:left w:type="dxa" w:w="100"/>
              <w:bottom w:type="dxa" w:w="80"/>
              <w:right w:type="dxa" w:w="100"/>
            </w:tcMar>
            <w:vAlign w:val="center"/>
          </w:tcPr>
          <w:p>
            <w:pPr>
              <w:jc w:val="left"/>
            </w:pPr>
            <w:r>
              <w:rPr>
                <w:b w:val="null"/>
                <w:bCs w:val="null"/>
                <w:color w:val="000000"/>
                <w:sz w:val="18"/>
                <w:szCs w:val="18"/>
              </w:rPr>
              <w:t xml:space="preserve">Low-volume</w:t>
            </w:r>
          </w:p>
        </w:tc>
        <w:tc>
          <w:tcPr>
            <w:tcW w:type="dxa" w:w="312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99.6%, much too wide</w:t>
            </w:r>
          </w:p>
        </w:tc>
        <w:tc>
          <w:tcPr>
            <w:tcW w:type="dxa" w:w="312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85.1%, too narrow</w:t>
            </w:r>
          </w:p>
        </w:tc>
      </w:tr>
    </w:tbl>
    <w:p>
      <w:pPr>
        <w:spacing w:after="160" w:before="160"/>
      </w:pPr>
      <w:r>
        <w:t xml:space="preserve">Neither model is well-calibrated out of the box. Prophet's intervals are consistently too narrow on all three tiers. SARIMAX's are inconsistent: reasonable on high-volume, far too wide on mid- and low-volume.</w:t>
      </w:r>
    </w:p>
    <w:p>
      <w:pPr>
        <w:pStyle w:val="Heading1"/>
        <w:spacing w:after="150" w:before="300"/>
      </w:pPr>
      <w:r>
        <w:t xml:space="preserve">Recommendations, Full Technical Detail</w:t>
      </w:r>
    </w:p>
    <w:p>
      <w:pPr>
        <w:pStyle w:val="ListParagraph"/>
        <w:numPr>
          <w:ilvl w:val="0"/>
          <w:numId w:val="4"/>
        </w:numPr>
        <w:spacing w:after="140"/>
      </w:pPr>
      <w:r>
        <w:t xml:space="preserve">Deploy Prophet, fit with US holiday effects, as the forecasting model for quarterly stocking decisions. Its accuracy advantage over both the naive baseline and SARIMAX is statistically significant (p &lt; 0.001) across all three volume tiers and all three quarters tested. This is not a one-off result.</w:t>
      </w:r>
    </w:p>
    <w:p>
      <w:pPr>
        <w:pStyle w:val="ListParagraph"/>
        <w:numPr>
          <w:ilvl w:val="0"/>
          <w:numId w:val="4"/>
        </w:numPr>
        <w:spacing w:after="140"/>
      </w:pPr>
      <w:r>
        <w:t xml:space="preserve">Do not deploy the SARIMAX/Fourier-terms model without per-product validation. It is statistically indistinguishable from the naive baseline on the mid-volume product (p = 0.42) despite beating it on the other two, so its accuracy does not reliably generalize.</w:t>
      </w:r>
    </w:p>
    <w:p>
      <w:pPr>
        <w:pStyle w:val="ListParagraph"/>
        <w:numPr>
          <w:ilvl w:val="0"/>
          <w:numId w:val="4"/>
        </w:numPr>
        <w:spacing w:after="140"/>
      </w:pPr>
      <w:r>
        <w:t xml:space="preserve">Plan Q4 stocking below Q3 levels for these product tiers, not above. Actual Q4 demand ran roughly 20% below Q3 across every series tested, consistently.</w:t>
      </w:r>
    </w:p>
    <w:p>
      <w:pPr>
        <w:pStyle w:val="ListParagraph"/>
        <w:numPr>
          <w:ilvl w:val="0"/>
          <w:numId w:val="4"/>
        </w:numPr>
        <w:spacing w:after="140"/>
      </w:pPr>
      <w:r>
        <w:t xml:space="preserve">Do not use Prophet's or SARIMAX's stated confidence interval at face value. Both are miscalibrated. Use an empirically adjusted buffer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900"/>
        <w:gridCol w:w="2060"/>
      </w:tblGrid>
      <w:tr>
        <w:trPr>
          <w:tblHeader/>
        </w:trPr>
        <w:tc>
          <w:tcPr>
            <w:tcW w:type="dxa" w:w="2900"/>
            <w:shd w:fill="1F3864" w:val="clear"/>
            <w:tcMar>
              <w:top w:type="dxa" w:w="80"/>
              <w:left w:type="dxa" w:w="100"/>
              <w:bottom w:type="dxa" w:w="80"/>
              <w:right w:type="dxa" w:w="100"/>
            </w:tcMar>
            <w:vAlign w:val="center"/>
          </w:tcPr>
          <w:p>
            <w:pPr>
              <w:jc w:val="center"/>
            </w:pPr>
            <w:r>
              <w:rPr>
                <w:b/>
                <w:bCs/>
                <w:color w:val="FFFFFF"/>
                <w:sz w:val="18"/>
                <w:szCs w:val="18"/>
              </w:rPr>
              <w:t xml:space="preserve">Series</w:t>
            </w:r>
          </w:p>
        </w:tc>
        <w:tc>
          <w:tcPr>
            <w:tcW w:type="dxa" w:w="2500"/>
            <w:shd w:fill="1F3864" w:val="clear"/>
            <w:tcMar>
              <w:top w:type="dxa" w:w="80"/>
              <w:left w:type="dxa" w:w="100"/>
              <w:bottom w:type="dxa" w:w="80"/>
              <w:right w:type="dxa" w:w="100"/>
            </w:tcMar>
            <w:vAlign w:val="center"/>
          </w:tcPr>
          <w:p>
            <w:pPr>
              <w:jc w:val="center"/>
            </w:pPr>
            <w:r>
              <w:rPr>
                <w:b/>
                <w:bCs/>
                <w:color w:val="FFFFFF"/>
                <w:sz w:val="18"/>
                <w:szCs w:val="18"/>
              </w:rPr>
              <w:t xml:space="preserve">Prophet's own
90% interval half-width</w:t>
            </w:r>
          </w:p>
        </w:tc>
        <w:tc>
          <w:tcPr>
            <w:tcW w:type="dxa" w:w="1900"/>
            <w:shd w:fill="1F3864" w:val="clear"/>
            <w:tcMar>
              <w:top w:type="dxa" w:w="80"/>
              <w:left w:type="dxa" w:w="100"/>
              <w:bottom w:type="dxa" w:w="80"/>
              <w:right w:type="dxa" w:w="100"/>
            </w:tcMar>
            <w:vAlign w:val="center"/>
          </w:tcPr>
          <w:p>
            <w:pPr>
              <w:jc w:val="center"/>
            </w:pPr>
            <w:r>
              <w:rPr>
                <w:b/>
                <w:bCs/>
                <w:color w:val="FFFFFF"/>
                <w:sz w:val="18"/>
                <w:szCs w:val="18"/>
              </w:rPr>
              <w:t xml:space="preserve">Backtested
coverage</w:t>
            </w:r>
          </w:p>
        </w:tc>
        <w:tc>
          <w:tcPr>
            <w:tcW w:type="dxa" w:w="2060"/>
            <w:shd w:fill="1F3864" w:val="clear"/>
            <w:tcMar>
              <w:top w:type="dxa" w:w="80"/>
              <w:left w:type="dxa" w:w="100"/>
              <w:bottom w:type="dxa" w:w="80"/>
              <w:right w:type="dxa" w:w="100"/>
            </w:tcMar>
            <w:vAlign w:val="center"/>
          </w:tcPr>
          <w:p>
            <w:pPr>
              <w:jc w:val="center"/>
            </w:pPr>
            <w:r>
              <w:rPr>
                <w:b/>
                <w:bCs/>
                <w:color w:val="FFFFFF"/>
                <w:sz w:val="18"/>
                <w:szCs w:val="18"/>
              </w:rPr>
              <w:t xml:space="preserve">Calibration-adjusted
buffer (x1.2)</w:t>
            </w:r>
          </w:p>
        </w:tc>
      </w:tr>
      <w:tr>
        <w:tc>
          <w:tcPr>
            <w:tcW w:type="dxa" w:w="2900"/>
            <w:shd w:fill="F2F2F2" w:val="clear"/>
            <w:tcMar>
              <w:top w:type="dxa" w:w="80"/>
              <w:left w:type="dxa" w:w="100"/>
              <w:bottom w:type="dxa" w:w="80"/>
              <w:right w:type="dxa" w:w="100"/>
            </w:tcMar>
            <w:vAlign w:val="center"/>
          </w:tcPr>
          <w:p>
            <w:pPr>
              <w:jc w:val="left"/>
            </w:pPr>
            <w:r>
              <w:rPr>
                <w:b w:val="null"/>
                <w:bCs w:val="null"/>
                <w:color w:val="000000"/>
                <w:sz w:val="18"/>
                <w:szCs w:val="18"/>
              </w:rPr>
              <w:t xml:space="preserve">High-volume</w:t>
            </w:r>
          </w:p>
        </w:tc>
        <w:tc>
          <w:tcPr>
            <w:tcW w:type="dxa" w:w="25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+/-18.9 units/day</w:t>
            </w:r>
          </w:p>
        </w:tc>
        <w:tc>
          <w:tcPr>
            <w:tcW w:type="dxa" w:w="19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81.5% (vs. 90% target)</w:t>
            </w:r>
          </w:p>
        </w:tc>
        <w:tc>
          <w:tcPr>
            <w:tcW w:type="dxa" w:w="206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~23 units/day</w:t>
            </w:r>
          </w:p>
        </w:tc>
      </w:tr>
      <w:tr>
        <w:tc>
          <w:tcPr>
            <w:tcW w:type="dxa" w:w="2900"/>
            <w:shd w:fill="FFFFFF" w:val="clear"/>
            <w:tcMar>
              <w:top w:type="dxa" w:w="80"/>
              <w:left w:type="dxa" w:w="100"/>
              <w:bottom w:type="dxa" w:w="80"/>
              <w:right w:type="dxa" w:w="100"/>
            </w:tcMar>
            <w:vAlign w:val="center"/>
          </w:tcPr>
          <w:p>
            <w:pPr>
              <w:jc w:val="left"/>
            </w:pPr>
            <w:r>
              <w:rPr>
                <w:b w:val="null"/>
                <w:bCs w:val="null"/>
                <w:color w:val="000000"/>
                <w:sz w:val="18"/>
                <w:szCs w:val="18"/>
              </w:rPr>
              <w:t xml:space="preserve">Mid-volume</w:t>
            </w:r>
          </w:p>
        </w:tc>
        <w:tc>
          <w:tcPr>
            <w:tcW w:type="dxa" w:w="250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+/-12.1 units/day</w:t>
            </w:r>
          </w:p>
        </w:tc>
        <w:tc>
          <w:tcPr>
            <w:tcW w:type="dxa" w:w="190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82.2% (vs. 90% target)</w:t>
            </w:r>
          </w:p>
        </w:tc>
        <w:tc>
          <w:tcPr>
            <w:tcW w:type="dxa" w:w="2060"/>
            <w:shd w:fill="FFFFFF" w:val="clear"/>
            <w:tcMar>
              <w:top w:type="dxa" w:w="80"/>
              <w:left w:type="dxa" w:w="100"/>
              <w:bottom w:type="dxa" w:w="80"/>
              <w:right w:type="dxa" w:w="100"/>
            </w:tcMar>
            <w:vAlign w:val="center"/>
          </w:tcPr>
          <w:p>
            <w:pPr>
              <w:jc w:val="center"/>
            </w:pPr>
            <w:r>
              <w:rPr>
                <w:b w:val="null"/>
                <w:bCs w:val="null"/>
                <w:color w:val="000000"/>
                <w:sz w:val="18"/>
                <w:szCs w:val="18"/>
              </w:rPr>
              <w:t xml:space="preserve">~15 units/day</w:t>
            </w:r>
          </w:p>
        </w:tc>
      </w:tr>
      <w:tr>
        <w:tc>
          <w:tcPr>
            <w:tcW w:type="dxa" w:w="2900"/>
            <w:shd w:fill="F2F2F2" w:val="clear"/>
            <w:tcMar>
              <w:top w:type="dxa" w:w="80"/>
              <w:left w:type="dxa" w:w="100"/>
              <w:bottom w:type="dxa" w:w="80"/>
              <w:right w:type="dxa" w:w="100"/>
            </w:tcMar>
            <w:vAlign w:val="center"/>
          </w:tcPr>
          <w:p>
            <w:pPr>
              <w:jc w:val="left"/>
            </w:pPr>
            <w:r>
              <w:rPr>
                <w:b w:val="null"/>
                <w:bCs w:val="null"/>
                <w:color w:val="000000"/>
                <w:sz w:val="18"/>
                <w:szCs w:val="18"/>
              </w:rPr>
              <w:t xml:space="preserve">Low-volume</w:t>
            </w:r>
          </w:p>
        </w:tc>
        <w:tc>
          <w:tcPr>
            <w:tcW w:type="dxa" w:w="25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+/-5.9 units/day</w:t>
            </w:r>
          </w:p>
        </w:tc>
        <w:tc>
          <w:tcPr>
            <w:tcW w:type="dxa" w:w="190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85.1% (vs. 90% target)</w:t>
            </w:r>
          </w:p>
        </w:tc>
        <w:tc>
          <w:tcPr>
            <w:tcW w:type="dxa" w:w="2060"/>
            <w:shd w:fill="F2F2F2" w:val="clear"/>
            <w:tcMar>
              <w:top w:type="dxa" w:w="80"/>
              <w:left w:type="dxa" w:w="100"/>
              <w:bottom w:type="dxa" w:w="80"/>
              <w:right w:type="dxa" w:w="100"/>
            </w:tcMar>
            <w:vAlign w:val="center"/>
          </w:tcPr>
          <w:p>
            <w:pPr>
              <w:jc w:val="center"/>
            </w:pPr>
            <w:r>
              <w:rPr>
                <w:b w:val="null"/>
                <w:bCs w:val="null"/>
                <w:color w:val="000000"/>
                <w:sz w:val="18"/>
                <w:szCs w:val="18"/>
              </w:rPr>
              <w:t xml:space="preserve">~7 units/day</w:t>
            </w:r>
          </w:p>
        </w:tc>
      </w:tr>
    </w:tbl>
    <w:p>
      <w:pPr>
        <w:spacing w:after="160" w:before="100"/>
      </w:pPr>
      <w:r>
        <w:t xml:space="preserve">Buffer = Prophet's forecast +/- 1.2x its own stated 90% interval half-width, which brings backtested coverage close to the intended 90% service level.</w:t>
      </w:r>
    </w:p>
    <w:p>
      <w:pPr>
        <w:pStyle w:val="ListParagraph"/>
        <w:numPr>
          <w:ilvl w:val="0"/>
          <w:numId w:val="4"/>
        </w:numPr>
        <w:spacing w:after="140"/>
      </w:pPr>
      <w:r>
        <w:t xml:space="preserve">Validate on a broader product sample before full catalog rollout. Three series across the volume spectrum, each tested on three separate quarters, establish a statistically supported directional model choice; they do not certify per-SKU accuracy for all 500 store-item combinations.</w:t>
      </w:r>
    </w:p>
    <w:p>
      <w:pPr>
        <w:pStyle w:val="Heading1"/>
        <w:spacing w:after="150" w:before="300"/>
      </w:pPr>
      <w:r>
        <w:t xml:space="preserve">Limitations</w:t>
      </w:r>
    </w:p>
    <w:p>
      <w:pPr>
        <w:pStyle w:val="ListParagraph"/>
        <w:numPr>
          <w:ilvl w:val="0"/>
          <w:numId w:val="2"/>
        </w:numPr>
        <w:spacing w:after="100"/>
      </w:pPr>
      <w:r>
        <w:t xml:space="preserve">Rolling-origin validation covered 3 folds (one year of quarters) per series, not a multi-year rolling window. A longer validation history would strengthen the significance tests further.</w:t>
      </w:r>
    </w:p>
    <w:p>
      <w:pPr>
        <w:pStyle w:val="ListParagraph"/>
        <w:numPr>
          <w:ilvl w:val="0"/>
          <w:numId w:val="2"/>
        </w:numPr>
        <w:spacing w:after="100"/>
      </w:pPr>
      <w:r>
        <w:t xml:space="preserve">This is a historical backtest against known 2017 outcomes, used for model selection, not a live forecast into an unknown future quarter. Before acting on live numbers, Prophet should be re-fit on the most recent available data and re-validated on the specific SKUs being stocked.</w:t>
      </w:r>
    </w:p>
    <w:p>
      <w:pPr>
        <w:pStyle w:val="ListParagraph"/>
        <w:numPr>
          <w:ilvl w:val="0"/>
          <w:numId w:val="2"/>
        </w:numPr>
        <w:spacing w:after="100"/>
      </w:pPr>
      <w:r>
        <w:t xml:space="preserve">Interval calibration was assessed on the same folds used for model comparison; a fully rigorous calibration study would use a separate held-out calibration set.</w:t>
      </w:r>
    </w:p>
    <w:p>
      <w:pPr>
        <w:spacing w:before="300"/>
      </w:pPr>
      <w:r>
        <w:rPr>
          <w:i/>
          <w:iCs/>
          <w:color w:val="595959"/>
          <w:sz w:val="18"/>
          <w:szCs w:val="18"/>
        </w:rPr>
        <w:t xml:space="preserve">Full methodology, decomposition, and code: see accompanying notebook (Project4_Time_Series_Forecasting.ipynb).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2026-08-10T04:19:16.271Z</dcterms:created>
  <dcterms:modified xsi:type="dcterms:W3CDTF">2026-08-10T04:19:16.271Z</dcterms:modified>
</cp:coreProperties>
</file>

<file path=docProps/custom.xml><?xml version="1.0" encoding="utf-8"?>
<Properties xmlns="http://schemas.openxmlformats.org/officeDocument/2006/custom-properties" xmlns:vt="http://schemas.openxmlformats.org/officeDocument/2006/docPropsVTypes"/>
</file>