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088A9">
      <w:pPr>
        <w:pStyle w:val="2"/>
        <w:bidi w:val="0"/>
        <w:rPr>
          <w:rFonts w:hint="default"/>
          <w:color w:val="3C3F40"/>
          <w:sz w:val="44"/>
          <w:szCs w:val="44"/>
          <w:lang w:val="es-MX"/>
        </w:rPr>
      </w:pPr>
      <w:r>
        <w:rPr>
          <w:rFonts w:hint="default"/>
          <w:color w:val="3C3F40"/>
          <w:sz w:val="44"/>
          <w:szCs w:val="44"/>
          <w:lang w:val="es-MX"/>
        </w:rPr>
        <w:t>BOLETÍN METEOROLÓGICO</w:t>
      </w:r>
    </w:p>
    <w:p w14:paraId="14C1852E">
      <w:pPr>
        <w:rPr>
          <w:rFonts w:hint="default" w:ascii="Source Sans 3 SemiBold" w:hAnsi="Source Sans 3 SemiBold" w:cs="Source Sans 3 SemiBold"/>
          <w:color w:val="73706C"/>
          <w:sz w:val="28"/>
          <w:szCs w:val="28"/>
          <w:lang w:val="es-MX"/>
        </w:rPr>
      </w:pPr>
      <w:r>
        <w:rPr>
          <w:rFonts w:hint="default" w:ascii="Source Sans 3 SemiBold" w:hAnsi="Source Sans 3 SemiBold" w:cs="Source Sans 3 SemiBold"/>
          <w:i/>
          <w:iCs/>
          <w:color w:val="73706C"/>
          <w:sz w:val="28"/>
          <w:szCs w:val="28"/>
          <w:lang w:val="es-MX"/>
        </w:rPr>
        <w:t>Guadalajara, Jalisco</w:t>
      </w:r>
    </w:p>
    <w:p w14:paraId="650F3C6E">
      <w:pPr>
        <w:rPr>
          <w:rFonts w:hint="default" w:ascii="Source Sans 3 SemiBold" w:hAnsi="Source Sans 3 SemiBold" w:cs="Source Sans 3 SemiBold"/>
          <w:color w:val="73706C"/>
          <w:sz w:val="24"/>
          <w:szCs w:val="24"/>
          <w:lang w:val="es-MX"/>
        </w:rPr>
      </w:pPr>
      <w:r>
        <w:rPr>
          <w:rFonts w:hint="default" w:ascii="Source Sans 3 SemiBold" w:hAnsi="Source Sans 3 SemiBold" w:cs="Source Sans 3 SemiBold"/>
          <w:color w:val="73706C"/>
          <w:sz w:val="24"/>
          <w:szCs w:val="24"/>
          <w:lang w:val="es-MX"/>
        </w:rPr>
        <w:t xml:space="preserve">Lunes 27 de abril de 2026 </w:t>
      </w:r>
    </w:p>
    <w:p w14:paraId="272DD2BD">
      <w:pPr>
        <w:rPr>
          <w:rFonts w:hint="default" w:ascii="Source Sans 3 SemiBold" w:hAnsi="Source Sans 3 SemiBold" w:cs="Source Sans 3 SemiBold"/>
          <w:lang w:val="es-MX"/>
        </w:rPr>
      </w:pPr>
      <w:r>
        <w:rPr>
          <w:rFonts w:hint="default" w:ascii="Source Sans 3 SemiBold" w:hAnsi="Source Sans 3 SemiBold" w:cs="Source Sans 3 SemiBold"/>
          <w:color w:val="73706C"/>
          <w:lang w:val="es-MX"/>
        </w:rPr>
        <w:t>Hora local: 19:00 hrs.</w:t>
      </w:r>
    </w:p>
    <w:p w14:paraId="2C6F793B">
      <w:pPr>
        <w:pStyle w:val="3"/>
        <w:bidi w:val="0"/>
        <w:rPr>
          <w:rFonts w:hint="default"/>
          <w:color w:val="3C3F40"/>
          <w:lang w:val="es-MX"/>
        </w:rPr>
      </w:pPr>
      <w:r>
        <w:rPr>
          <w:rFonts w:hint="default"/>
          <w:color w:val="3C3F40"/>
          <w:lang w:val="es-MX"/>
        </w:rPr>
        <w:t>Resumen técnico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1468"/>
        <w:gridCol w:w="1674"/>
        <w:gridCol w:w="1674"/>
      </w:tblGrid>
      <w:tr w14:paraId="2EC94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8" w:type="dxa"/>
            <w:gridSpan w:val="2"/>
            <w:tcBorders>
              <w:top w:val="single" w:color="4874CB" w:sz="18" w:space="0"/>
              <w:left w:val="single" w:color="4874CB" w:sz="18" w:space="0"/>
              <w:bottom w:val="single" w:color="4874CB" w:sz="18" w:space="0"/>
            </w:tcBorders>
            <w:vAlign w:val="center"/>
          </w:tcPr>
          <w:p w14:paraId="2929F62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ource Sans 3" w:hAnsi="Source Sans 3" w:cs="Source Sans 3"/>
                <w:b/>
                <w:bCs/>
                <w:color w:val="3C3F40"/>
                <w:szCs w:val="20"/>
                <w:vertAlign w:val="baseline"/>
                <w:lang w:val="es-MX"/>
              </w:rPr>
            </w:pPr>
            <w:r>
              <w:rPr>
                <w:rFonts w:hint="default" w:ascii="Source Sans 3" w:hAnsi="Source Sans 3" w:cs="Source Sans 3"/>
                <w:b/>
                <w:bCs/>
                <w:color w:val="3C3F40"/>
                <w:szCs w:val="20"/>
                <w:vertAlign w:val="baseline"/>
                <w:lang w:val="es-MX"/>
              </w:rPr>
              <w:t>Sistemas presentes:</w:t>
            </w:r>
          </w:p>
        </w:tc>
        <w:tc>
          <w:tcPr>
            <w:tcW w:w="3348" w:type="dxa"/>
            <w:gridSpan w:val="2"/>
            <w:tcBorders>
              <w:top w:val="single" w:color="4874CB" w:sz="18" w:space="0"/>
              <w:bottom w:val="single" w:color="4874CB" w:sz="18" w:space="0"/>
              <w:right w:val="single" w:color="4874CB" w:sz="18" w:space="0"/>
            </w:tcBorders>
            <w:vAlign w:val="center"/>
          </w:tcPr>
          <w:p w14:paraId="14DCF3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Source Sans 3" w:hAnsi="Source Sans 3" w:cs="Source Sans 3"/>
                <w:color w:val="3C3F40"/>
                <w:szCs w:val="20"/>
                <w:vertAlign w:val="baseline"/>
                <w:lang w:val="es-MX"/>
              </w:rPr>
            </w:pPr>
            <w:r>
              <w:rPr>
                <w:rFonts w:hint="default" w:ascii="Source Sans 3" w:hAnsi="Source Sans 3" w:cs="Source Sans 3"/>
                <w:color w:val="3C3F40"/>
                <w:szCs w:val="20"/>
                <w:vertAlign w:val="baseline"/>
                <w:lang w:val="es-MX"/>
              </w:rPr>
              <w:t>Ola de calor al centro este y oeste del país.</w:t>
            </w:r>
          </w:p>
          <w:p w14:paraId="4BE90D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Source Sans 3" w:hAnsi="Source Sans 3" w:cs="Source Sans 3"/>
                <w:color w:val="3C3F40"/>
                <w:szCs w:val="20"/>
                <w:vertAlign w:val="baseline"/>
                <w:lang w:val="es-MX"/>
              </w:rPr>
            </w:pPr>
            <w:r>
              <w:rPr>
                <w:rFonts w:hint="default" w:ascii="Source Sans 3" w:hAnsi="Source Sans 3" w:cs="Source Sans 3"/>
                <w:color w:val="3C3F40"/>
                <w:szCs w:val="20"/>
                <w:vertAlign w:val="baseline"/>
                <w:lang w:val="es-MX"/>
              </w:rPr>
              <w:t>Línea seca al oriente</w:t>
            </w:r>
          </w:p>
        </w:tc>
      </w:tr>
      <w:tr w14:paraId="1D228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vMerge w:val="restart"/>
            <w:tcBorders>
              <w:top w:val="single" w:color="4874CB" w:sz="18" w:space="0"/>
              <w:left w:val="single" w:color="4874CB" w:sz="18" w:space="0"/>
            </w:tcBorders>
            <w:vAlign w:val="center"/>
          </w:tcPr>
          <w:p w14:paraId="78A543A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ource Sans 3" w:hAnsi="Source Sans 3" w:cs="Source Sans 3"/>
                <w:b/>
                <w:bCs/>
                <w:color w:val="3C3F40"/>
                <w:szCs w:val="20"/>
                <w:vertAlign w:val="baseline"/>
                <w:lang w:val="es-MX"/>
              </w:rPr>
            </w:pPr>
            <w:r>
              <w:rPr>
                <w:rFonts w:hint="default" w:ascii="Source Sans 3" w:hAnsi="Source Sans 3" w:cs="Source Sans 3"/>
                <w:b/>
                <w:bCs/>
                <w:color w:val="3C3F40"/>
                <w:szCs w:val="20"/>
                <w:vertAlign w:val="baseline"/>
                <w:lang w:val="es-MX"/>
              </w:rPr>
              <w:t>Registros recientes</w:t>
            </w:r>
          </w:p>
        </w:tc>
        <w:tc>
          <w:tcPr>
            <w:tcW w:w="1468" w:type="dxa"/>
            <w:tcBorders>
              <w:top w:val="single" w:color="4874CB" w:sz="18" w:space="0"/>
              <w:bottom w:val="single" w:color="4874CB" w:sz="12" w:space="0"/>
            </w:tcBorders>
            <w:vAlign w:val="center"/>
          </w:tcPr>
          <w:p w14:paraId="575D979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ource Sans 3" w:hAnsi="Source Sans 3" w:cs="Source Sans 3"/>
                <w:b w:val="0"/>
                <w:bCs w:val="0"/>
                <w:i/>
                <w:iCs/>
                <w:color w:val="3C3F40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 w:ascii="Source Sans 3" w:hAnsi="Source Sans 3" w:cs="Source Sans 3"/>
                <w:b w:val="0"/>
                <w:bCs w:val="0"/>
                <w:i/>
                <w:iCs/>
                <w:color w:val="3C3F40"/>
                <w:sz w:val="20"/>
                <w:szCs w:val="20"/>
                <w:vertAlign w:val="baseline"/>
                <w:lang w:val="es-MX"/>
              </w:rPr>
              <w:t xml:space="preserve">Temperatura </w:t>
            </w:r>
          </w:p>
        </w:tc>
        <w:tc>
          <w:tcPr>
            <w:tcW w:w="1674" w:type="dxa"/>
            <w:tcBorders>
              <w:top w:val="single" w:color="4874CB" w:sz="18" w:space="0"/>
              <w:bottom w:val="single" w:color="4874CB" w:sz="12" w:space="0"/>
            </w:tcBorders>
            <w:vAlign w:val="center"/>
          </w:tcPr>
          <w:p w14:paraId="431F06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ource Sans 3" w:hAnsi="Source Sans 3" w:cs="Source Sans 3"/>
                <w:b w:val="0"/>
                <w:bCs w:val="0"/>
                <w:i/>
                <w:iCs/>
                <w:color w:val="3C3F40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 w:ascii="Source Sans 3" w:hAnsi="Source Sans 3" w:cs="Source Sans 3"/>
                <w:b w:val="0"/>
                <w:bCs w:val="0"/>
                <w:i/>
                <w:iCs/>
                <w:color w:val="3C3F40"/>
                <w:sz w:val="20"/>
                <w:szCs w:val="20"/>
                <w:vertAlign w:val="baseline"/>
                <w:lang w:val="es-MX"/>
              </w:rPr>
              <w:t>Precipitación</w:t>
            </w:r>
          </w:p>
        </w:tc>
        <w:tc>
          <w:tcPr>
            <w:tcW w:w="1674" w:type="dxa"/>
            <w:tcBorders>
              <w:top w:val="single" w:color="4874CB" w:sz="18" w:space="0"/>
              <w:bottom w:val="single" w:color="4874CB" w:sz="12" w:space="0"/>
              <w:right w:val="single" w:color="4874CB" w:sz="18" w:space="0"/>
            </w:tcBorders>
            <w:vAlign w:val="center"/>
          </w:tcPr>
          <w:p w14:paraId="5E66793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ource Sans 3" w:hAnsi="Source Sans 3" w:cs="Source Sans 3"/>
                <w:b w:val="0"/>
                <w:bCs w:val="0"/>
                <w:i/>
                <w:iCs/>
                <w:color w:val="3C3F40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 w:ascii="Source Sans 3" w:hAnsi="Source Sans 3" w:cs="Source Sans 3"/>
                <w:b w:val="0"/>
                <w:bCs w:val="0"/>
                <w:i/>
                <w:iCs/>
                <w:color w:val="3C3F40"/>
                <w:sz w:val="20"/>
                <w:szCs w:val="20"/>
                <w:vertAlign w:val="baseline"/>
                <w:lang w:val="es-MX"/>
              </w:rPr>
              <w:t>Viento</w:t>
            </w:r>
          </w:p>
        </w:tc>
      </w:tr>
      <w:tr w14:paraId="5CBF7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0" w:type="dxa"/>
            <w:vMerge w:val="continue"/>
            <w:tcBorders>
              <w:left w:val="single" w:color="4874CB" w:sz="18" w:space="0"/>
              <w:bottom w:val="single" w:color="4874CB" w:sz="18" w:space="0"/>
            </w:tcBorders>
            <w:vAlign w:val="center"/>
          </w:tcPr>
          <w:p w14:paraId="6B0526F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ource Sans 3" w:hAnsi="Source Sans 3" w:cs="Source Sans 3"/>
                <w:color w:val="3C3F40"/>
                <w:szCs w:val="20"/>
                <w:vertAlign w:val="baseline"/>
                <w:lang w:val="es-MX"/>
              </w:rPr>
            </w:pPr>
          </w:p>
        </w:tc>
        <w:tc>
          <w:tcPr>
            <w:tcW w:w="1468" w:type="dxa"/>
            <w:tcBorders>
              <w:top w:val="single" w:color="4874CB" w:sz="12" w:space="0"/>
              <w:bottom w:val="single" w:color="4874CB" w:sz="18" w:space="0"/>
            </w:tcBorders>
            <w:vAlign w:val="center"/>
          </w:tcPr>
          <w:p w14:paraId="5D51962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ource Sans 3" w:hAnsi="Source Sans 3" w:cs="Source Sans 3"/>
                <w:b w:val="0"/>
                <w:bCs w:val="0"/>
                <w:i w:val="0"/>
                <w:iCs w:val="0"/>
                <w:color w:val="3C3F40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 w:ascii="Source Sans 3" w:hAnsi="Source Sans 3" w:cs="Source Sans 3"/>
                <w:b w:val="0"/>
                <w:bCs w:val="0"/>
                <w:i w:val="0"/>
                <w:iCs w:val="0"/>
                <w:color w:val="3C3F40"/>
                <w:sz w:val="20"/>
                <w:szCs w:val="20"/>
                <w:vertAlign w:val="baseline"/>
                <w:lang w:val="es-MX"/>
              </w:rPr>
              <w:t>33.9°C</w:t>
            </w:r>
          </w:p>
        </w:tc>
        <w:tc>
          <w:tcPr>
            <w:tcW w:w="1674" w:type="dxa"/>
            <w:tcBorders>
              <w:top w:val="single" w:color="4874CB" w:sz="12" w:space="0"/>
              <w:bottom w:val="single" w:color="4874CB" w:sz="18" w:space="0"/>
            </w:tcBorders>
            <w:vAlign w:val="center"/>
          </w:tcPr>
          <w:p w14:paraId="7137FB8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ource Sans 3" w:hAnsi="Source Sans 3" w:cs="Source Sans 3"/>
                <w:b w:val="0"/>
                <w:bCs w:val="0"/>
                <w:i w:val="0"/>
                <w:iCs w:val="0"/>
                <w:color w:val="3C3F40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 w:ascii="Source Sans 3" w:hAnsi="Source Sans 3" w:cs="Source Sans 3"/>
                <w:b w:val="0"/>
                <w:bCs w:val="0"/>
                <w:i w:val="0"/>
                <w:iCs w:val="0"/>
                <w:color w:val="3C3F40"/>
                <w:sz w:val="20"/>
                <w:szCs w:val="20"/>
                <w:vertAlign w:val="baseline"/>
                <w:lang w:val="es-MX"/>
              </w:rPr>
              <w:t>00 mm</w:t>
            </w:r>
          </w:p>
        </w:tc>
        <w:tc>
          <w:tcPr>
            <w:tcW w:w="1674" w:type="dxa"/>
            <w:tcBorders>
              <w:top w:val="single" w:color="4874CB" w:sz="12" w:space="0"/>
              <w:bottom w:val="single" w:color="4874CB" w:sz="18" w:space="0"/>
              <w:right w:val="single" w:color="4874CB" w:sz="18" w:space="0"/>
            </w:tcBorders>
            <w:vAlign w:val="center"/>
          </w:tcPr>
          <w:p w14:paraId="2C0647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ource Sans 3" w:hAnsi="Source Sans 3" w:cs="Source Sans 3"/>
                <w:b w:val="0"/>
                <w:bCs w:val="0"/>
                <w:i w:val="0"/>
                <w:iCs w:val="0"/>
                <w:color w:val="3C3F40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 w:ascii="Source Sans 3" w:hAnsi="Source Sans 3" w:cs="Source Sans 3"/>
                <w:b w:val="0"/>
                <w:bCs w:val="0"/>
                <w:i w:val="0"/>
                <w:iCs w:val="0"/>
                <w:color w:val="3C3F40"/>
                <w:sz w:val="20"/>
                <w:szCs w:val="20"/>
                <w:vertAlign w:val="baseline"/>
                <w:lang w:val="es-MX"/>
              </w:rPr>
              <w:t>1.4 km/h (calma)</w:t>
            </w:r>
          </w:p>
        </w:tc>
      </w:tr>
    </w:tbl>
    <w:p w14:paraId="58FDDAE4">
      <w:pPr>
        <w:pStyle w:val="3"/>
        <w:bidi w:val="0"/>
        <w:rPr>
          <w:rFonts w:hint="default"/>
          <w:color w:val="3C3F40"/>
          <w:lang w:val="es-MX"/>
        </w:rPr>
      </w:pPr>
      <w:bookmarkStart w:id="0" w:name="_Sinopsis"/>
      <w:r>
        <w:rPr>
          <w:rFonts w:hint="default"/>
          <w:color w:val="3C3F40"/>
          <w:lang w:val="es-MX"/>
        </w:rPr>
        <w:t>Sinopsis</w:t>
      </w:r>
      <w:r>
        <w:rPr>
          <w:rFonts w:hint="default"/>
          <w:color w:val="3C3F40"/>
          <w:lang w:val="es-MX"/>
        </w:rPr>
        <w:fldChar w:fldCharType="begin"/>
      </w:r>
      <w:r>
        <w:rPr>
          <w:rFonts w:hint="default"/>
          <w:color w:val="3C3F40"/>
          <w:lang w:val="es-MX"/>
        </w:rPr>
        <w:instrText xml:space="preserve"> XE "Sinopsis" </w:instrText>
      </w:r>
      <w:r>
        <w:rPr>
          <w:rFonts w:hint="default"/>
          <w:color w:val="3C3F40"/>
          <w:lang w:val="es-MX"/>
        </w:rPr>
        <w:fldChar w:fldCharType="end"/>
      </w:r>
    </w:p>
    <w:bookmarkEnd w:id="0"/>
    <w:p w14:paraId="5E9E4CBC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Se ubica una línea seca el noreste del territorio nacional que interacciona con la corriente en chorro subtropical, con lo cual se pronostican lluvias sobre San Luis Potosí, Coahuila, Nuevo León y Tamaulipas.</w:t>
      </w:r>
    </w:p>
    <w:p w14:paraId="2C6CA733">
      <w:pPr>
        <w:jc w:val="both"/>
        <w:rPr>
          <w:rFonts w:hint="default"/>
          <w:lang w:val="es-MX"/>
        </w:rPr>
      </w:pPr>
    </w:p>
    <w:p w14:paraId="2D9F5C3D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Por otro lado, un canal de baja presión afecta el centro - este, noreste y sureste del país, lo cual podría producir chubascos y lluvias en esta región. En altura, se presenta circulación anticilónica a los 500 hPa sobre gran parte del territorio nacional, principalmente centro y sur, lo cual favorecerá condiciones estables (Figura 1).</w:t>
      </w:r>
    </w:p>
    <w:p w14:paraId="0A524B55">
      <w:pPr>
        <w:jc w:val="both"/>
        <w:rPr>
          <w:rFonts w:hint="default"/>
          <w:lang w:val="es-MX"/>
        </w:rPr>
      </w:pPr>
    </w:p>
    <w:p w14:paraId="37E0F0DE">
      <w:pPr>
        <w:jc w:val="center"/>
        <w:rPr>
          <w:lang w:val="es-MX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665095" cy="2665095"/>
            <wp:effectExtent l="0" t="0" r="1905" b="1905"/>
            <wp:docPr id="6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5095" cy="2665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940423">
      <w:pPr>
        <w:jc w:val="center"/>
        <w:rPr>
          <w:i/>
          <w:iCs/>
          <w:color w:val="73706C"/>
          <w:sz w:val="20"/>
          <w:szCs w:val="20"/>
          <w:lang w:val="es-MX"/>
        </w:rPr>
      </w:pPr>
      <w:r>
        <w:rPr>
          <w:b/>
          <w:i/>
          <w:iCs/>
          <w:color w:val="73706C"/>
          <w:sz w:val="20"/>
          <w:szCs w:val="20"/>
          <w:lang w:val="es-MX"/>
        </w:rPr>
        <w:t>Figura 1</w:t>
      </w:r>
      <w:r>
        <w:rPr>
          <w:i/>
          <w:iCs/>
          <w:color w:val="73706C"/>
          <w:sz w:val="20"/>
          <w:szCs w:val="20"/>
          <w:lang w:val="es-MX"/>
        </w:rPr>
        <w:t xml:space="preserve">. Imagen de satélite en canal infrarrojo obtenido del satélite GOES,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>03:40 p.m</w:t>
      </w:r>
      <w:r>
        <w:rPr>
          <w:i/>
          <w:iCs/>
          <w:color w:val="73706C"/>
          <w:sz w:val="20"/>
          <w:szCs w:val="20"/>
          <w:lang w:val="es-MX"/>
        </w:rPr>
        <w:t xml:space="preserve">. del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>Lunes 27</w:t>
      </w:r>
      <w:r>
        <w:rPr>
          <w:i/>
          <w:iCs/>
          <w:color w:val="73706C"/>
          <w:sz w:val="20"/>
          <w:szCs w:val="20"/>
          <w:lang w:val="es-MX"/>
        </w:rPr>
        <w:t xml:space="preserve"> de abril de 2026.</w:t>
      </w:r>
    </w:p>
    <w:p w14:paraId="48F0B082">
      <w:pPr>
        <w:pStyle w:val="3"/>
        <w:bidi w:val="0"/>
        <w:rPr>
          <w:rFonts w:hint="default"/>
          <w:color w:val="3C3F40"/>
          <w:lang w:val="es-MX"/>
        </w:rPr>
      </w:pPr>
      <w:bookmarkStart w:id="1" w:name="_Pronóstico para las siguientes 24 horas"/>
      <w:r>
        <w:rPr>
          <w:rFonts w:hint="default"/>
          <w:color w:val="3C3F40"/>
          <w:lang w:val="es-MX"/>
        </w:rPr>
        <w:t>Pronóstico para las siguientes 24 horas</w:t>
      </w:r>
      <w:r>
        <w:rPr>
          <w:rFonts w:hint="default"/>
          <w:color w:val="3C3F40"/>
          <w:lang w:val="es-MX"/>
        </w:rPr>
        <w:fldChar w:fldCharType="begin"/>
      </w:r>
      <w:r>
        <w:rPr>
          <w:rFonts w:hint="default"/>
          <w:color w:val="3C3F40"/>
          <w:lang w:val="es-MX"/>
        </w:rPr>
        <w:instrText xml:space="preserve"> XE "Pronóstico para las siguientes 24 horas" </w:instrText>
      </w:r>
      <w:r>
        <w:rPr>
          <w:rFonts w:hint="default"/>
          <w:color w:val="3C3F40"/>
          <w:lang w:val="es-MX"/>
        </w:rPr>
        <w:fldChar w:fldCharType="end"/>
      </w:r>
    </w:p>
    <w:bookmarkEnd w:id="1"/>
    <w:p w14:paraId="254B6F8C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La línea seca que interacciona con la corriente en chorro incrementa la probabilidad de lluvias al noreste del país, especialmente sobre San Luis Potosí, Coahuila, Nuevo León y Tamaulipas.</w:t>
      </w:r>
    </w:p>
    <w:p w14:paraId="427773D7">
      <w:pPr>
        <w:jc w:val="both"/>
        <w:rPr>
          <w:rFonts w:hint="default"/>
          <w:lang w:val="es-MX"/>
        </w:rPr>
      </w:pPr>
    </w:p>
    <w:p w14:paraId="2DC2B518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Por otro lado, circulación anticilónica se encuentra a 500 hPa de altura sobre gran parte del país, lo que ocasionará condiciones estables, sin probabilidad de lluvia.</w:t>
      </w:r>
    </w:p>
    <w:p w14:paraId="0E7C0349">
      <w:pPr>
        <w:jc w:val="both"/>
        <w:rPr>
          <w:rFonts w:hint="default"/>
          <w:lang w:val="es-MX"/>
        </w:rPr>
      </w:pPr>
    </w:p>
    <w:p w14:paraId="1CE3BAC4">
      <w:pPr>
        <w:jc w:val="center"/>
        <w:rPr>
          <w:b/>
          <w:bCs/>
          <w:i/>
          <w:iCs/>
          <w:color w:val="73706C"/>
          <w:sz w:val="20"/>
          <w:szCs w:val="20"/>
          <w:lang w:val="es-MX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900045" cy="2016125"/>
            <wp:effectExtent l="0" t="0" r="14605" b="3175"/>
            <wp:docPr id="10" name="Imagen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2016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12F4BD">
      <w:pPr>
        <w:jc w:val="center"/>
        <w:rPr>
          <w:rFonts w:hint="default" w:cs="IBM Plex Sans"/>
          <w:i/>
          <w:iCs/>
          <w:color w:val="73706C"/>
          <w:sz w:val="20"/>
          <w:szCs w:val="20"/>
          <w:lang w:val="es-MX"/>
        </w:rPr>
      </w:pPr>
      <w:r>
        <w:rPr>
          <w:rFonts w:hint="default" w:cs="IBM Plex Sans"/>
          <w:b/>
          <w:bCs/>
          <w:i/>
          <w:iCs/>
          <w:color w:val="73706C"/>
          <w:sz w:val="20"/>
          <w:szCs w:val="20"/>
          <w:lang w:val="es-MX"/>
        </w:rPr>
        <w:t xml:space="preserve">Figura 2: </w:t>
      </w:r>
      <w:r>
        <w:rPr>
          <w:rFonts w:hint="default" w:ascii="IBM Plex Sans" w:hAnsi="IBM Plex Sans" w:cs="IBM Plex Sans"/>
          <w:i/>
          <w:iCs/>
          <w:color w:val="73706C"/>
          <w:sz w:val="20"/>
          <w:szCs w:val="20"/>
          <w:lang w:val="es-MX"/>
        </w:rPr>
        <w:t>Pronóstico d</w:t>
      </w:r>
      <w:r>
        <w:rPr>
          <w:rFonts w:hint="default" w:cs="IBM Plex Sans"/>
          <w:i/>
          <w:iCs/>
          <w:color w:val="73706C"/>
          <w:sz w:val="20"/>
          <w:szCs w:val="20"/>
          <w:lang w:val="es-MX"/>
        </w:rPr>
        <w:t>e lluvia acumulada (mm) a 24 horas (1 día). Válido hasta el 27 de abril de 2026 a las 06:00 p.m. Salida de modelo GFS.</w:t>
      </w:r>
    </w:p>
    <w:p w14:paraId="2C6CD082">
      <w:pPr>
        <w:jc w:val="center"/>
        <w:rPr>
          <w:rFonts w:hint="default" w:cs="IBM Plex Sans"/>
          <w:i/>
          <w:iCs/>
          <w:color w:val="73706C"/>
          <w:sz w:val="20"/>
          <w:szCs w:val="20"/>
          <w:lang w:val="es-MX"/>
        </w:rPr>
      </w:pPr>
    </w:p>
    <w:p w14:paraId="2BAE665A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 xml:space="preserve">El viento a 10 metros de altura predomina de componente sur y sureste en el oriente del país con velocidades de hasta 25 m/s; situación que se extiende a la región norte, principalmente sobre los estados de Chihuahua y Coahuila. Por otro lado, al norte y noroeste del territorio nacional los vientos son provenientes del norte con velocidades máximas de 20 m/s. En el centro y suroeste del país el viento se encuentra en calma con máximos de 5 m/s de componente este y sureste. </w:t>
      </w:r>
    </w:p>
    <w:p w14:paraId="6D1DEB68">
      <w:pPr>
        <w:jc w:val="center"/>
        <w:rPr>
          <w:rFonts w:hint="default" w:ascii="IBM Plex Sans" w:hAnsi="IBM Plex Sans" w:cs="IBM Plex Sans"/>
          <w:i/>
          <w:iCs/>
          <w:sz w:val="20"/>
          <w:szCs w:val="20"/>
          <w:lang w:val="es-MX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902585" cy="2016125"/>
            <wp:effectExtent l="0" t="0" r="12065" b="3175"/>
            <wp:docPr id="12" name="Imagen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2016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041120">
      <w:pPr>
        <w:pStyle w:val="12"/>
        <w:bidi w:val="0"/>
        <w:rPr>
          <w:rFonts w:hint="default"/>
          <w:b w:val="0"/>
          <w:bCs/>
          <w:lang w:val="es-MX"/>
        </w:rPr>
      </w:pPr>
      <w:bookmarkStart w:id="2" w:name="_Alertas especiales"/>
      <w:r>
        <w:rPr>
          <w:rFonts w:hint="default"/>
          <w:b/>
          <w:bCs w:val="0"/>
          <w:lang w:val="es-MX"/>
        </w:rPr>
        <w:t xml:space="preserve">Figura 3: </w:t>
      </w:r>
      <w:r>
        <w:rPr>
          <w:rFonts w:hint="default"/>
          <w:b w:val="0"/>
          <w:bCs/>
          <w:lang w:val="es-MX"/>
        </w:rPr>
        <w:t>Pronóstico de comportamiento de viento a 10 metros a 24 horas (1 día). Válido hasta el 27 de abril de 2026 a las 06:00 p.m. Salida de modelo GFS.</w:t>
      </w:r>
    </w:p>
    <w:p w14:paraId="0BB66C4B">
      <w:pPr>
        <w:rPr>
          <w:rFonts w:hint="default"/>
          <w:b w:val="0"/>
          <w:bCs/>
          <w:lang w:val="es-MX"/>
        </w:rPr>
      </w:pPr>
      <w:r>
        <w:rPr>
          <w:rFonts w:hint="default"/>
          <w:b w:val="0"/>
          <w:bCs/>
          <w:lang w:val="es-MX"/>
        </w:rPr>
        <w:br w:type="page"/>
      </w:r>
    </w:p>
    <w:p w14:paraId="228D1AC9">
      <w:pPr>
        <w:bidi w:val="0"/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La onda de calor que se extiende sobre la mayor parte del país (); generará temperaturas máximas de hasta 40°C en la región oriente. En la vertiente de pacífico, las temperaturas máximas oscilan de entre 36°C en Sinaloa hasta más de 38°C en la región sur.</w:t>
      </w:r>
    </w:p>
    <w:p w14:paraId="113617C7">
      <w:pPr>
        <w:bidi w:val="0"/>
        <w:jc w:val="both"/>
        <w:rPr>
          <w:rFonts w:hint="default"/>
          <w:lang w:val="es-MX"/>
        </w:rPr>
      </w:pPr>
    </w:p>
    <w:p w14:paraId="4C2DC0C8">
      <w:pPr>
        <w:bidi w:val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896870" cy="2016125"/>
            <wp:effectExtent l="0" t="0" r="17780" b="3175"/>
            <wp:docPr id="13" name="Imagen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6870" cy="2016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86825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hint="default" w:eastAsia="SimSun" w:cs="IBM Plex Sans"/>
          <w:b/>
          <w:bCs/>
          <w:i/>
          <w:iCs/>
          <w:color w:val="73706C"/>
          <w:kern w:val="0"/>
          <w:sz w:val="20"/>
          <w:szCs w:val="20"/>
          <w:lang w:val="es-MX" w:eastAsia="zh-CN" w:bidi="ar"/>
        </w:rPr>
        <w:t xml:space="preserve">Figura 4: </w:t>
      </w:r>
      <w:r>
        <w:rPr>
          <w:rFonts w:hint="default" w:ascii="IBM Plex Sans" w:hAnsi="IBM Plex Sans" w:eastAsia="SimSun" w:cs="IBM Plex Sans"/>
          <w:i/>
          <w:iCs/>
          <w:color w:val="73706C"/>
          <w:kern w:val="0"/>
          <w:sz w:val="20"/>
          <w:szCs w:val="20"/>
          <w:lang w:val="en-US" w:eastAsia="zh-CN" w:bidi="ar"/>
        </w:rPr>
        <w:t>Pronóstico de temperatura máxima (°C) en 24 horas (1 día). Válido hasta el 27 de abril de 2026 a las 06:00 p.m.Salida de modelo GFS.</w:t>
      </w:r>
    </w:p>
    <w:p w14:paraId="1E46CB8E">
      <w:pPr>
        <w:bidi w:val="0"/>
        <w:jc w:val="both"/>
        <w:rPr>
          <w:rFonts w:ascii="SimSun" w:hAnsi="SimSun" w:eastAsia="SimSun" w:cs="SimSun"/>
          <w:sz w:val="24"/>
          <w:szCs w:val="24"/>
        </w:rPr>
      </w:pPr>
    </w:p>
    <w:p w14:paraId="31AF0CCB">
      <w:pPr>
        <w:bidi w:val="0"/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Por otro lado, se pronostican temperaturas mínimas de 20°C en la mayor parte del país, a excepción de la península de Baja California, Sonora, Chihuahua, Sinaloa y Durango donde estas serán de 8°C. Asimismo, al centro del país las temperaturas mínimas llegarán a los 12°C.</w:t>
      </w:r>
    </w:p>
    <w:p w14:paraId="7907C756">
      <w:pPr>
        <w:bidi w:val="0"/>
        <w:jc w:val="both"/>
        <w:rPr>
          <w:rFonts w:hint="default"/>
          <w:lang w:val="es-MX"/>
        </w:rPr>
      </w:pPr>
    </w:p>
    <w:p w14:paraId="0BB0D328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897505" cy="2016125"/>
            <wp:effectExtent l="0" t="0" r="17145" b="3175"/>
            <wp:docPr id="14" name="Imagen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2016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F83443">
      <w:pPr>
        <w:jc w:val="center"/>
        <w:rPr>
          <w:rFonts w:ascii="SimSun" w:hAnsi="SimSun" w:eastAsia="SimSun" w:cs="SimSun"/>
          <w:sz w:val="24"/>
          <w:szCs w:val="24"/>
          <w:lang w:val="es-MX"/>
        </w:rPr>
      </w:pPr>
      <w:r>
        <w:rPr>
          <w:rFonts w:hint="default" w:eastAsia="SimSun" w:cs="IBM Plex Sans"/>
          <w:b/>
          <w:bCs/>
          <w:i/>
          <w:iCs/>
          <w:color w:val="73706C"/>
          <w:kern w:val="0"/>
          <w:sz w:val="20"/>
          <w:szCs w:val="20"/>
          <w:lang w:val="es-MX" w:eastAsia="zh-CN" w:bidi="ar"/>
        </w:rPr>
        <w:t xml:space="preserve">Figura 5: </w:t>
      </w:r>
      <w:r>
        <w:rPr>
          <w:rFonts w:hint="default" w:ascii="IBM Plex Sans" w:hAnsi="IBM Plex Sans" w:eastAsia="SimSun" w:cs="IBM Plex Sans"/>
          <w:i/>
          <w:iCs/>
          <w:color w:val="73706C"/>
          <w:kern w:val="0"/>
          <w:sz w:val="20"/>
          <w:szCs w:val="20"/>
          <w:lang w:val="en-US" w:eastAsia="zh-CN" w:bidi="ar"/>
        </w:rPr>
        <w:t xml:space="preserve">Pronóstico de temperatura </w:t>
      </w:r>
      <w:r>
        <w:rPr>
          <w:rFonts w:hint="default" w:eastAsia="SimSun" w:cs="IBM Plex Sans"/>
          <w:i/>
          <w:iCs/>
          <w:color w:val="73706C"/>
          <w:kern w:val="0"/>
          <w:sz w:val="20"/>
          <w:szCs w:val="20"/>
          <w:lang w:val="es-MX" w:eastAsia="zh-CN" w:bidi="ar"/>
        </w:rPr>
        <w:t xml:space="preserve">mínima </w:t>
      </w:r>
      <w:r>
        <w:rPr>
          <w:rFonts w:hint="default" w:ascii="IBM Plex Sans" w:hAnsi="IBM Plex Sans" w:eastAsia="SimSun" w:cs="IBM Plex Sans"/>
          <w:i/>
          <w:iCs/>
          <w:color w:val="73706C"/>
          <w:kern w:val="0"/>
          <w:sz w:val="20"/>
          <w:szCs w:val="20"/>
          <w:lang w:val="en-US" w:eastAsia="zh-CN" w:bidi="ar"/>
        </w:rPr>
        <w:t>(°C) en 24 horas (1 día). Válido hasta el 27 de abril de 2026 a las 06:00 p.m.Salida de modelo GFS.</w:t>
      </w:r>
      <w:r>
        <w:rPr>
          <w:rFonts w:ascii="SimSun" w:hAnsi="SimSun" w:eastAsia="SimSun" w:cs="SimSun"/>
          <w:sz w:val="24"/>
          <w:szCs w:val="24"/>
          <w:lang w:val="es-MX"/>
        </w:rPr>
        <w:br w:type="page"/>
      </w:r>
    </w:p>
    <w:p w14:paraId="6CEB2C64">
      <w:pPr>
        <w:pStyle w:val="3"/>
        <w:bidi w:val="0"/>
        <w:rPr>
          <w:rFonts w:hint="default"/>
          <w:color w:val="3C3F40"/>
          <w:lang w:val="es-MX"/>
        </w:rPr>
      </w:pPr>
      <w:r>
        <w:rPr>
          <w:rFonts w:hint="default"/>
          <w:color w:val="3C3F40"/>
          <w:lang w:val="es-MX"/>
        </w:rPr>
        <w:t>Alertas especiales</w:t>
      </w:r>
      <w:r>
        <w:rPr>
          <w:rFonts w:hint="default"/>
          <w:color w:val="3C3F40"/>
          <w:lang w:val="es-MX"/>
        </w:rPr>
        <w:fldChar w:fldCharType="begin"/>
      </w:r>
      <w:r>
        <w:rPr>
          <w:rFonts w:hint="default"/>
          <w:color w:val="3C3F40"/>
          <w:lang w:val="es-MX"/>
        </w:rPr>
        <w:instrText xml:space="preserve"> XE "Alertas especiales" </w:instrText>
      </w:r>
      <w:r>
        <w:rPr>
          <w:rFonts w:hint="default"/>
          <w:color w:val="3C3F40"/>
          <w:lang w:val="es-MX"/>
        </w:rPr>
        <w:fldChar w:fldCharType="end"/>
      </w:r>
    </w:p>
    <w:bookmarkEnd w:id="2"/>
    <w:p w14:paraId="75E13E6E">
      <w:pPr>
        <w:spacing w:line="240" w:lineRule="auto"/>
        <w:jc w:val="both"/>
        <w:rPr>
          <w:rFonts w:hint="default"/>
          <w:b/>
          <w:color w:val="3C3F40"/>
          <w:lang w:val="es-MX"/>
        </w:rPr>
      </w:pPr>
      <w:r>
        <w:rPr>
          <w:b/>
          <w:color w:val="3C3F40"/>
          <w:lang w:val="es-MX"/>
        </w:rPr>
        <w:t xml:space="preserve">Probabilidad de desarrollo de Tormentas </w:t>
      </w:r>
      <w:r>
        <w:rPr>
          <w:rFonts w:hint="default"/>
          <w:b/>
          <w:color w:val="3C3F40"/>
          <w:lang w:val="es-MX"/>
        </w:rPr>
        <w:t>en Guadalajara</w:t>
      </w:r>
    </w:p>
    <w:p w14:paraId="2265FAA6">
      <w:pPr>
        <w:spacing w:line="240" w:lineRule="auto"/>
        <w:jc w:val="both"/>
        <w:rPr>
          <w:rFonts w:hint="default"/>
          <w:b/>
          <w:color w:val="3C3F40"/>
          <w:lang w:val="es-MX"/>
        </w:rPr>
      </w:pPr>
    </w:p>
    <w:p w14:paraId="1E41B3B6">
      <w:pPr>
        <w:jc w:val="both"/>
        <w:rPr>
          <w:bCs/>
        </w:rPr>
      </w:pPr>
      <w:r>
        <w:rPr>
          <w:rFonts w:hint="default"/>
          <w:bCs/>
          <w:lang w:val="es-MX"/>
        </w:rPr>
        <w:t xml:space="preserve">La siguiente figura </w:t>
      </w:r>
      <w:r>
        <w:rPr>
          <w:bCs/>
        </w:rPr>
        <w:t xml:space="preserve">presenta la distribución espacial de la probabilidad de ocurrencia de tormentas de rápido desarrollo en el Área Metropolitana de </w:t>
      </w:r>
      <w:r>
        <w:rPr>
          <w:rFonts w:hint="default"/>
          <w:bCs/>
          <w:lang w:val="es-MX"/>
        </w:rPr>
        <w:t>Guadalajara</w:t>
      </w:r>
      <w:r>
        <w:rPr>
          <w:bCs/>
        </w:rPr>
        <w:t xml:space="preserve">, utilizando una escala continua de valores entre 0 y 1, donde los valores cercanos a 1 indican mayor probabilidad de ocurrencia. La información proporcionada por el sistema puede arrojar imágenes horarias para seguir el desarrollo de estas tormentas y su zona de afectación. </w:t>
      </w:r>
    </w:p>
    <w:p w14:paraId="79876482">
      <w:pPr>
        <w:spacing w:line="240" w:lineRule="auto"/>
        <w:jc w:val="both"/>
        <w:rPr>
          <w:rFonts w:hint="default"/>
          <w:b/>
          <w:color w:val="3C3F40"/>
          <w:lang w:val="es-MX"/>
        </w:rPr>
      </w:pPr>
    </w:p>
    <w:p w14:paraId="4488B84F">
      <w:pPr>
        <w:spacing w:line="240" w:lineRule="auto"/>
        <w:jc w:val="both"/>
        <w:rPr>
          <w:b/>
          <w:lang w:val="es-MX"/>
        </w:rPr>
      </w:pPr>
      <w:r>
        <w:drawing>
          <wp:inline distT="0" distB="0" distL="114300" distR="114300">
            <wp:extent cx="4225925" cy="3021330"/>
            <wp:effectExtent l="0" t="0" r="3175" b="7620"/>
            <wp:docPr id="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BD7D5">
      <w:pPr>
        <w:spacing w:line="240" w:lineRule="auto"/>
        <w:jc w:val="both"/>
        <w:rPr>
          <w:b/>
          <w:lang w:val="es-MX"/>
        </w:rPr>
      </w:pPr>
    </w:p>
    <w:p w14:paraId="7413332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</w:pPr>
      <w:r>
        <w:rPr>
          <w:rFonts w:hint="default" w:eastAsia="SimSun" w:cs="IBM Plex Sans"/>
          <w:b/>
          <w:bCs/>
          <w:i/>
          <w:iCs/>
          <w:color w:val="73706C"/>
          <w:kern w:val="0"/>
          <w:sz w:val="20"/>
          <w:szCs w:val="20"/>
          <w:lang w:val="es-MX" w:eastAsia="zh-CN" w:bidi="ar"/>
        </w:rPr>
        <w:t>Fi</w:t>
      </w:r>
      <w:r>
        <w:rPr>
          <w:rFonts w:hint="default" w:ascii="IBM Plex Sans" w:hAnsi="IBM Plex Sans" w:eastAsia="SimSun" w:cs="IBM Plex Sans"/>
          <w:b/>
          <w:bCs/>
          <w:i/>
          <w:iCs/>
          <w:color w:val="73706C"/>
          <w:kern w:val="0"/>
          <w:sz w:val="20"/>
          <w:szCs w:val="20"/>
          <w:lang w:val="es-MX" w:eastAsia="zh-CN" w:bidi="ar"/>
        </w:rPr>
        <w:t>gura 6:</w:t>
      </w:r>
      <w:r>
        <w:rPr>
          <w:rFonts w:hint="default" w:ascii="IBM Plex Sans" w:hAnsi="IBM Plex Sans" w:eastAsia="SimSun" w:cs="IBM Plex Sans"/>
          <w:i/>
          <w:iCs/>
          <w:color w:val="73706C"/>
          <w:kern w:val="0"/>
          <w:sz w:val="20"/>
          <w:szCs w:val="20"/>
          <w:lang w:val="es-MX" w:eastAsia="zh-CN" w:bidi="ar"/>
        </w:rPr>
        <w:t xml:space="preserve"> </w:t>
      </w:r>
      <w:r>
        <w:rPr>
          <w:rFonts w:hint="default" w:ascii="IBM Plex Sans" w:hAnsi="IBM Plex Sans" w:eastAsia="SimSun" w:cs="IBM Plex Sans"/>
          <w:i/>
          <w:iCs/>
          <w:color w:val="73706C"/>
          <w:kern w:val="0"/>
          <w:sz w:val="20"/>
          <w:szCs w:val="20"/>
          <w:lang w:val="en-US" w:eastAsia="zh-CN" w:bidi="ar"/>
        </w:rPr>
        <w:t xml:space="preserve">Pronóstico de </w:t>
      </w:r>
      <w:r>
        <w:rPr>
          <w:rFonts w:hint="default" w:eastAsia="SimSun" w:cs="IBM Plex Sans"/>
          <w:i/>
          <w:iCs/>
          <w:color w:val="73706C"/>
          <w:kern w:val="0"/>
          <w:sz w:val="20"/>
          <w:szCs w:val="20"/>
          <w:lang w:val="es-MX" w:eastAsia="zh-CN" w:bidi="ar"/>
        </w:rPr>
        <w:t>desarrollo de tormentas para</w:t>
      </w:r>
      <w:r>
        <w:rPr>
          <w:rFonts w:hint="default" w:ascii="IBM Plex Sans" w:hAnsi="IBM Plex Sans" w:eastAsia="SimSun" w:cs="IBM Plex Sans"/>
          <w:i/>
          <w:iCs/>
          <w:color w:val="73706C"/>
          <w:kern w:val="0"/>
          <w:sz w:val="20"/>
          <w:szCs w:val="20"/>
          <w:lang w:val="en-US" w:eastAsia="zh-CN" w:bidi="ar"/>
        </w:rPr>
        <w:t xml:space="preserve"> el 27 de abril de 2026 a las 06:00 p.m.Salida de modelo GFS.</w:t>
      </w:r>
    </w:p>
    <w:p w14:paraId="34B07CA4">
      <w:pPr>
        <w:pStyle w:val="12"/>
        <w:bidi w:val="0"/>
        <w:rPr>
          <w:rFonts w:hint="default"/>
          <w:lang w:val="es-MX"/>
        </w:rPr>
      </w:pPr>
    </w:p>
    <w:p w14:paraId="7B7E8F66">
      <w:pPr>
        <w:bidi w:val="0"/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 xml:space="preserve">Para este día, se tiene probabilidad de desarrollo de tormentas al sur de la entidad; lo que significa mayor probabilidad de lluvias y chubascos en las zonas aledañas a San Martín de Las FLores, Cajititlán, Hacienda Santa Fé y El Salto. </w:t>
      </w:r>
      <w:bookmarkStart w:id="3" w:name="_GoBack"/>
      <w:bookmarkEnd w:id="3"/>
      <w:r>
        <w:rPr>
          <w:rFonts w:hint="default"/>
          <w:lang w:val="es-MX"/>
        </w:rPr>
        <w:t>Por otro lado, hacia el norte estas probabilidades disminuyen, por lo que se esperan condiciones estables.</w:t>
      </w:r>
    </w:p>
    <w:sectPr>
      <w:headerReference r:id="rId5" w:type="default"/>
      <w:footerReference r:id="rId6" w:type="default"/>
      <w:pgSz w:w="12240" w:h="15840"/>
      <w:pgMar w:top="1008" w:right="1440" w:bottom="1440" w:left="43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BM Plex Sans">
    <w:panose1 w:val="020B0503050203000203"/>
    <w:charset w:val="00"/>
    <w:family w:val="auto"/>
    <w:pitch w:val="default"/>
    <w:sig w:usb0="A00002EF" w:usb1="5000203B" w:usb2="00000000" w:usb3="00000000" w:csb0="2000019F" w:csb1="00000000"/>
  </w:font>
  <w:font w:name="Source Sans 3 Black">
    <w:panose1 w:val="020B0303030403020204"/>
    <w:charset w:val="00"/>
    <w:family w:val="auto"/>
    <w:pitch w:val="default"/>
    <w:sig w:usb0="E00002FF" w:usb1="00002003" w:usb2="00000000" w:usb3="00000000" w:csb0="2000019F" w:csb1="00000000"/>
  </w:font>
  <w:font w:name="Source Sans 3">
    <w:panose1 w:val="020B0303030403020204"/>
    <w:charset w:val="00"/>
    <w:family w:val="auto"/>
    <w:pitch w:val="default"/>
    <w:sig w:usb0="E00002FF" w:usb1="00002003" w:usb2="00000000" w:usb3="00000000" w:csb0="2000019F" w:csb1="00000000"/>
  </w:font>
  <w:font w:name="Source Sans 3 SemiBold">
    <w:panose1 w:val="020B0303030403020204"/>
    <w:charset w:val="00"/>
    <w:family w:val="auto"/>
    <w:pitch w:val="default"/>
    <w:sig w:usb0="E00002FF" w:usb1="00002003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F7878">
    <w:pPr>
      <w:pStyle w:val="10"/>
    </w:pPr>
    <w:r>
      <w:drawing>
        <wp:anchor distT="0" distB="0" distL="0" distR="0" simplePos="0" relativeHeight="251663360" behindDoc="1" locked="0" layoutInCell="1" allowOverlap="1">
          <wp:simplePos x="0" y="0"/>
          <wp:positionH relativeFrom="column">
            <wp:posOffset>-2275840</wp:posOffset>
          </wp:positionH>
          <wp:positionV relativeFrom="paragraph">
            <wp:posOffset>-1451610</wp:posOffset>
          </wp:positionV>
          <wp:extent cx="1585595" cy="958215"/>
          <wp:effectExtent l="0" t="0" r="14605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 preferRelativeResize="0"/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546" t="86837" r="74121" b="3666"/>
                  <a:stretch>
                    <a:fillRect/>
                  </a:stretch>
                </pic:blipFill>
                <pic:spPr>
                  <a:xfrm>
                    <a:off x="0" y="0"/>
                    <a:ext cx="1585595" cy="958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pPr w:leftFromText="180" w:rightFromText="180" w:vertAnchor="text" w:horzAnchor="page" w:tblpX="645" w:tblpY="3696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99"/>
    </w:tblGrid>
    <w:tr w14:paraId="372DC5F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11" w:hRule="atLeast"/>
      </w:trPr>
      <w:tc>
        <w:tcPr>
          <w:tcW w:w="2899" w:type="dxa"/>
          <w:tcBorders>
            <w:left w:val="single" w:color="2D54A0" w:sz="24" w:space="0"/>
          </w:tcBorders>
          <w:shd w:val="clear" w:color="auto" w:fill="auto"/>
        </w:tcPr>
        <w:p w14:paraId="0AC82368">
          <w:pPr>
            <w:pStyle w:val="9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rPr>
              <w:rFonts w:hint="default" w:ascii="IBM Plex Sans" w:hAnsi="IBM Plex Sans" w:cs="IBM Plex Sans"/>
              <w:b w:val="0"/>
              <w:bCs w:val="0"/>
              <w:i/>
              <w:iCs/>
              <w:color w:val="000000" w:themeColor="text1"/>
              <w:sz w:val="20"/>
              <w:szCs w:val="20"/>
              <w:vertAlign w:val="baseline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20"/>
              <w:szCs w:val="20"/>
              <w14:textFill>
                <w14:solidFill>
                  <w14:schemeClr w14:val="tx1"/>
                </w14:solidFill>
              </w14:textFill>
            </w:rPr>
            <w:t>Producto de investigación para validar y calibrar modelos.</w:t>
          </w:r>
        </w:p>
      </w:tc>
    </w:tr>
    <w:tr w14:paraId="67DA56C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899" w:type="dxa"/>
          <w:tcBorders>
            <w:left w:val="single" w:color="C55E10" w:sz="24" w:space="0"/>
            <w:bottom w:val="nil"/>
          </w:tcBorders>
          <w:shd w:val="clear" w:color="auto" w:fill="auto"/>
        </w:tcPr>
        <w:p w14:paraId="09F85E0E">
          <w:pPr>
            <w:pStyle w:val="9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rPr>
              <w:rFonts w:hint="default" w:ascii="IBM Plex Sans" w:hAnsi="IBM Plex Sans" w:cs="IBM Plex Sans"/>
              <w:b w:val="0"/>
              <w:bCs w:val="0"/>
              <w:i/>
              <w:iCs/>
              <w:color w:val="000000" w:themeColor="text1"/>
              <w:sz w:val="20"/>
              <w:szCs w:val="20"/>
              <w:vertAlign w:val="baseline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20"/>
              <w:szCs w:val="20"/>
              <w14:textFill>
                <w14:solidFill>
                  <w14:schemeClr w14:val="tx1"/>
                </w14:solidFill>
              </w14:textFill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20"/>
              <w:szCs w:val="20"/>
              <w14:textFill>
                <w14:solidFill>
                  <w14:schemeClr w14:val="tx1"/>
                </w14:solidFill>
              </w14:textFill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20"/>
              <w:szCs w:val="20"/>
              <w14:textFill>
                <w14:solidFill>
                  <w14:schemeClr w14:val="tx1"/>
                </w14:solidFill>
              </w14:textFill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20"/>
              <w:szCs w:val="20"/>
              <w14:textFill>
                <w14:solidFill>
                  <w14:schemeClr w14:val="tx1"/>
                </w14:solidFill>
              </w14:textFill>
            </w:rPr>
            <w:t>rvicio Meteorológico Nacional.</w:t>
          </w:r>
        </w:p>
      </w:tc>
    </w:tr>
    <w:tr w14:paraId="650FE3C2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40" w:hRule="atLeast"/>
      </w:trPr>
      <w:tc>
        <w:tcPr>
          <w:tcW w:w="2899" w:type="dxa"/>
          <w:tcBorders>
            <w:top w:val="nil"/>
          </w:tcBorders>
          <w:shd w:val="clear" w:color="auto" w:fill="auto"/>
        </w:tcPr>
        <w:p w14:paraId="0697A0F8">
          <w:pPr>
            <w:pStyle w:val="9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rPr>
              <w:rFonts w:hint="default" w:ascii="IBM Plex Sans" w:hAnsi="IBM Plex Sans" w:cs="IBM Plex Sans"/>
              <w:b/>
              <w:bCs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</w:pPr>
        </w:p>
      </w:tc>
    </w:tr>
    <w:tr w14:paraId="4773A21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785" w:hRule="atLeast"/>
      </w:trPr>
      <w:tc>
        <w:tcPr>
          <w:tcW w:w="2899" w:type="dxa"/>
          <w:shd w:val="clear" w:color="auto" w:fill="auto"/>
          <w:vAlign w:val="top"/>
        </w:tcPr>
        <w:p w14:paraId="7E600943">
          <w:pPr>
            <w:pStyle w:val="9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  <w:t>Contenido:</w:t>
          </w:r>
        </w:p>
        <w:p w14:paraId="0884D2B6">
          <w:pPr>
            <w:pStyle w:val="9"/>
            <w:keepNext w:val="0"/>
            <w:keepLines w:val="0"/>
            <w:widowControl w:val="0"/>
            <w:numPr>
              <w:ilvl w:val="0"/>
              <w:numId w:val="1"/>
            </w:numPr>
            <w:suppressLineNumbers w:val="0"/>
            <w:tabs>
              <w:tab w:val="clear" w:pos="420"/>
            </w:tabs>
            <w:spacing w:before="0" w:beforeAutospacing="0" w:after="0" w:afterAutospacing="0"/>
            <w:ind w:left="420" w:leftChars="0" w:right="0" w:hanging="420" w:firstLineChars="0"/>
            <w:jc w:val="both"/>
            <w:rPr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  <w:instrText xml:space="preserve"> HYPERLINK \l "_Sinopsis" </w:instrText>
          </w:r>
          <w:r>
            <w:rPr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Style w:val="8"/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  <w:t>Sinopsis</w:t>
          </w:r>
          <w:r>
            <w:rPr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D01FA10">
          <w:pPr>
            <w:pStyle w:val="9"/>
            <w:keepNext w:val="0"/>
            <w:keepLines w:val="0"/>
            <w:widowControl w:val="0"/>
            <w:numPr>
              <w:ilvl w:val="0"/>
              <w:numId w:val="1"/>
            </w:numPr>
            <w:suppressLineNumbers w:val="0"/>
            <w:tabs>
              <w:tab w:val="clear" w:pos="420"/>
            </w:tabs>
            <w:spacing w:before="0" w:beforeAutospacing="0" w:after="0" w:afterAutospacing="0"/>
            <w:ind w:left="420" w:leftChars="0" w:right="0" w:hanging="420" w:firstLineChars="0"/>
            <w:jc w:val="both"/>
            <w:rPr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  <w:instrText xml:space="preserve"> HYPERLINK \l "_Pronóstico para las siguientes 24 horas" </w:instrText>
          </w:r>
          <w:r>
            <w:rPr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Style w:val="8"/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  <w:t>Pronóstico a 24 hrs.</w:t>
          </w:r>
          <w:r>
            <w:rPr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C51A512">
          <w:pPr>
            <w:pStyle w:val="9"/>
            <w:keepNext w:val="0"/>
            <w:keepLines w:val="0"/>
            <w:widowControl w:val="0"/>
            <w:numPr>
              <w:ilvl w:val="0"/>
              <w:numId w:val="1"/>
            </w:numPr>
            <w:suppressLineNumbers w:val="0"/>
            <w:tabs>
              <w:tab w:val="clear" w:pos="420"/>
            </w:tabs>
            <w:spacing w:before="0" w:beforeAutospacing="0" w:after="0" w:afterAutospacing="0"/>
            <w:ind w:left="420" w:leftChars="0" w:right="0" w:hanging="420" w:firstLineChars="0"/>
            <w:jc w:val="both"/>
            <w:rPr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  <w:instrText xml:space="preserve"> HYPERLINK \l "_Alertas especiales" </w:instrText>
          </w:r>
          <w:r>
            <w:rPr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Style w:val="8"/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  <w:t>Avisos especiales</w:t>
          </w:r>
          <w:r>
            <w:rPr>
              <w:rFonts w:hint="default" w:cs="IBM Plex Sans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tc>
    </w:tr>
    <w:tr w14:paraId="5E28DD4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0" w:hRule="atLeast"/>
      </w:trPr>
      <w:tc>
        <w:tcPr>
          <w:tcW w:w="2899" w:type="dxa"/>
          <w:shd w:val="clear" w:color="auto" w:fill="auto"/>
          <w:vAlign w:val="top"/>
        </w:tcPr>
        <w:p w14:paraId="299D4E79">
          <w:pPr>
            <w:pStyle w:val="9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IBM Plex Sans" w:hAnsi="IBM Plex Sans" w:cs="IBM Plex Sans" w:eastAsiaTheme="minorEastAsia"/>
              <w:b/>
              <w:bCs/>
              <w:color w:val="000000" w:themeColor="text1"/>
              <w:sz w:val="20"/>
              <w:szCs w:val="20"/>
              <w:vertAlign w:val="baseline"/>
              <w:lang w:val="es-MX" w:eastAsia="zh-CN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IBM Plex Sans" w:hAnsi="IBM Plex Sans" w:cs="IBM Plex Sans"/>
              <w:b/>
              <w:bCs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>Recomendaciones para hoy:</w:t>
          </w:r>
        </w:p>
      </w:tc>
    </w:tr>
    <w:tr w14:paraId="1F5403C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117" w:hRule="atLeast"/>
      </w:trPr>
      <w:tc>
        <w:tcPr>
          <w:tcW w:w="2899" w:type="dxa"/>
          <w:shd w:val="clear" w:color="auto" w:fill="auto"/>
          <w:vAlign w:val="top"/>
        </w:tcPr>
        <w:p w14:paraId="5D602B40">
          <w:pPr>
            <w:pStyle w:val="9"/>
            <w:keepNext w:val="0"/>
            <w:keepLines w:val="0"/>
            <w:widowControl w:val="0"/>
            <w:numPr>
              <w:ilvl w:val="0"/>
              <w:numId w:val="2"/>
            </w:numPr>
            <w:suppressLineNumbers w:val="0"/>
            <w:tabs>
              <w:tab w:val="clear" w:pos="420"/>
            </w:tabs>
            <w:spacing w:before="0" w:beforeAutospacing="0" w:after="0" w:afterAutospacing="0"/>
            <w:ind w:left="420" w:leftChars="0" w:right="0" w:hanging="420" w:firstLineChars="0"/>
            <w:rPr>
              <w:rFonts w:hint="default" w:ascii="IBM Plex Sans" w:hAnsi="IBM Plex Sans" w:cs="IBM Plex Sans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cs="IBM Plex Sans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 xml:space="preserve">Uso de </w:t>
          </w:r>
          <w:r>
            <w:rPr>
              <w:rFonts w:hint="default" w:ascii="IBM Plex Sans" w:hAnsi="IBM Plex Sans" w:cs="IBM Plex Sans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>bloqueador solar</w:t>
          </w:r>
        </w:p>
        <w:p w14:paraId="5EF0DA4B">
          <w:pPr>
            <w:pStyle w:val="9"/>
            <w:keepNext w:val="0"/>
            <w:keepLines w:val="0"/>
            <w:widowControl w:val="0"/>
            <w:numPr>
              <w:ilvl w:val="0"/>
              <w:numId w:val="2"/>
            </w:numPr>
            <w:suppressLineNumbers w:val="0"/>
            <w:tabs>
              <w:tab w:val="clear" w:pos="420"/>
            </w:tabs>
            <w:spacing w:before="0" w:beforeAutospacing="0" w:after="0" w:afterAutospacing="0"/>
            <w:ind w:left="420" w:leftChars="0" w:right="0" w:hanging="420" w:firstLineChars="0"/>
            <w:rPr>
              <w:rFonts w:hint="default" w:ascii="IBM Plex Sans" w:hAnsi="IBM Plex Sans" w:cs="IBM Plex Sans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cs="IBM Plex Sans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>Evitar exposición</w:t>
          </w:r>
          <w:r>
            <w:rPr>
              <w:rFonts w:hint="default" w:ascii="IBM Plex Sans" w:hAnsi="IBM Plex Sans" w:cs="IBM Plex Sans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 xml:space="preserve"> al sol durante las 1</w:t>
          </w:r>
          <w:r>
            <w:rPr>
              <w:rFonts w:hint="default" w:cs="IBM Plex Sans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rFonts w:hint="default" w:ascii="IBM Plex Sans" w:hAnsi="IBM Plex Sans" w:cs="IBM Plex Sans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 xml:space="preserve"> y 3 pm</w:t>
          </w:r>
        </w:p>
        <w:p w14:paraId="0379BA2A">
          <w:pPr>
            <w:pStyle w:val="9"/>
            <w:keepNext w:val="0"/>
            <w:keepLines w:val="0"/>
            <w:widowControl w:val="0"/>
            <w:numPr>
              <w:ilvl w:val="0"/>
              <w:numId w:val="2"/>
            </w:numPr>
            <w:suppressLineNumbers w:val="0"/>
            <w:tabs>
              <w:tab w:val="clear" w:pos="420"/>
            </w:tabs>
            <w:spacing w:before="0" w:beforeAutospacing="0" w:after="0" w:afterAutospacing="0"/>
            <w:ind w:left="420" w:leftChars="0" w:right="0" w:hanging="420" w:firstLineChars="0"/>
            <w:rPr>
              <w:rFonts w:hint="default" w:ascii="IBM Plex Sans" w:hAnsi="IBM Plex Sans" w:cs="IBM Plex Sans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cs="IBM Plex Sans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 xml:space="preserve">Ingesta de </w:t>
          </w:r>
          <w:r>
            <w:rPr>
              <w:rFonts w:hint="default" w:ascii="IBM Plex Sans" w:hAnsi="IBM Plex Sans" w:cs="IBM Plex Sans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 xml:space="preserve">líquidos, </w:t>
          </w:r>
          <w:r>
            <w:rPr>
              <w:rFonts w:hint="default" w:cs="IBM Plex Sans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>preferentemente a</w:t>
          </w:r>
          <w:r>
            <w:rPr>
              <w:rFonts w:hint="default" w:ascii="IBM Plex Sans" w:hAnsi="IBM Plex Sans" w:cs="IBM Plex Sans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 xml:space="preserve">gua natural </w:t>
          </w:r>
        </w:p>
      </w:tc>
    </w:tr>
    <w:tr w14:paraId="41262A4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08" w:hRule="atLeast"/>
      </w:trPr>
      <w:tc>
        <w:tcPr>
          <w:tcW w:w="2899" w:type="dxa"/>
          <w:tcBorders>
            <w:left w:val="single" w:color="578D31" w:sz="24" w:space="0"/>
          </w:tcBorders>
          <w:shd w:val="clear" w:color="auto" w:fill="auto"/>
          <w:vAlign w:val="top"/>
        </w:tcPr>
        <w:p w14:paraId="123E24A4">
          <w:pPr>
            <w:pStyle w:val="9"/>
            <w:keepNext w:val="0"/>
            <w:keepLines w:val="0"/>
            <w:widowControl w:val="0"/>
            <w:numPr>
              <w:ilvl w:val="0"/>
              <w:numId w:val="0"/>
            </w:numPr>
            <w:suppressLineNumbers w:val="0"/>
            <w:spacing w:before="0" w:beforeAutospacing="0" w:after="0" w:afterAutospacing="0"/>
            <w:ind w:left="0" w:leftChars="0" w:right="0"/>
            <w:rPr>
              <w:rFonts w:hint="default" w:cs="IBM Plex Sans"/>
              <w:b/>
              <w:bCs/>
              <w:i w:val="0"/>
              <w:iCs w:val="0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cs="IBM Plex Sans"/>
              <w:b/>
              <w:bCs/>
              <w:i w:val="0"/>
              <w:iCs w:val="0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>Elaboraron:</w:t>
          </w:r>
        </w:p>
        <w:p w14:paraId="316FE9C2">
          <w:pPr>
            <w:pStyle w:val="9"/>
            <w:keepNext w:val="0"/>
            <w:keepLines w:val="0"/>
            <w:widowControl w:val="0"/>
            <w:numPr>
              <w:ilvl w:val="0"/>
              <w:numId w:val="0"/>
            </w:numPr>
            <w:suppressLineNumbers w:val="0"/>
            <w:spacing w:before="0" w:beforeAutospacing="0" w:after="0" w:afterAutospacing="0"/>
            <w:ind w:left="0" w:leftChars="0" w:right="0"/>
            <w:rPr>
              <w:rFonts w:hint="default" w:cs="IBM Plex Sans"/>
              <w:b w:val="0"/>
              <w:bCs w:val="0"/>
              <w:i w:val="0"/>
              <w:iCs w:val="0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cs="IBM Plex Sans"/>
              <w:b w:val="0"/>
              <w:bCs w:val="0"/>
              <w:i w:val="0"/>
              <w:iCs w:val="0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>M.C. Olivia Rodríguez</w:t>
          </w:r>
        </w:p>
      </w:tc>
    </w:tr>
    <w:tr w14:paraId="32E8C5EC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7" w:hRule="atLeast"/>
      </w:trPr>
      <w:tc>
        <w:tcPr>
          <w:tcW w:w="2899" w:type="dxa"/>
          <w:tcBorders>
            <w:left w:val="single" w:color="578D31" w:sz="24" w:space="0"/>
          </w:tcBorders>
          <w:shd w:val="clear" w:color="auto" w:fill="auto"/>
          <w:vAlign w:val="top"/>
        </w:tcPr>
        <w:p w14:paraId="5FFC5402">
          <w:pPr>
            <w:pStyle w:val="9"/>
            <w:keepNext w:val="0"/>
            <w:keepLines w:val="0"/>
            <w:widowControl w:val="0"/>
            <w:numPr>
              <w:ilvl w:val="0"/>
              <w:numId w:val="0"/>
            </w:numPr>
            <w:suppressLineNumbers w:val="0"/>
            <w:spacing w:before="0" w:beforeAutospacing="0" w:after="0" w:afterAutospacing="0"/>
            <w:ind w:left="0" w:leftChars="0" w:right="0"/>
            <w:rPr>
              <w:rFonts w:hint="default" w:ascii="IBM Plex Sans" w:hAnsi="IBM Plex Sans" w:cs="IBM Plex Sans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IBM Plex Sans" w:hAnsi="IBM Plex Sans" w:cs="IBM Plex Sans"/>
              <w:i/>
              <w:iCs/>
              <w:color w:val="000000" w:themeColor="text1"/>
              <w:sz w:val="16"/>
              <w:szCs w:val="16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>Subcoordinación de Eventos Extremos y Cambio Climático</w:t>
          </w:r>
        </w:p>
      </w:tc>
    </w:tr>
    <w:tr w14:paraId="03B2208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7" w:hRule="atLeast"/>
      </w:trPr>
      <w:tc>
        <w:tcPr>
          <w:tcW w:w="2899" w:type="dxa"/>
          <w:tcBorders>
            <w:left w:val="single" w:color="238F86" w:sz="18" w:space="0"/>
          </w:tcBorders>
          <w:shd w:val="clear" w:color="auto" w:fill="auto"/>
          <w:vAlign w:val="top"/>
        </w:tcPr>
        <w:p w14:paraId="005676FE">
          <w:pPr>
            <w:pStyle w:val="9"/>
            <w:keepNext w:val="0"/>
            <w:keepLines w:val="0"/>
            <w:widowControl w:val="0"/>
            <w:numPr>
              <w:ilvl w:val="0"/>
              <w:numId w:val="0"/>
            </w:numPr>
            <w:suppressLineNumbers w:val="0"/>
            <w:spacing w:before="0" w:beforeAutospacing="0" w:after="0" w:afterAutospacing="0"/>
            <w:ind w:left="0" w:leftChars="0" w:right="0"/>
            <w:rPr>
              <w:rFonts w:hint="default" w:ascii="IBM Plex Sans" w:hAnsi="IBM Plex Sans" w:cs="IBM Plex Sans"/>
              <w:i/>
              <w:iCs/>
              <w:color w:val="000000" w:themeColor="text1"/>
              <w:sz w:val="16"/>
              <w:szCs w:val="16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cs="IBM Plex Sans"/>
              <w:b w:val="0"/>
              <w:bCs w:val="0"/>
              <w:i w:val="0"/>
              <w:iCs w:val="0"/>
              <w:color w:val="000000" w:themeColor="text1"/>
              <w:sz w:val="20"/>
              <w:szCs w:val="20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>L.C.A Abigail López</w:t>
          </w:r>
        </w:p>
      </w:tc>
    </w:tr>
    <w:tr w14:paraId="6ECCF8A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676" w:hRule="atLeast"/>
      </w:trPr>
      <w:tc>
        <w:tcPr>
          <w:tcW w:w="2899" w:type="dxa"/>
          <w:tcBorders>
            <w:left w:val="nil"/>
          </w:tcBorders>
          <w:shd w:val="clear" w:color="auto" w:fill="auto"/>
          <w:vAlign w:val="top"/>
        </w:tcPr>
        <w:p w14:paraId="7139E026">
          <w:pPr>
            <w:pStyle w:val="9"/>
            <w:keepNext w:val="0"/>
            <w:keepLines w:val="0"/>
            <w:widowControl w:val="0"/>
            <w:numPr>
              <w:ilvl w:val="0"/>
              <w:numId w:val="0"/>
            </w:numPr>
            <w:suppressLineNumbers w:val="0"/>
            <w:spacing w:before="0" w:beforeAutospacing="0" w:after="0" w:afterAutospacing="0"/>
            <w:ind w:left="0" w:leftChars="0" w:right="0"/>
            <w:rPr>
              <w:rFonts w:hint="default" w:ascii="IBM Plex Sans" w:hAnsi="IBM Plex Sans" w:cs="IBM Plex Sans"/>
              <w:i/>
              <w:iCs/>
              <w:color w:val="000000" w:themeColor="text1"/>
              <w:sz w:val="16"/>
              <w:szCs w:val="16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</w:pPr>
        </w:p>
      </w:tc>
    </w:tr>
    <w:tr w14:paraId="28B0FA8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899" w:type="dxa"/>
          <w:tcBorders>
            <w:left w:val="nil"/>
          </w:tcBorders>
          <w:shd w:val="clear" w:color="auto" w:fill="auto"/>
          <w:vAlign w:val="top"/>
        </w:tcPr>
        <w:p w14:paraId="16CE6295">
          <w:pPr>
            <w:pStyle w:val="9"/>
            <w:keepNext w:val="0"/>
            <w:keepLines w:val="0"/>
            <w:widowControl w:val="0"/>
            <w:numPr>
              <w:ilvl w:val="0"/>
              <w:numId w:val="0"/>
            </w:numPr>
            <w:suppressLineNumbers w:val="0"/>
            <w:spacing w:before="0" w:beforeAutospacing="0" w:after="0" w:afterAutospacing="0"/>
            <w:ind w:left="0" w:leftChars="0" w:right="0"/>
            <w:rPr>
              <w:rFonts w:hint="default" w:ascii="IBM Plex Sans" w:hAnsi="IBM Plex Sans" w:cs="IBM Plex Sans"/>
              <w:i/>
              <w:iCs/>
              <w:color w:val="000000" w:themeColor="text1"/>
              <w:sz w:val="16"/>
              <w:szCs w:val="16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IBM Plex Sans" w:hAnsi="IBM Plex Sans" w:cs="IBM Plex Sans"/>
              <w:i/>
              <w:iCs/>
              <w:color w:val="000000" w:themeColor="text1"/>
              <w:sz w:val="16"/>
              <w:szCs w:val="16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 xml:space="preserve">Paseo Cuauhnáhuac 8532 Col. Progreso, Jiutepec, Morelos, </w:t>
          </w:r>
        </w:p>
        <w:p w14:paraId="6B785C88">
          <w:pPr>
            <w:pStyle w:val="9"/>
            <w:keepNext w:val="0"/>
            <w:keepLines w:val="0"/>
            <w:widowControl w:val="0"/>
            <w:numPr>
              <w:ilvl w:val="0"/>
              <w:numId w:val="0"/>
            </w:numPr>
            <w:suppressLineNumbers w:val="0"/>
            <w:spacing w:before="0" w:beforeAutospacing="0" w:after="0" w:afterAutospacing="0"/>
            <w:ind w:left="0" w:leftChars="0" w:right="0"/>
            <w:rPr>
              <w:rFonts w:hint="default" w:ascii="IBM Plex Sans" w:hAnsi="IBM Plex Sans" w:cs="IBM Plex Sans"/>
              <w:i/>
              <w:iCs/>
              <w:color w:val="000000" w:themeColor="text1"/>
              <w:sz w:val="16"/>
              <w:szCs w:val="16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IBM Plex Sans" w:hAnsi="IBM Plex Sans" w:cs="IBM Plex Sans"/>
              <w:i/>
              <w:iCs/>
              <w:color w:val="000000" w:themeColor="text1"/>
              <w:sz w:val="16"/>
              <w:szCs w:val="16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>C.P. 62550</w:t>
          </w:r>
          <w:r>
            <w:rPr>
              <w:rFonts w:hint="default" w:cs="IBM Plex Sans"/>
              <w:i/>
              <w:iCs/>
              <w:color w:val="000000" w:themeColor="text1"/>
              <w:sz w:val="16"/>
              <w:szCs w:val="16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 xml:space="preserve">     </w:t>
          </w:r>
          <w:r>
            <w:rPr>
              <w:rFonts w:hint="default" w:ascii="IBM Plex Sans" w:hAnsi="IBM Plex Sans" w:cs="IBM Plex Sans"/>
              <w:i/>
              <w:iCs/>
              <w:color w:val="000000" w:themeColor="text1"/>
              <w:sz w:val="16"/>
              <w:szCs w:val="16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  <w:t>Tel: (777) 329 3600   www.gob.mx/imta</w:t>
          </w:r>
        </w:p>
        <w:p w14:paraId="5CC2AEAC">
          <w:pPr>
            <w:pStyle w:val="9"/>
            <w:keepNext w:val="0"/>
            <w:keepLines w:val="0"/>
            <w:widowControl w:val="0"/>
            <w:numPr>
              <w:ilvl w:val="0"/>
              <w:numId w:val="0"/>
            </w:numPr>
            <w:suppressLineNumbers w:val="0"/>
            <w:spacing w:before="0" w:beforeAutospacing="0" w:after="0" w:afterAutospacing="0"/>
            <w:ind w:left="0" w:leftChars="0" w:right="0"/>
            <w:rPr>
              <w:rFonts w:hint="default" w:ascii="IBM Plex Sans" w:hAnsi="IBM Plex Sans" w:cs="IBM Plex Sans"/>
              <w:i/>
              <w:iCs/>
              <w:color w:val="000000" w:themeColor="text1"/>
              <w:sz w:val="16"/>
              <w:szCs w:val="16"/>
              <w:vertAlign w:val="baseline"/>
              <w:lang w:val="es-MX"/>
              <w14:textFill>
                <w14:solidFill>
                  <w14:schemeClr w14:val="tx1"/>
                </w14:solidFill>
              </w14:textFill>
            </w:rPr>
          </w:pPr>
        </w:p>
      </w:tc>
    </w:tr>
  </w:tbl>
  <w:p w14:paraId="07C70810">
    <w:pPr>
      <w:pStyle w:val="9"/>
    </w:pPr>
    <w: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-2261235</wp:posOffset>
          </wp:positionH>
          <wp:positionV relativeFrom="paragraph">
            <wp:posOffset>1722755</wp:posOffset>
          </wp:positionV>
          <wp:extent cx="1425575" cy="457200"/>
          <wp:effectExtent l="0" t="0" r="3175" b="0"/>
          <wp:wrapNone/>
          <wp:docPr id="3" name="Imagen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5575" cy="4572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2336" behindDoc="1" locked="0" layoutInCell="1" allowOverlap="1">
          <wp:simplePos x="0" y="0"/>
          <wp:positionH relativeFrom="column">
            <wp:posOffset>-2059940</wp:posOffset>
          </wp:positionH>
          <wp:positionV relativeFrom="paragraph">
            <wp:posOffset>841375</wp:posOffset>
          </wp:positionV>
          <wp:extent cx="1148715" cy="792480"/>
          <wp:effectExtent l="0" t="0" r="0" b="762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/>
                  <pic:cNvPicPr preferRelativeResize="0"/>
                </pic:nvPicPr>
                <pic:blipFill>
                  <a:blip r:embed="rId2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1425" t="3880" r="1034" b="86768"/>
                  <a:stretch>
                    <a:fillRect/>
                  </a:stretch>
                </pic:blipFill>
                <pic:spPr>
                  <a:xfrm>
                    <a:off x="0" y="0"/>
                    <a:ext cx="1148715" cy="792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-2747645</wp:posOffset>
              </wp:positionH>
              <wp:positionV relativeFrom="paragraph">
                <wp:posOffset>-452120</wp:posOffset>
              </wp:positionV>
              <wp:extent cx="2523490" cy="10688955"/>
              <wp:effectExtent l="0" t="0" r="10160" b="17145"/>
              <wp:wrapNone/>
              <wp:docPr id="1" name="Rectángulo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08965" y="305435"/>
                        <a:ext cx="2523490" cy="1068895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7F975F2">
                          <w:pPr>
                            <w:jc w:val="center"/>
                            <w:rPr>
                              <w:rFonts w:hint="default"/>
                              <w:lang w:val="es-MX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s 1" o:spid="_x0000_s1026" o:spt="1" style="position:absolute;left:0pt;margin-left:-216.35pt;margin-top:-35.6pt;height:841.65pt;width:198.7pt;z-index:-251657216;v-text-anchor:middle;mso-width-relative:page;mso-height-relative:page;" fillcolor="#F2F2F2 [3052]" filled="t" stroked="f" coordsize="21600,21600" o:gfxdata="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OyBHZ&#10;3gAAAA0BAAAPAAAAAAAAAAEAIAAAACIAAABkcnMvZG93bnJldi54bWxQSwECFAAUAAAACACHTuJA&#10;6To/RI0CAAAKBQAADgAAAAAAAAABACAAAAAtAQAAZHJzL2Uyb0RvYy54bWxQSwUGAAAAAAYABgBZ&#10;AQAALAYAAAAA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27F975F2">
                    <w:pPr>
                      <w:jc w:val="center"/>
                      <w:rPr>
                        <w:rFonts w:hint="default"/>
                        <w:lang w:val="es-MX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SimSun" w:hAnsi="SimSun" w:eastAsia="SimSun" w:cs="SimSun"/>
        <w:sz w:val="24"/>
        <w:szCs w:val="24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-2354580</wp:posOffset>
          </wp:positionH>
          <wp:positionV relativeFrom="paragraph">
            <wp:posOffset>541655</wp:posOffset>
          </wp:positionV>
          <wp:extent cx="1737360" cy="255270"/>
          <wp:effectExtent l="0" t="0" r="15240" b="11430"/>
          <wp:wrapNone/>
          <wp:docPr id="4" name="Imagen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2" descr="IMG_256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737360" cy="25527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-2241550</wp:posOffset>
          </wp:positionH>
          <wp:positionV relativeFrom="paragraph">
            <wp:posOffset>-17145</wp:posOffset>
          </wp:positionV>
          <wp:extent cx="1511300" cy="414655"/>
          <wp:effectExtent l="0" t="0" r="12700" b="4445"/>
          <wp:wrapNone/>
          <wp:docPr id="2" name="Imagen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MG_256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511300" cy="41465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72AD65"/>
    <w:multiLevelType w:val="singleLevel"/>
    <w:tmpl w:val="FE72AD6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36FD006"/>
    <w:multiLevelType w:val="singleLevel"/>
    <w:tmpl w:val="536FD006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9E3749"/>
    <w:rsid w:val="039211E8"/>
    <w:rsid w:val="059E3749"/>
    <w:rsid w:val="06163184"/>
    <w:rsid w:val="082F4DFA"/>
    <w:rsid w:val="14FD0E08"/>
    <w:rsid w:val="15061F14"/>
    <w:rsid w:val="16113D92"/>
    <w:rsid w:val="18A52FF9"/>
    <w:rsid w:val="1DC62CEB"/>
    <w:rsid w:val="255A1E3A"/>
    <w:rsid w:val="2960650E"/>
    <w:rsid w:val="2BA06DF8"/>
    <w:rsid w:val="30CC709D"/>
    <w:rsid w:val="31981C12"/>
    <w:rsid w:val="33A1663B"/>
    <w:rsid w:val="35747406"/>
    <w:rsid w:val="369614DB"/>
    <w:rsid w:val="4A4C0CA0"/>
    <w:rsid w:val="4B8D0681"/>
    <w:rsid w:val="4BD021A8"/>
    <w:rsid w:val="4CE23492"/>
    <w:rsid w:val="51B9241F"/>
    <w:rsid w:val="52A652CA"/>
    <w:rsid w:val="53862856"/>
    <w:rsid w:val="62E065D1"/>
    <w:rsid w:val="6D151F82"/>
    <w:rsid w:val="6D5468DD"/>
    <w:rsid w:val="6FA220B1"/>
    <w:rsid w:val="707C10C4"/>
    <w:rsid w:val="71CA66E8"/>
    <w:rsid w:val="733E0564"/>
    <w:rsid w:val="78D479B5"/>
    <w:rsid w:val="7DFE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40" w:lineRule="auto"/>
      <w:jc w:val="left"/>
    </w:pPr>
    <w:rPr>
      <w:rFonts w:ascii="IBM Plex Sans" w:hAnsi="IBM Plex Sans" w:eastAsiaTheme="minorEastAsia" w:cstheme="minorBidi"/>
      <w:sz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Source Sans 3 Black" w:hAnsi="Source Sans 3 Black" w:cs="Arial"/>
      <w:b/>
      <w:bCs/>
      <w:kern w:val="32"/>
      <w:sz w:val="36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Source Sans 3" w:hAnsi="Source Sans 3" w:cs="Arial" w:eastAsiaTheme="minorEastAsia"/>
      <w:b/>
      <w:bCs/>
      <w:i/>
      <w:iCs/>
      <w:sz w:val="28"/>
      <w:szCs w:val="28"/>
      <w:lang w:val="es-ES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Source Sans 3" w:hAnsi="Source Sans 3" w:cs="Arial"/>
      <w:b/>
      <w:bCs/>
      <w:sz w:val="26"/>
      <w:szCs w:val="26"/>
      <w:lang w:val="es-ES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rFonts w:ascii="Source Sans 3" w:hAnsi="Source Sans 3"/>
      <w:b/>
      <w:bCs/>
      <w:sz w:val="28"/>
      <w:szCs w:val="28"/>
      <w:lang w:val="es-ES"/>
    </w:rPr>
  </w:style>
  <w:style w:type="character" w:default="1" w:styleId="6">
    <w:name w:val="Default Paragraph Font"/>
    <w:qFormat/>
    <w:uiPriority w:val="0"/>
  </w:style>
  <w:style w:type="table" w:default="1" w:styleId="7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table" w:styleId="11">
    <w:name w:val="Table Grid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customStyle="1" w:styleId="12">
    <w:name w:val="Pie imagen"/>
    <w:basedOn w:val="1"/>
    <w:qFormat/>
    <w:uiPriority w:val="0"/>
    <w:pPr>
      <w:jc w:val="center"/>
    </w:pPr>
    <w:rPr>
      <w:bCs/>
      <w:i/>
      <w:iCs/>
      <w:color w:val="73706C"/>
      <w:sz w:val="20"/>
    </w:rPr>
  </w:style>
  <w:style w:type="character" w:customStyle="1" w:styleId="13">
    <w:name w:val="10"/>
    <w:uiPriority w:val="0"/>
    <w:rPr>
      <w:rFonts w:hint="default" w:ascii="Times New Roman" w:hAnsi="Times New Roman" w:cs="Times New Roman"/>
    </w:rPr>
  </w:style>
  <w:style w:type="character" w:customStyle="1" w:styleId="14">
    <w:name w:val="15"/>
    <w:qFormat/>
    <w:uiPriority w:val="0"/>
    <w:rPr>
      <w:rFonts w:hint="default" w:ascii="Times New Roman" w:hAnsi="Times New Roman" w:cs="Times New Roman"/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558</Words>
  <Characters>2730</Characters>
  <Lines>1</Lines>
  <Paragraphs>1</Paragraphs>
  <TotalTime>5</TotalTime>
  <ScaleCrop>false</ScaleCrop>
  <LinksUpToDate>false</LinksUpToDate>
  <CharactersWithSpaces>3258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2026-04-17T15:53:00Z</dcterms:created>
  <dc:creator>gab</dc:creator>
  <cp:lastModifiedBy>gab</cp:lastModifiedBy>
  <cp:lastPrinted>2026-04-22T16:13:00Z</cp:lastPrinted>
  <dcterms:modified xsi:type="dcterms:W3CDTF">2026-04-28T15:43:13Z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A822EC08D87742BCA543471E49193ADE_13</vt:lpwstr>
  </property>
  <property fmtid="{D5CDD505-2E9C-101B-9397-08002B2CF9AE}" pid="4" name="KSOTemplateDocerSaveRecord">
    <vt:lpwstr>eyJoZGlkIjoiOWQ0MmJkZDg1ZGRkM2Q1NzNiYmZiYWVhNTkwN2E1ZjUifQ==</vt:lpwstr>
  </property>
</Properties>
</file>