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0F0A" w:rsidRDefault="006B0F0A">
      <w:r>
        <w:rPr>
          <w:noProof/>
        </w:rPr>
        <w:drawing>
          <wp:inline distT="0" distB="0" distL="0" distR="0">
            <wp:extent cx="4737100"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d_blue_oni_pdo_npgo.png"/>
                    <pic:cNvPicPr/>
                  </pic:nvPicPr>
                  <pic:blipFill>
                    <a:blip r:embed="rId5">
                      <a:extLst>
                        <a:ext uri="{28A0092B-C50C-407E-A947-70E740481C1C}">
                          <a14:useLocalDpi xmlns:a14="http://schemas.microsoft.com/office/drawing/2010/main" val="0"/>
                        </a:ext>
                      </a:extLst>
                    </a:blip>
                    <a:stretch>
                      <a:fillRect/>
                    </a:stretch>
                  </pic:blipFill>
                  <pic:spPr>
                    <a:xfrm>
                      <a:off x="0" y="0"/>
                      <a:ext cx="4737100" cy="4495800"/>
                    </a:xfrm>
                    <a:prstGeom prst="rect">
                      <a:avLst/>
                    </a:prstGeom>
                  </pic:spPr>
                </pic:pic>
              </a:graphicData>
            </a:graphic>
          </wp:inline>
        </w:drawing>
      </w:r>
    </w:p>
    <w:p w:rsidR="006B0F0A" w:rsidRDefault="006B0F0A"/>
    <w:p w:rsidR="006B0F0A" w:rsidRPr="004018ED" w:rsidRDefault="006B0F0A" w:rsidP="006B0F0A">
      <w:pPr>
        <w:pStyle w:val="NormalWeb"/>
        <w:rPr>
          <w:rFonts w:ascii="Cambria" w:hAnsi="Cambria"/>
          <w:sz w:val="22"/>
          <w:szCs w:val="22"/>
        </w:rPr>
      </w:pPr>
      <w:r w:rsidRPr="34A9D0DE">
        <w:rPr>
          <w:rFonts w:ascii="Cambria" w:hAnsi="Cambria"/>
        </w:rPr>
        <w:t>Figure 1: Time series of monthly values for three ocean indices especially relevant to the California Current: 1) Oceanic Niño Index (ONI), b) Pacific Decadal Oscillation (PDO), and c) North Pacific Gyre Oscillation (NPGO). Vertical lines mark January 2017-2</w:t>
      </w:r>
      <w:r>
        <w:rPr>
          <w:rFonts w:ascii="Cambria" w:hAnsi="Cambria"/>
        </w:rPr>
        <w:t>1</w:t>
      </w:r>
      <w:r w:rsidRPr="34A9D0DE">
        <w:rPr>
          <w:rFonts w:ascii="Cambria" w:hAnsi="Cambria"/>
        </w:rPr>
        <w:t>. Indices can be obtained from</w:t>
      </w:r>
      <w:r>
        <w:rPr>
          <w:rFonts w:ascii="Cambria" w:hAnsi="Cambria"/>
          <w:sz w:val="22"/>
          <w:szCs w:val="22"/>
        </w:rPr>
        <w:t xml:space="preserve"> </w:t>
      </w:r>
      <w:hyperlink r:id="rId6" w:history="1">
        <w:r w:rsidRPr="00CF644D">
          <w:rPr>
            <w:rStyle w:val="Hyperlink"/>
            <w:rFonts w:ascii="Cambria" w:hAnsi="Cambria"/>
          </w:rPr>
          <w:t>https://www.integratedecosystemassessment.noaa.gov/regions/california-current/cc-indicator-status-trends</w:t>
        </w:r>
      </w:hyperlink>
      <w:r w:rsidRPr="34A9D0DE">
        <w:rPr>
          <w:rFonts w:ascii="Cambria" w:hAnsi="Cambria"/>
          <w:color w:val="000000" w:themeColor="text1"/>
        </w:rPr>
        <w:t xml:space="preserve">. </w:t>
      </w:r>
    </w:p>
    <w:p w:rsidR="006B0F0A" w:rsidRDefault="006B0F0A"/>
    <w:p w:rsidR="000860D2" w:rsidRDefault="006B0F0A" w:rsidP="000860D2">
      <w:pPr>
        <w:pStyle w:val="ListParagraph"/>
        <w:numPr>
          <w:ilvl w:val="0"/>
          <w:numId w:val="1"/>
        </w:numPr>
      </w:pPr>
      <w:r>
        <w:t>ONI and PDO goes to Sep 2021 and NPGO goes to Jun 2021</w:t>
      </w:r>
    </w:p>
    <w:p w:rsidR="007C7F3D" w:rsidRDefault="007C7F3D" w:rsidP="000860D2">
      <w:pPr>
        <w:pStyle w:val="ListParagraph"/>
        <w:numPr>
          <w:ilvl w:val="0"/>
          <w:numId w:val="1"/>
        </w:numPr>
      </w:pPr>
      <w:r w:rsidRPr="000860D2">
        <w:rPr>
          <w:rFonts w:eastAsia="Times New Roman" w:cstheme="minorHAnsi"/>
        </w:rPr>
        <w:t>La Niña</w:t>
      </w:r>
      <w:r>
        <w:rPr>
          <w:rFonts w:eastAsia="Times New Roman" w:cstheme="minorHAnsi"/>
        </w:rPr>
        <w:t xml:space="preserve"> from Aug 2020 to May 2021, presently </w:t>
      </w:r>
      <w:r w:rsidRPr="000860D2">
        <w:rPr>
          <w:rFonts w:eastAsia="Times New Roman" w:cstheme="minorHAnsi"/>
        </w:rPr>
        <w:t>La Niña</w:t>
      </w:r>
      <w:r>
        <w:rPr>
          <w:rFonts w:eastAsia="Times New Roman" w:cstheme="minorHAnsi"/>
        </w:rPr>
        <w:t xml:space="preserve"> conditions have developed</w:t>
      </w:r>
    </w:p>
    <w:p w:rsidR="000860D2" w:rsidRPr="000860D2" w:rsidRDefault="000860D2" w:rsidP="000860D2">
      <w:pPr>
        <w:pStyle w:val="ListParagraph"/>
        <w:numPr>
          <w:ilvl w:val="0"/>
          <w:numId w:val="1"/>
        </w:numPr>
      </w:pPr>
      <w:r w:rsidRPr="000860D2">
        <w:rPr>
          <w:rFonts w:eastAsia="Times New Roman" w:cstheme="minorHAnsi"/>
        </w:rPr>
        <w:t>La Niña is expected to continue with an 87% chance in December 2021-February 2022</w:t>
      </w:r>
      <w:r>
        <w:rPr>
          <w:rFonts w:eastAsia="Times New Roman" w:cstheme="minorHAnsi"/>
        </w:rPr>
        <w:t xml:space="preserve">, </w:t>
      </w:r>
    </w:p>
    <w:p w:rsidR="006B0F0A" w:rsidRDefault="007C7F3D" w:rsidP="006B0F0A">
      <w:pPr>
        <w:pStyle w:val="ListParagraph"/>
        <w:numPr>
          <w:ilvl w:val="0"/>
          <w:numId w:val="1"/>
        </w:numPr>
      </w:pPr>
      <w:hyperlink r:id="rId7" w:history="1">
        <w:r w:rsidRPr="00291330">
          <w:rPr>
            <w:rStyle w:val="Hyperlink"/>
          </w:rPr>
          <w:t>https://www.cpc.ncep.noaa.gov/products/analysis_monitoring/lanina/enso_evolu</w:t>
        </w:r>
        <w:r w:rsidRPr="00291330">
          <w:rPr>
            <w:rStyle w:val="Hyperlink"/>
          </w:rPr>
          <w:t>t</w:t>
        </w:r>
        <w:r w:rsidRPr="00291330">
          <w:rPr>
            <w:rStyle w:val="Hyperlink"/>
          </w:rPr>
          <w:t>ion-status-fcsts-web.pdf</w:t>
        </w:r>
      </w:hyperlink>
    </w:p>
    <w:p w:rsidR="006E7CE0" w:rsidRDefault="006E7CE0">
      <w:r>
        <w:br w:type="page"/>
      </w:r>
    </w:p>
    <w:p w:rsidR="007C7F3D" w:rsidRDefault="007C7F3D" w:rsidP="007C7F3D">
      <w:pPr>
        <w:ind w:left="360"/>
      </w:pPr>
    </w:p>
    <w:p w:rsidR="006E7CE0" w:rsidRDefault="006E7CE0" w:rsidP="007C7F3D">
      <w:pPr>
        <w:ind w:left="360"/>
      </w:pPr>
    </w:p>
    <w:p w:rsidR="006E7CE0" w:rsidRDefault="006E7CE0" w:rsidP="007C7F3D">
      <w:pPr>
        <w:ind w:left="360"/>
      </w:pPr>
    </w:p>
    <w:p w:rsidR="006E7CE0" w:rsidRDefault="006E7CE0" w:rsidP="007C7F3D">
      <w:pPr>
        <w:ind w:left="360"/>
      </w:pPr>
    </w:p>
    <w:p w:rsidR="006E7CE0" w:rsidRDefault="006E7CE0" w:rsidP="007C7F3D">
      <w:pPr>
        <w:ind w:left="360"/>
      </w:pPr>
      <w:r>
        <w:rPr>
          <w:noProof/>
        </w:rPr>
        <w:drawing>
          <wp:inline distT="0" distB="0" distL="0" distR="0">
            <wp:extent cx="5943600" cy="264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son_avgs_sst_uv_anom_current_summer_2021_202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rsidR="006E7CE0" w:rsidRDefault="006E7CE0" w:rsidP="007C7F3D">
      <w:pPr>
        <w:ind w:left="360"/>
      </w:pPr>
    </w:p>
    <w:p w:rsidR="006E7CE0" w:rsidRPr="008E5B80" w:rsidRDefault="006E7CE0" w:rsidP="006E7CE0">
      <w:pPr>
        <w:pStyle w:val="NormalWeb"/>
        <w:rPr>
          <w:rFonts w:ascii="Cambria" w:hAnsi="Cambria"/>
        </w:rPr>
      </w:pPr>
      <w:r w:rsidRPr="34A9D0DE">
        <w:rPr>
          <w:rFonts w:ascii="Cambria" w:hAnsi="Cambria"/>
        </w:rPr>
        <w:t>Figure 2: Surface wind velocity and sea surface temperature anomalies in the North Pacific Ocean for fall (September-November) 20</w:t>
      </w:r>
      <w:r>
        <w:rPr>
          <w:rFonts w:ascii="Cambria" w:hAnsi="Cambria"/>
        </w:rPr>
        <w:t>20</w:t>
      </w:r>
      <w:r w:rsidRPr="34A9D0DE">
        <w:rPr>
          <w:rFonts w:ascii="Cambria" w:hAnsi="Cambria"/>
        </w:rPr>
        <w:t>, winter (December-February) 202</w:t>
      </w:r>
      <w:r>
        <w:rPr>
          <w:rFonts w:ascii="Cambria" w:hAnsi="Cambria"/>
        </w:rPr>
        <w:t>1</w:t>
      </w:r>
      <w:r w:rsidRPr="34A9D0DE">
        <w:rPr>
          <w:rFonts w:ascii="Cambria" w:hAnsi="Cambria"/>
        </w:rPr>
        <w:t>, spring (March-May) 202</w:t>
      </w:r>
      <w:r>
        <w:rPr>
          <w:rFonts w:ascii="Cambria" w:hAnsi="Cambria"/>
        </w:rPr>
        <w:t>1</w:t>
      </w:r>
      <w:r w:rsidRPr="34A9D0DE">
        <w:rPr>
          <w:rFonts w:ascii="Cambria" w:hAnsi="Cambria"/>
        </w:rPr>
        <w:t>, and summer (June-August) 202</w:t>
      </w:r>
      <w:r>
        <w:rPr>
          <w:rFonts w:ascii="Cambria" w:hAnsi="Cambria"/>
        </w:rPr>
        <w:t>1</w:t>
      </w:r>
      <w:r w:rsidRPr="34A9D0DE">
        <w:rPr>
          <w:rFonts w:ascii="Cambria" w:hAnsi="Cambria"/>
        </w:rPr>
        <w:t>. Arrows denote magnitude and direction of wind anomaly (scale arrow at top). Contours denote temperature anomaly. Shading interval is 0.25°C and contour intervals at plus/minus 1°C are shown</w:t>
      </w:r>
      <w:r>
        <w:rPr>
          <w:rFonts w:ascii="Cambria" w:hAnsi="Cambria"/>
        </w:rPr>
        <w:t xml:space="preserve"> in red and blue, respectively</w:t>
      </w:r>
      <w:r w:rsidRPr="34A9D0DE">
        <w:rPr>
          <w:rFonts w:ascii="Cambria" w:hAnsi="Cambria"/>
        </w:rPr>
        <w:t xml:space="preserve">. Climatology period is 1980-2010 for both data sets. Wind NCEP/NCAR Reanalysis data and NOAA Extended Reconstructed SST V5 data were obtained from </w:t>
      </w:r>
      <w:r w:rsidRPr="34A9D0DE">
        <w:rPr>
          <w:rFonts w:ascii="Cambria" w:hAnsi="Cambria"/>
          <w:color w:val="000000" w:themeColor="text1"/>
        </w:rPr>
        <w:t>http://www.esrl.noaa.gov</w:t>
      </w:r>
      <w:r w:rsidRPr="34A9D0DE">
        <w:rPr>
          <w:rFonts w:ascii="Cambria" w:hAnsi="Cambria"/>
        </w:rPr>
        <w:t xml:space="preserve">. </w:t>
      </w:r>
    </w:p>
    <w:p w:rsidR="006E7CE0" w:rsidRDefault="006E7CE0" w:rsidP="007C7F3D">
      <w:pPr>
        <w:ind w:left="360"/>
      </w:pPr>
    </w:p>
    <w:p w:rsidR="0044190A" w:rsidRDefault="0044190A"/>
    <w:p w:rsidR="006B0F0A" w:rsidRDefault="006B0F0A"/>
    <w:p w:rsidR="00233C69" w:rsidRPr="009047A9" w:rsidRDefault="006E7CE0" w:rsidP="009047A9">
      <w:r>
        <w:br w:type="page"/>
      </w:r>
    </w:p>
    <w:p w:rsidR="00233C69" w:rsidRDefault="00233C69" w:rsidP="00233C69">
      <w:pPr>
        <w:pStyle w:val="NormalWeb"/>
        <w:rPr>
          <w:rFonts w:ascii="Cambria" w:hAnsi="Cambria"/>
        </w:rPr>
      </w:pPr>
      <w:r>
        <w:rPr>
          <w:rFonts w:ascii="Cambria" w:hAnsi="Cambria"/>
          <w:noProof/>
        </w:rPr>
        <w:lastRenderedPageBreak/>
        <w:drawing>
          <wp:inline distT="0" distB="0" distL="0" distR="0">
            <wp:extent cx="5943600" cy="4463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ur_ui_sst_anom_lat_24_51_xdis_0_75k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r>
        <w:rPr>
          <w:rFonts w:ascii="Cambria" w:hAnsi="Cambria"/>
        </w:rPr>
        <w:t xml:space="preserve">Figure 3: Monthly sea surface </w:t>
      </w:r>
      <w:proofErr w:type="spellStart"/>
      <w:r>
        <w:rPr>
          <w:rFonts w:ascii="Cambria" w:hAnsi="Cambria"/>
        </w:rPr>
        <w:t>t</w:t>
      </w:r>
      <w:r w:rsidRPr="34A9D0DE">
        <w:rPr>
          <w:rFonts w:ascii="Cambria" w:hAnsi="Cambria"/>
        </w:rPr>
        <w:t>perature</w:t>
      </w:r>
      <w:proofErr w:type="spellEnd"/>
      <w:r w:rsidRPr="34A9D0DE">
        <w:rPr>
          <w:rFonts w:ascii="Cambria" w:hAnsi="Cambria"/>
        </w:rPr>
        <w:t xml:space="preserve"> (SST) anomalies (top) and Bakun upwelling index (UI) anomalies (bottom) for January 201</w:t>
      </w:r>
      <w:r>
        <w:rPr>
          <w:rFonts w:ascii="Cambria" w:hAnsi="Cambria"/>
        </w:rPr>
        <w:t>7</w:t>
      </w:r>
      <w:r w:rsidRPr="34A9D0DE">
        <w:rPr>
          <w:rFonts w:ascii="Cambria" w:hAnsi="Cambria"/>
        </w:rPr>
        <w:t xml:space="preserve"> </w:t>
      </w:r>
      <w:r>
        <w:rPr>
          <w:rFonts w:ascii="Cambria" w:hAnsi="Cambria"/>
        </w:rPr>
        <w:t xml:space="preserve">– September </w:t>
      </w:r>
      <w:r w:rsidRPr="34A9D0DE">
        <w:rPr>
          <w:rFonts w:ascii="Cambria" w:hAnsi="Cambria"/>
        </w:rPr>
        <w:t>202</w:t>
      </w:r>
      <w:r>
        <w:rPr>
          <w:rFonts w:ascii="Cambria" w:hAnsi="Cambria"/>
        </w:rPr>
        <w:t>1</w:t>
      </w:r>
      <w:r w:rsidRPr="34A9D0DE">
        <w:rPr>
          <w:rFonts w:ascii="Cambria" w:hAnsi="Cambria"/>
        </w:rPr>
        <w:t xml:space="preserve">. The SST anomalies are averaged from the coast to 75 km offshore. Positive and negative upwelling anomalies denote greater than average upwelling or downwelling (usually during the winter), respectively. Anomalies are relative to 1982-2010 monthly means. Daily optimum AVHRR SST data obtained from </w:t>
      </w:r>
      <w:hyperlink r:id="rId10" w:history="1">
        <w:r w:rsidRPr="00CF644D">
          <w:rPr>
            <w:rStyle w:val="Hyperlink"/>
            <w:rFonts w:ascii="Cambria" w:hAnsi="Cambria"/>
          </w:rPr>
          <w:t>https://coastwatch.pfeg.noaa.gov/erddap/griddap/ncdcOisst2Agg</w:t>
        </w:r>
      </w:hyperlink>
      <w:r>
        <w:rPr>
          <w:rFonts w:ascii="Cambria" w:hAnsi="Cambria"/>
        </w:rPr>
        <w:t>.</w:t>
      </w:r>
    </w:p>
    <w:p w:rsidR="009047A9" w:rsidRDefault="009047A9" w:rsidP="009047A9">
      <w:pPr>
        <w:pStyle w:val="NormalWeb"/>
        <w:numPr>
          <w:ilvl w:val="0"/>
          <w:numId w:val="12"/>
        </w:numPr>
        <w:rPr>
          <w:rFonts w:ascii="Cambria" w:hAnsi="Cambria"/>
        </w:rPr>
      </w:pPr>
      <w:r>
        <w:rPr>
          <w:rFonts w:ascii="Cambria" w:hAnsi="Cambria"/>
        </w:rPr>
        <w:t xml:space="preserve">The coastal temperatures during the winter and spring 2021 </w:t>
      </w:r>
      <w:bookmarkStart w:id="0" w:name="_GoBack"/>
      <w:bookmarkEnd w:id="0"/>
      <w:r>
        <w:rPr>
          <w:rFonts w:ascii="Cambria" w:hAnsi="Cambria"/>
        </w:rPr>
        <w:t>are the coolest since 2013.</w:t>
      </w:r>
    </w:p>
    <w:p w:rsidR="009047A9" w:rsidRDefault="00233C69" w:rsidP="009047A9">
      <w:pPr>
        <w:ind w:left="2880"/>
      </w:pPr>
      <w:r>
        <w:br w:type="page"/>
      </w:r>
    </w:p>
    <w:p w:rsidR="00233C69" w:rsidRDefault="00233C69"/>
    <w:p w:rsidR="00233C69" w:rsidRDefault="00233C69">
      <w:r>
        <w:rPr>
          <w:noProof/>
        </w:rPr>
        <w:drawing>
          <wp:inline distT="0" distB="0" distL="0" distR="0">
            <wp:extent cx="4888523" cy="668672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_cui_new.png"/>
                    <pic:cNvPicPr/>
                  </pic:nvPicPr>
                  <pic:blipFill>
                    <a:blip r:embed="rId11">
                      <a:extLst>
                        <a:ext uri="{28A0092B-C50C-407E-A947-70E740481C1C}">
                          <a14:useLocalDpi xmlns:a14="http://schemas.microsoft.com/office/drawing/2010/main" val="0"/>
                        </a:ext>
                      </a:extLst>
                    </a:blip>
                    <a:stretch>
                      <a:fillRect/>
                    </a:stretch>
                  </pic:blipFill>
                  <pic:spPr>
                    <a:xfrm>
                      <a:off x="0" y="0"/>
                      <a:ext cx="4893271" cy="6693221"/>
                    </a:xfrm>
                    <a:prstGeom prst="rect">
                      <a:avLst/>
                    </a:prstGeom>
                  </pic:spPr>
                </pic:pic>
              </a:graphicData>
            </a:graphic>
          </wp:inline>
        </w:drawing>
      </w:r>
    </w:p>
    <w:p w:rsidR="00233C69" w:rsidRPr="008E5B80" w:rsidRDefault="00233C69" w:rsidP="00233C69">
      <w:pPr>
        <w:pStyle w:val="NormalWeb"/>
        <w:rPr>
          <w:rFonts w:ascii="Cambria" w:hAnsi="Cambria"/>
          <w:color w:val="000000" w:themeColor="text1"/>
        </w:rPr>
      </w:pPr>
      <w:r w:rsidRPr="34A9D0DE">
        <w:rPr>
          <w:rFonts w:ascii="Cambria" w:hAnsi="Cambria"/>
        </w:rPr>
        <w:t xml:space="preserve">Figure </w:t>
      </w:r>
      <w:r>
        <w:rPr>
          <w:rFonts w:ascii="Cambria" w:hAnsi="Cambria"/>
        </w:rPr>
        <w:t>4</w:t>
      </w:r>
      <w:r w:rsidRPr="34A9D0DE">
        <w:rPr>
          <w:rFonts w:ascii="Cambria" w:hAnsi="Cambria"/>
        </w:rPr>
        <w:t>: Yearly curves of the cumulative Coastal Upwelling Transport Index (CCUTI) starting on January 1 calculated from daily CUTI at locations along the west coast of North America. Grey lines are all yearly CCUTI for the years 1988-201</w:t>
      </w:r>
      <w:r>
        <w:rPr>
          <w:rFonts w:ascii="Cambria" w:hAnsi="Cambria"/>
        </w:rPr>
        <w:t>8</w:t>
      </w:r>
      <w:r w:rsidRPr="34A9D0DE">
        <w:rPr>
          <w:rFonts w:ascii="Cambria" w:hAnsi="Cambria"/>
        </w:rPr>
        <w:t>, colored curves are for the years 201</w:t>
      </w:r>
      <w:r>
        <w:rPr>
          <w:rFonts w:ascii="Cambria" w:hAnsi="Cambria"/>
        </w:rPr>
        <w:t>8</w:t>
      </w:r>
      <w:r w:rsidRPr="34A9D0DE">
        <w:rPr>
          <w:rFonts w:ascii="Cambria" w:hAnsi="Cambria"/>
        </w:rPr>
        <w:t>-2</w:t>
      </w:r>
      <w:r>
        <w:rPr>
          <w:rFonts w:ascii="Cambria" w:hAnsi="Cambria"/>
        </w:rPr>
        <w:t>1</w:t>
      </w:r>
      <w:r w:rsidRPr="34A9D0DE">
        <w:rPr>
          <w:rFonts w:ascii="Cambria" w:hAnsi="Cambria"/>
        </w:rPr>
        <w:t xml:space="preserve">. The black line is the climatological mean. The red dashed vertical lines mark the end of January, April, July, and October. Daily CUTI data obtained from </w:t>
      </w:r>
      <w:hyperlink r:id="rId12">
        <w:r w:rsidRPr="34A9D0DE">
          <w:rPr>
            <w:rStyle w:val="Hyperlink"/>
            <w:rFonts w:ascii="Cambria" w:hAnsi="Cambria"/>
            <w:color w:val="000000" w:themeColor="text1"/>
          </w:rPr>
          <w:t>https://oceanview.pfeg.noaa.gov/upwelling/</w:t>
        </w:r>
      </w:hyperlink>
      <w:r>
        <w:rPr>
          <w:rFonts w:ascii="Cambria" w:hAnsi="Cambria"/>
          <w:color w:val="000000" w:themeColor="text1"/>
        </w:rPr>
        <w:t>.</w:t>
      </w:r>
    </w:p>
    <w:p w:rsidR="00233C69" w:rsidRDefault="00233C69"/>
    <w:p w:rsidR="00233C69" w:rsidRDefault="00233C69">
      <w:r>
        <w:rPr>
          <w:noProof/>
        </w:rPr>
        <w:drawing>
          <wp:inline distT="0" distB="0" distL="0" distR="0">
            <wp:extent cx="4406900" cy="166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ph_jan_feb_area.png"/>
                    <pic:cNvPicPr/>
                  </pic:nvPicPr>
                  <pic:blipFill>
                    <a:blip r:embed="rId13">
                      <a:extLst>
                        <a:ext uri="{28A0092B-C50C-407E-A947-70E740481C1C}">
                          <a14:useLocalDpi xmlns:a14="http://schemas.microsoft.com/office/drawing/2010/main" val="0"/>
                        </a:ext>
                      </a:extLst>
                    </a:blip>
                    <a:stretch>
                      <a:fillRect/>
                    </a:stretch>
                  </pic:blipFill>
                  <pic:spPr>
                    <a:xfrm>
                      <a:off x="0" y="0"/>
                      <a:ext cx="4406900" cy="1663700"/>
                    </a:xfrm>
                    <a:prstGeom prst="rect">
                      <a:avLst/>
                    </a:prstGeom>
                  </pic:spPr>
                </pic:pic>
              </a:graphicData>
            </a:graphic>
          </wp:inline>
        </w:drawing>
      </w:r>
    </w:p>
    <w:p w:rsidR="00233C69" w:rsidRPr="008E5B80" w:rsidRDefault="00233C69" w:rsidP="00233C69">
      <w:pPr>
        <w:pStyle w:val="NormalWeb"/>
        <w:rPr>
          <w:rFonts w:ascii="Cambria" w:hAnsi="Cambria"/>
        </w:rPr>
      </w:pPr>
      <w:r w:rsidRPr="34A9D0DE">
        <w:rPr>
          <w:rFonts w:ascii="Cambria" w:hAnsi="Cambria"/>
        </w:rPr>
        <w:t xml:space="preserve">Figure </w:t>
      </w:r>
      <w:r>
        <w:rPr>
          <w:rFonts w:ascii="Cambria" w:hAnsi="Cambria"/>
        </w:rPr>
        <w:t>5</w:t>
      </w:r>
      <w:r w:rsidRPr="34A9D0DE">
        <w:rPr>
          <w:rFonts w:ascii="Cambria" w:hAnsi="Cambria"/>
        </w:rPr>
        <w:t>: Area of high atmospheric pressure of the North Pacific High averaged over January and February each year. The area is the areal extent of the 102</w:t>
      </w:r>
      <w:r>
        <w:rPr>
          <w:rFonts w:ascii="Cambria" w:hAnsi="Cambria"/>
        </w:rPr>
        <w:t>1</w:t>
      </w:r>
      <w:r w:rsidRPr="34A9D0DE">
        <w:rPr>
          <w:rFonts w:ascii="Cambria" w:hAnsi="Cambria"/>
        </w:rPr>
        <w:t xml:space="preserve"> </w:t>
      </w:r>
      <w:proofErr w:type="spellStart"/>
      <w:r w:rsidRPr="34A9D0DE">
        <w:rPr>
          <w:rFonts w:ascii="Cambria" w:hAnsi="Cambria"/>
        </w:rPr>
        <w:t>hPa</w:t>
      </w:r>
      <w:proofErr w:type="spellEnd"/>
      <w:r w:rsidRPr="34A9D0DE">
        <w:rPr>
          <w:rFonts w:ascii="Cambria" w:hAnsi="Cambria"/>
        </w:rPr>
        <w:t xml:space="preserve"> isobar located in the eastern North Pacific. FNMOC six-hourly data used to find the area of the NPH is located at  </w:t>
      </w:r>
      <w:hyperlink r:id="rId14">
        <w:r w:rsidRPr="34A9D0DE">
          <w:rPr>
            <w:rStyle w:val="Hyperlink"/>
            <w:rFonts w:ascii="Cambria" w:hAnsi="Cambria"/>
          </w:rPr>
          <w:t>https://coastwatch.pfeg.noaa.gov/erddap/griddap/erdlasFnPres6</w:t>
        </w:r>
      </w:hyperlink>
      <w:r w:rsidRPr="34A9D0DE">
        <w:rPr>
          <w:rFonts w:ascii="Cambria" w:hAnsi="Cambria"/>
        </w:rPr>
        <w:t>.</w:t>
      </w:r>
    </w:p>
    <w:p w:rsidR="00233C69" w:rsidRDefault="00233C69"/>
    <w:p w:rsidR="00233C69" w:rsidRDefault="00233C69"/>
    <w:p w:rsidR="00233C69" w:rsidRDefault="00233C69"/>
    <w:p w:rsidR="00132715" w:rsidRDefault="00132715">
      <w:r>
        <w:rPr>
          <w:noProof/>
        </w:rPr>
        <w:drawing>
          <wp:inline distT="0" distB="0" distL="0" distR="0" wp14:anchorId="6A5D369D" wp14:editId="15051BF3">
            <wp:extent cx="554990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_nph_Mon3.png"/>
                    <pic:cNvPicPr/>
                  </pic:nvPicPr>
                  <pic:blipFill>
                    <a:blip r:embed="rId15">
                      <a:extLst>
                        <a:ext uri="{28A0092B-C50C-407E-A947-70E740481C1C}">
                          <a14:useLocalDpi xmlns:a14="http://schemas.microsoft.com/office/drawing/2010/main" val="0"/>
                        </a:ext>
                      </a:extLst>
                    </a:blip>
                    <a:stretch>
                      <a:fillRect/>
                    </a:stretch>
                  </pic:blipFill>
                  <pic:spPr>
                    <a:xfrm>
                      <a:off x="0" y="0"/>
                      <a:ext cx="5549900" cy="2400300"/>
                    </a:xfrm>
                    <a:prstGeom prst="rect">
                      <a:avLst/>
                    </a:prstGeom>
                  </pic:spPr>
                </pic:pic>
              </a:graphicData>
            </a:graphic>
          </wp:inline>
        </w:drawing>
      </w:r>
    </w:p>
    <w:p w:rsidR="00132715" w:rsidRDefault="00132715"/>
    <w:p w:rsidR="00132715" w:rsidRDefault="00132715" w:rsidP="00132715"/>
    <w:p w:rsidR="009047A9" w:rsidRDefault="00132715" w:rsidP="00132715">
      <w:pPr>
        <w:pStyle w:val="ListParagraph"/>
        <w:numPr>
          <w:ilvl w:val="0"/>
          <w:numId w:val="6"/>
        </w:numPr>
      </w:pPr>
      <w:r>
        <w:t>Jan-Feb NPH</w:t>
      </w:r>
      <w:r w:rsidR="009047A9">
        <w:t xml:space="preserve"> area usually is high during </w:t>
      </w:r>
      <w:r w:rsidR="009047A9" w:rsidRPr="000860D2">
        <w:rPr>
          <w:rFonts w:eastAsia="Times New Roman" w:cstheme="minorHAnsi"/>
        </w:rPr>
        <w:t xml:space="preserve">La </w:t>
      </w:r>
      <w:proofErr w:type="gramStart"/>
      <w:r w:rsidR="009047A9" w:rsidRPr="000860D2">
        <w:rPr>
          <w:rFonts w:eastAsia="Times New Roman" w:cstheme="minorHAnsi"/>
        </w:rPr>
        <w:t>Niña</w:t>
      </w:r>
      <w:r w:rsidR="009047A9">
        <w:t>,</w:t>
      </w:r>
      <w:proofErr w:type="gramEnd"/>
      <w:r w:rsidR="009047A9">
        <w:t xml:space="preserve"> however it was low during 2021 do to episodic low pressure events</w:t>
      </w:r>
    </w:p>
    <w:p w:rsidR="009047A9" w:rsidRDefault="009047A9" w:rsidP="00132715">
      <w:pPr>
        <w:pStyle w:val="ListParagraph"/>
        <w:numPr>
          <w:ilvl w:val="0"/>
          <w:numId w:val="6"/>
        </w:numPr>
      </w:pPr>
      <w:r>
        <w:t>However, the March NPH area was very high, one of the largest over the entire record</w:t>
      </w:r>
    </w:p>
    <w:p w:rsidR="00233C69" w:rsidRDefault="00233C69" w:rsidP="009047A9">
      <w:pPr>
        <w:pStyle w:val="ListParagraph"/>
      </w:pPr>
      <w:r>
        <w:br w:type="page"/>
      </w:r>
    </w:p>
    <w:p w:rsidR="00233C69" w:rsidRDefault="00233C69"/>
    <w:p w:rsidR="00233C69" w:rsidRDefault="00233C69"/>
    <w:p w:rsidR="00233C69" w:rsidRDefault="00233C69"/>
    <w:p w:rsidR="00233C69" w:rsidRDefault="00233C69"/>
    <w:p w:rsidR="00233C69" w:rsidRDefault="00233C69">
      <w:r>
        <w:rPr>
          <w:noProof/>
        </w:rPr>
        <w:drawing>
          <wp:inline distT="0" distB="0" distL="0" distR="0">
            <wp:extent cx="5943600" cy="2568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our_chl_anom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inline>
        </w:drawing>
      </w:r>
    </w:p>
    <w:p w:rsidR="00233C69" w:rsidRPr="008E5B80" w:rsidRDefault="00233C69" w:rsidP="00233C69">
      <w:pPr>
        <w:pStyle w:val="NormalWeb"/>
        <w:rPr>
          <w:rFonts w:ascii="Cambria" w:hAnsi="Cambria"/>
        </w:rPr>
      </w:pPr>
      <w:r w:rsidRPr="34A9D0DE">
        <w:rPr>
          <w:rFonts w:ascii="Cambria" w:hAnsi="Cambria"/>
        </w:rPr>
        <w:t xml:space="preserve">Figure </w:t>
      </w:r>
      <w:r w:rsidR="009047A9">
        <w:rPr>
          <w:rFonts w:ascii="Cambria" w:hAnsi="Cambria"/>
        </w:rPr>
        <w:t>6</w:t>
      </w:r>
      <w:r w:rsidRPr="34A9D0DE">
        <w:rPr>
          <w:rFonts w:ascii="Cambria" w:hAnsi="Cambria"/>
        </w:rPr>
        <w:t xml:space="preserve">: Chlorophyll </w:t>
      </w:r>
      <w:r w:rsidRPr="34A9D0DE">
        <w:rPr>
          <w:rFonts w:ascii="Cambria" w:hAnsi="Cambria"/>
          <w:i/>
          <w:iCs/>
        </w:rPr>
        <w:t>a</w:t>
      </w:r>
      <w:r w:rsidRPr="34A9D0DE">
        <w:rPr>
          <w:rFonts w:ascii="Cambria" w:hAnsi="Cambria"/>
        </w:rPr>
        <w:t xml:space="preserve"> </w:t>
      </w:r>
      <w:proofErr w:type="gramStart"/>
      <w:r w:rsidRPr="34A9D0DE">
        <w:rPr>
          <w:rFonts w:ascii="Cambria" w:hAnsi="Cambria"/>
        </w:rPr>
        <w:t>anomalies</w:t>
      </w:r>
      <w:proofErr w:type="gramEnd"/>
      <w:r w:rsidRPr="34A9D0DE">
        <w:rPr>
          <w:rFonts w:ascii="Cambria" w:hAnsi="Cambria"/>
        </w:rPr>
        <w:t xml:space="preserve"> from Aqua MODIS over spring (March- May) 201</w:t>
      </w:r>
      <w:r>
        <w:rPr>
          <w:rFonts w:ascii="Cambria" w:hAnsi="Cambria"/>
        </w:rPr>
        <w:t>9</w:t>
      </w:r>
      <w:r w:rsidRPr="34A9D0DE">
        <w:rPr>
          <w:rFonts w:ascii="Cambria" w:hAnsi="Cambria"/>
        </w:rPr>
        <w:t>-</w:t>
      </w:r>
      <w:r>
        <w:rPr>
          <w:rFonts w:ascii="Cambria" w:hAnsi="Cambria"/>
        </w:rPr>
        <w:t>2021</w:t>
      </w:r>
      <w:r w:rsidRPr="34A9D0DE">
        <w:rPr>
          <w:rFonts w:ascii="Cambria" w:hAnsi="Cambria"/>
        </w:rPr>
        <w:t>. Monthly anomalies were averaged onto a 0.1° x 0.1° grid and the climatology was based on the 2003-2</w:t>
      </w:r>
      <w:r w:rsidR="009047A9">
        <w:rPr>
          <w:rFonts w:ascii="Cambria" w:hAnsi="Cambria"/>
        </w:rPr>
        <w:t>1</w:t>
      </w:r>
      <w:r w:rsidRPr="34A9D0DE">
        <w:rPr>
          <w:rFonts w:ascii="Cambria" w:hAnsi="Cambria"/>
        </w:rPr>
        <w:t xml:space="preserve"> time period. The data were obtained from </w:t>
      </w:r>
      <w:hyperlink r:id="rId17">
        <w:r w:rsidRPr="34A9D0DE">
          <w:rPr>
            <w:rStyle w:val="Hyperlink"/>
            <w:rFonts w:ascii="Cambria" w:hAnsi="Cambria"/>
          </w:rPr>
          <w:t>https://coastwatch.pfeg.noaa.gov/erddap/griddap/erdMH1chlamday</w:t>
        </w:r>
      </w:hyperlink>
      <w:r w:rsidRPr="34A9D0DE">
        <w:rPr>
          <w:rFonts w:ascii="Cambria" w:hAnsi="Cambria"/>
        </w:rPr>
        <w:t>.</w:t>
      </w:r>
    </w:p>
    <w:p w:rsidR="00233C69" w:rsidRDefault="00233C69"/>
    <w:sectPr w:rsidR="00233C69" w:rsidSect="00B652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32C4"/>
    <w:multiLevelType w:val="hybridMultilevel"/>
    <w:tmpl w:val="715C477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53751B1"/>
    <w:multiLevelType w:val="hybridMultilevel"/>
    <w:tmpl w:val="837ED6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C5D76B9"/>
    <w:multiLevelType w:val="hybridMultilevel"/>
    <w:tmpl w:val="AF38A51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15C13400"/>
    <w:multiLevelType w:val="hybridMultilevel"/>
    <w:tmpl w:val="49F24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529EE"/>
    <w:multiLevelType w:val="hybridMultilevel"/>
    <w:tmpl w:val="789EB69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DCC5C85"/>
    <w:multiLevelType w:val="hybridMultilevel"/>
    <w:tmpl w:val="3FC255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E0425CC"/>
    <w:multiLevelType w:val="hybridMultilevel"/>
    <w:tmpl w:val="602E3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CD5A5C"/>
    <w:multiLevelType w:val="hybridMultilevel"/>
    <w:tmpl w:val="66D2F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0369B"/>
    <w:multiLevelType w:val="hybridMultilevel"/>
    <w:tmpl w:val="0DF25A1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57F9382C"/>
    <w:multiLevelType w:val="hybridMultilevel"/>
    <w:tmpl w:val="3E98D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7228DB"/>
    <w:multiLevelType w:val="hybridMultilevel"/>
    <w:tmpl w:val="0FEA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4C084F"/>
    <w:multiLevelType w:val="hybridMultilevel"/>
    <w:tmpl w:val="CD12EA5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num w:numId="1">
    <w:abstractNumId w:val="6"/>
  </w:num>
  <w:num w:numId="2">
    <w:abstractNumId w:val="0"/>
  </w:num>
  <w:num w:numId="3">
    <w:abstractNumId w:val="4"/>
  </w:num>
  <w:num w:numId="4">
    <w:abstractNumId w:val="11"/>
  </w:num>
  <w:num w:numId="5">
    <w:abstractNumId w:val="7"/>
  </w:num>
  <w:num w:numId="6">
    <w:abstractNumId w:val="3"/>
  </w:num>
  <w:num w:numId="7">
    <w:abstractNumId w:val="1"/>
  </w:num>
  <w:num w:numId="8">
    <w:abstractNumId w:val="2"/>
  </w:num>
  <w:num w:numId="9">
    <w:abstractNumId w:val="8"/>
  </w:num>
  <w:num w:numId="10">
    <w:abstractNumId w:val="10"/>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F0A"/>
    <w:rsid w:val="000860D2"/>
    <w:rsid w:val="00132715"/>
    <w:rsid w:val="0018270C"/>
    <w:rsid w:val="00233C69"/>
    <w:rsid w:val="0044190A"/>
    <w:rsid w:val="006B0F0A"/>
    <w:rsid w:val="006E7CE0"/>
    <w:rsid w:val="007256CA"/>
    <w:rsid w:val="007C7F3D"/>
    <w:rsid w:val="009047A9"/>
    <w:rsid w:val="00B65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8154C4"/>
  <w14:defaultImageDpi w14:val="32767"/>
  <w15:chartTrackingRefBased/>
  <w15:docId w15:val="{78B96E96-7416-604C-8DBC-09BD4EB1F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0F0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B0F0A"/>
    <w:rPr>
      <w:color w:val="0563C1" w:themeColor="hyperlink"/>
      <w:u w:val="single"/>
    </w:rPr>
  </w:style>
  <w:style w:type="paragraph" w:styleId="ListParagraph">
    <w:name w:val="List Paragraph"/>
    <w:basedOn w:val="Normal"/>
    <w:uiPriority w:val="34"/>
    <w:qFormat/>
    <w:rsid w:val="006B0F0A"/>
    <w:pPr>
      <w:ind w:left="720"/>
      <w:contextualSpacing/>
    </w:pPr>
  </w:style>
  <w:style w:type="character" w:styleId="UnresolvedMention">
    <w:name w:val="Unresolved Mention"/>
    <w:basedOn w:val="DefaultParagraphFont"/>
    <w:uiPriority w:val="99"/>
    <w:rsid w:val="007C7F3D"/>
    <w:rPr>
      <w:color w:val="605E5C"/>
      <w:shd w:val="clear" w:color="auto" w:fill="E1DFDD"/>
    </w:rPr>
  </w:style>
  <w:style w:type="character" w:styleId="FollowedHyperlink">
    <w:name w:val="FollowedHyperlink"/>
    <w:basedOn w:val="DefaultParagraphFont"/>
    <w:uiPriority w:val="99"/>
    <w:semiHidden/>
    <w:unhideWhenUsed/>
    <w:rsid w:val="007C7F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535672">
      <w:bodyDiv w:val="1"/>
      <w:marLeft w:val="0"/>
      <w:marRight w:val="0"/>
      <w:marTop w:val="0"/>
      <w:marBottom w:val="0"/>
      <w:divBdr>
        <w:top w:val="none" w:sz="0" w:space="0" w:color="auto"/>
        <w:left w:val="none" w:sz="0" w:space="0" w:color="auto"/>
        <w:bottom w:val="none" w:sz="0" w:space="0" w:color="auto"/>
        <w:right w:val="none" w:sz="0" w:space="0" w:color="auto"/>
      </w:divBdr>
    </w:div>
    <w:div w:id="2009281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cpc.ncep.noaa.gov/products/analysis_monitoring/lanina/enso_evolution-status-fcsts-web.pdf" TargetMode="External"/><Relationship Id="rId12" Type="http://schemas.openxmlformats.org/officeDocument/2006/relationships/hyperlink" Target="https://oceanview.pfeg.noaa.gov/upwelling/" TargetMode="External"/><Relationship Id="rId17" Type="http://schemas.openxmlformats.org/officeDocument/2006/relationships/hyperlink" Target="https://coastwatch.pfeg.noaa.gov/erddap/griddap/erdMH1chlamday" TargetMode="Externa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integratedecosystemassessment.noaa.gov/regions/california-current/cc-indicator-status-trends"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coastwatch.pfeg.noaa.gov/erddap/griddap/ncdcOisst2Ag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astwatch.pfeg.noaa.gov/erddap/griddap/erdlasFnPres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570</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2021-11-09T19:44:00Z</dcterms:created>
  <dcterms:modified xsi:type="dcterms:W3CDTF">2021-11-09T20:58:00Z</dcterms:modified>
</cp:coreProperties>
</file>