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en-GB"/>
          <w14:ligatures w14:val="standardContextual"/>
        </w:rPr>
        <w:id w:val="2032612097"/>
        <w:docPartObj>
          <w:docPartGallery w:val="Cover Pages"/>
          <w:docPartUnique/>
        </w:docPartObj>
      </w:sdtPr>
      <w:sdtEndPr>
        <w:rPr>
          <w:rFonts w:cstheme="minorHAnsi"/>
          <w:color w:val="001D35"/>
          <w:shd w:val="clear" w:color="auto" w:fill="FFFFFF"/>
        </w:rPr>
      </w:sdtEndPr>
      <w:sdtContent>
        <w:p w14:paraId="460384ED" w14:textId="3D6A92F2" w:rsidR="00F03858" w:rsidRDefault="00F03858">
          <w:pPr>
            <w:pStyle w:val="NoSpacing"/>
            <w:spacing w:before="1540" w:after="240"/>
            <w:jc w:val="center"/>
            <w:rPr>
              <w:color w:val="4472C4" w:themeColor="accent1"/>
            </w:rPr>
          </w:pPr>
          <w:r>
            <w:rPr>
              <w:noProof/>
              <w:color w:val="4472C4" w:themeColor="accent1"/>
            </w:rPr>
            <w:drawing>
              <wp:inline distT="0" distB="0" distL="0" distR="0" wp14:anchorId="3674DA28" wp14:editId="3BE1F47E">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Nunito" w:hAnsi="Nunito"/>
              <w:color w:val="1C1D1F"/>
              <w:sz w:val="27"/>
              <w:szCs w:val="27"/>
              <w:shd w:val="clear" w:color="auto" w:fill="FFFFFF"/>
            </w:rPr>
            <w:alias w:val="Title"/>
            <w:tag w:val=""/>
            <w:id w:val="1735040861"/>
            <w:placeholder>
              <w:docPart w:val="E0255AA0E5314009A922CFABC9D68AEC"/>
            </w:placeholder>
            <w:dataBinding w:prefixMappings="xmlns:ns0='http://purl.org/dc/elements/1.1/' xmlns:ns1='http://schemas.openxmlformats.org/package/2006/metadata/core-properties' " w:xpath="/ns1:coreProperties[1]/ns0:title[1]" w:storeItemID="{6C3C8BC8-F283-45AE-878A-BAB7291924A1}"/>
            <w:text/>
          </w:sdtPr>
          <w:sdtContent>
            <w:p w14:paraId="100F53BD" w14:textId="1A733999" w:rsidR="00F03858" w:rsidRPr="00766821" w:rsidRDefault="0092472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92472B">
                <w:rPr>
                  <w:rFonts w:ascii="Nunito" w:hAnsi="Nunito"/>
                  <w:color w:val="1C1D1F"/>
                  <w:sz w:val="27"/>
                  <w:szCs w:val="27"/>
                  <w:shd w:val="clear" w:color="auto" w:fill="FFFFFF"/>
                </w:rPr>
                <w:t>Docket No. CDC-2025-0024</w:t>
              </w:r>
              <w:r>
                <w:rPr>
                  <w:rFonts w:ascii="Nunito" w:hAnsi="Nunito"/>
                  <w:color w:val="1C1D1F"/>
                  <w:sz w:val="27"/>
                  <w:szCs w:val="27"/>
                  <w:shd w:val="clear" w:color="auto" w:fill="FFFFFF"/>
                </w:rPr>
                <w:t xml:space="preserve"> </w:t>
              </w:r>
              <w:r w:rsidRPr="0092472B">
                <w:rPr>
                  <w:rFonts w:ascii="Nunito" w:hAnsi="Nunito"/>
                  <w:color w:val="1C1D1F"/>
                  <w:sz w:val="27"/>
                  <w:szCs w:val="27"/>
                  <w:shd w:val="clear" w:color="auto" w:fill="FFFFFF"/>
                </w:rPr>
                <w:t>Evidence to support pausing mRNA covid  vaccine deployment</w:t>
              </w:r>
            </w:p>
          </w:sdtContent>
        </w:sdt>
        <w:sdt>
          <w:sdtPr>
            <w:rPr>
              <w:color w:val="4472C4" w:themeColor="accent1"/>
              <w:sz w:val="28"/>
              <w:szCs w:val="28"/>
            </w:rPr>
            <w:alias w:val="Subtitle"/>
            <w:tag w:val=""/>
            <w:id w:val="328029620"/>
            <w:placeholder>
              <w:docPart w:val="226C04FCAE8B46959A7624F73C1DF5BE"/>
            </w:placeholder>
            <w:dataBinding w:prefixMappings="xmlns:ns0='http://purl.org/dc/elements/1.1/' xmlns:ns1='http://schemas.openxmlformats.org/package/2006/metadata/core-properties' " w:xpath="/ns1:coreProperties[1]/ns0:subject[1]" w:storeItemID="{6C3C8BC8-F283-45AE-878A-BAB7291924A1}"/>
            <w:text/>
          </w:sdtPr>
          <w:sdtEndPr/>
          <w:sdtContent>
            <w:p w14:paraId="370C32C2" w14:textId="2A752085" w:rsidR="00F03858" w:rsidRDefault="001A10F6">
              <w:pPr>
                <w:pStyle w:val="NoSpacing"/>
                <w:jc w:val="center"/>
                <w:rPr>
                  <w:color w:val="4472C4" w:themeColor="accent1"/>
                  <w:sz w:val="28"/>
                  <w:szCs w:val="28"/>
                </w:rPr>
              </w:pPr>
              <w:r>
                <w:rPr>
                  <w:color w:val="4472C4" w:themeColor="accent1"/>
                  <w:sz w:val="28"/>
                  <w:szCs w:val="28"/>
                </w:rPr>
                <w:t xml:space="preserve">Submission to </w:t>
              </w:r>
              <w:r w:rsidR="002A62BE">
                <w:rPr>
                  <w:color w:val="4472C4" w:themeColor="accent1"/>
                  <w:sz w:val="28"/>
                  <w:szCs w:val="28"/>
                </w:rPr>
                <w:t xml:space="preserve">ACIP </w:t>
              </w:r>
              <w:r w:rsidR="005C095B">
                <w:rPr>
                  <w:color w:val="4472C4" w:themeColor="accent1"/>
                  <w:sz w:val="28"/>
                  <w:szCs w:val="28"/>
                </w:rPr>
                <w:t xml:space="preserve">for </w:t>
              </w:r>
              <w:r w:rsidR="002A62BE">
                <w:rPr>
                  <w:color w:val="4472C4" w:themeColor="accent1"/>
                  <w:sz w:val="28"/>
                  <w:szCs w:val="28"/>
                </w:rPr>
                <w:t xml:space="preserve">Meeting of </w:t>
              </w:r>
              <w:r w:rsidR="005C095B">
                <w:rPr>
                  <w:color w:val="4472C4" w:themeColor="accent1"/>
                  <w:sz w:val="28"/>
                  <w:szCs w:val="28"/>
                </w:rPr>
                <w:t>2</w:t>
              </w:r>
              <w:r w:rsidR="002A62BE">
                <w:rPr>
                  <w:color w:val="4472C4" w:themeColor="accent1"/>
                  <w:sz w:val="28"/>
                  <w:szCs w:val="28"/>
                </w:rPr>
                <w:t>5-27 June</w:t>
              </w:r>
              <w:r w:rsidR="005C095B">
                <w:rPr>
                  <w:color w:val="4472C4" w:themeColor="accent1"/>
                  <w:sz w:val="28"/>
                  <w:szCs w:val="28"/>
                </w:rPr>
                <w:t xml:space="preserve"> 2025</w:t>
              </w:r>
            </w:p>
          </w:sdtContent>
        </w:sdt>
        <w:p w14:paraId="6A03FFAF" w14:textId="77777777" w:rsidR="00F03858" w:rsidRDefault="00F0385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666D55F2" wp14:editId="0B870C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5-06-18T00:00:00Z">
                                    <w:dateFormat w:val="MMMM d, yyyy"/>
                                    <w:lid w:val="en-US"/>
                                    <w:storeMappedDataAs w:val="dateTime"/>
                                    <w:calendar w:val="gregorian"/>
                                  </w:date>
                                </w:sdtPr>
                                <w:sdtEndPr/>
                                <w:sdtContent>
                                  <w:p w14:paraId="184995BF" w14:textId="452153ED" w:rsidR="00F03858" w:rsidRPr="00766821" w:rsidRDefault="002A62BE">
                                    <w:pPr>
                                      <w:pStyle w:val="NoSpacing"/>
                                      <w:spacing w:after="40"/>
                                      <w:jc w:val="center"/>
                                      <w:rPr>
                                        <w:caps/>
                                        <w:color w:val="4472C4" w:themeColor="accent1"/>
                                        <w:sz w:val="24"/>
                                        <w:szCs w:val="24"/>
                                      </w:rPr>
                                    </w:pPr>
                                    <w:r>
                                      <w:rPr>
                                        <w:caps/>
                                        <w:color w:val="4472C4" w:themeColor="accent1"/>
                                        <w:sz w:val="24"/>
                                        <w:szCs w:val="24"/>
                                      </w:rPr>
                                      <w:t>June 18, 2025</w:t>
                                    </w:r>
                                  </w:p>
                                </w:sdtContent>
                              </w:sdt>
                              <w:p w14:paraId="5A027EF3" w14:textId="18B8C249" w:rsidR="00F03858" w:rsidRPr="00766821" w:rsidRDefault="00E25D8E">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B0F74" w:rsidRPr="00766821">
                                      <w:rPr>
                                        <w:caps/>
                                        <w:color w:val="4472C4" w:themeColor="accent1"/>
                                        <w:sz w:val="28"/>
                                        <w:szCs w:val="28"/>
                                      </w:rPr>
                                      <w:t>Chris Edwards</w:t>
                                    </w:r>
                                  </w:sdtContent>
                                </w:sdt>
                              </w:p>
                              <w:p w14:paraId="2CCD23D1" w14:textId="2D5EE0ED" w:rsidR="00F03858" w:rsidRDefault="00E25D8E" w:rsidP="00CB0F74">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B0F74">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66D55F2"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5-06-18T00:00:00Z">
                              <w:dateFormat w:val="MMMM d, yyyy"/>
                              <w:lid w:val="en-US"/>
                              <w:storeMappedDataAs w:val="dateTime"/>
                              <w:calendar w:val="gregorian"/>
                            </w:date>
                          </w:sdtPr>
                          <w:sdtEndPr/>
                          <w:sdtContent>
                            <w:p w14:paraId="184995BF" w14:textId="452153ED" w:rsidR="00F03858" w:rsidRPr="00766821" w:rsidRDefault="002A62BE">
                              <w:pPr>
                                <w:pStyle w:val="NoSpacing"/>
                                <w:spacing w:after="40"/>
                                <w:jc w:val="center"/>
                                <w:rPr>
                                  <w:caps/>
                                  <w:color w:val="4472C4" w:themeColor="accent1"/>
                                  <w:sz w:val="24"/>
                                  <w:szCs w:val="24"/>
                                </w:rPr>
                              </w:pPr>
                              <w:r>
                                <w:rPr>
                                  <w:caps/>
                                  <w:color w:val="4472C4" w:themeColor="accent1"/>
                                  <w:sz w:val="24"/>
                                  <w:szCs w:val="24"/>
                                </w:rPr>
                                <w:t>June 18, 2025</w:t>
                              </w:r>
                            </w:p>
                          </w:sdtContent>
                        </w:sdt>
                        <w:p w14:paraId="5A027EF3" w14:textId="18B8C249" w:rsidR="00F03858" w:rsidRPr="00766821" w:rsidRDefault="00E25D8E">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B0F74" w:rsidRPr="00766821">
                                <w:rPr>
                                  <w:caps/>
                                  <w:color w:val="4472C4" w:themeColor="accent1"/>
                                  <w:sz w:val="28"/>
                                  <w:szCs w:val="28"/>
                                </w:rPr>
                                <w:t>Chris Edwards</w:t>
                              </w:r>
                            </w:sdtContent>
                          </w:sdt>
                        </w:p>
                        <w:p w14:paraId="2CCD23D1" w14:textId="2D5EE0ED" w:rsidR="00F03858" w:rsidRDefault="00E25D8E" w:rsidP="00CB0F74">
                          <w:pPr>
                            <w:pStyle w:val="NoSpacing"/>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B0F74">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56F32C3F" wp14:editId="49F55782">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3DE47E0" w14:textId="0CE4B544" w:rsidR="00F03858" w:rsidRDefault="00F03858">
          <w:pPr>
            <w:rPr>
              <w:rFonts w:cstheme="minorHAnsi"/>
              <w:color w:val="001D35"/>
              <w:shd w:val="clear" w:color="auto" w:fill="FFFFFF"/>
            </w:rPr>
          </w:pPr>
          <w:r>
            <w:rPr>
              <w:rFonts w:cstheme="minorHAnsi"/>
              <w:color w:val="001D35"/>
              <w:shd w:val="clear" w:color="auto" w:fill="FFFFFF"/>
            </w:rPr>
            <w:br w:type="page"/>
          </w:r>
        </w:p>
      </w:sdtContent>
    </w:sdt>
    <w:p w14:paraId="4B9FE71F" w14:textId="3D55E927" w:rsidR="009B2021" w:rsidRPr="009F4186" w:rsidRDefault="003A4EB0">
      <w:pPr>
        <w:rPr>
          <w:rStyle w:val="uv3um"/>
          <w:rFonts w:ascii="Arial" w:hAnsi="Arial" w:cs="Arial"/>
          <w:color w:val="001D35"/>
          <w:sz w:val="27"/>
          <w:szCs w:val="27"/>
          <w:shd w:val="clear" w:color="auto" w:fill="FFFFFF"/>
        </w:rPr>
      </w:pPr>
      <w:r w:rsidRPr="003A4EB0">
        <w:rPr>
          <w:rFonts w:cstheme="minorHAnsi"/>
          <w:color w:val="001D35"/>
          <w:shd w:val="clear" w:color="auto" w:fill="FFFFFF"/>
        </w:rPr>
        <w:lastRenderedPageBreak/>
        <w:t>The myth about Popeye's super strength coming from a miscalculation of iron content in spinach is a classic example of how errors and misinformation can spread. highlighting the importance of accurate data and critical thinking in science</w:t>
      </w:r>
      <w:r>
        <w:rPr>
          <w:rFonts w:ascii="Arial" w:hAnsi="Arial" w:cs="Arial"/>
          <w:color w:val="001D35"/>
          <w:sz w:val="27"/>
          <w:szCs w:val="27"/>
          <w:shd w:val="clear" w:color="auto" w:fill="FFFFFF"/>
        </w:rPr>
        <w:t>.</w:t>
      </w:r>
      <w:r>
        <w:rPr>
          <w:rStyle w:val="uv3um"/>
          <w:rFonts w:ascii="Arial" w:hAnsi="Arial" w:cs="Arial"/>
          <w:color w:val="001D35"/>
          <w:sz w:val="27"/>
          <w:szCs w:val="27"/>
          <w:shd w:val="clear" w:color="auto" w:fill="FFFFFF"/>
        </w:rPr>
        <w:t> </w:t>
      </w:r>
      <w:r w:rsidR="009B2021">
        <w:rPr>
          <w:rStyle w:val="uv3um"/>
          <w:rFonts w:cstheme="minorHAnsi"/>
          <w:color w:val="001D35"/>
          <w:shd w:val="clear" w:color="auto" w:fill="FFFFFF"/>
        </w:rPr>
        <w:t>Not one but t</w:t>
      </w:r>
      <w:r w:rsidR="00B32A52">
        <w:rPr>
          <w:rStyle w:val="uv3um"/>
          <w:rFonts w:cstheme="minorHAnsi"/>
          <w:color w:val="001D35"/>
          <w:shd w:val="clear" w:color="auto" w:fill="FFFFFF"/>
        </w:rPr>
        <w:t>hree</w:t>
      </w:r>
      <w:r w:rsidRPr="003A4EB0">
        <w:rPr>
          <w:rStyle w:val="uv3um"/>
          <w:rFonts w:cstheme="minorHAnsi"/>
          <w:color w:val="001D35"/>
          <w:shd w:val="clear" w:color="auto" w:fill="FFFFFF"/>
        </w:rPr>
        <w:t xml:space="preserve"> similar miscalculation</w:t>
      </w:r>
      <w:r w:rsidR="009B2021">
        <w:rPr>
          <w:rStyle w:val="uv3um"/>
          <w:rFonts w:cstheme="minorHAnsi"/>
          <w:color w:val="001D35"/>
          <w:shd w:val="clear" w:color="auto" w:fill="FFFFFF"/>
        </w:rPr>
        <w:t>s</w:t>
      </w:r>
      <w:r w:rsidRPr="003A4EB0">
        <w:rPr>
          <w:rStyle w:val="uv3um"/>
          <w:rFonts w:cstheme="minorHAnsi"/>
          <w:color w:val="001D35"/>
          <w:shd w:val="clear" w:color="auto" w:fill="FFFFFF"/>
        </w:rPr>
        <w:t xml:space="preserve"> occurred with mRNA vaccine</w:t>
      </w:r>
      <w:r w:rsidR="001B2551">
        <w:rPr>
          <w:rStyle w:val="uv3um"/>
          <w:rFonts w:cstheme="minorHAnsi"/>
          <w:color w:val="001D35"/>
          <w:shd w:val="clear" w:color="auto" w:fill="FFFFFF"/>
        </w:rPr>
        <w:t xml:space="preserve"> reach and strength</w:t>
      </w:r>
      <w:r>
        <w:rPr>
          <w:rStyle w:val="uv3um"/>
          <w:rFonts w:cstheme="minorHAnsi"/>
          <w:color w:val="001D35"/>
          <w:shd w:val="clear" w:color="auto" w:fill="FFFFFF"/>
        </w:rPr>
        <w:t xml:space="preserve">. </w:t>
      </w:r>
    </w:p>
    <w:p w14:paraId="3499DDFA" w14:textId="4B1900AD" w:rsidR="00B32A52" w:rsidRDefault="009B2021">
      <w:pPr>
        <w:rPr>
          <w:rStyle w:val="uv3um"/>
          <w:rFonts w:cstheme="minorHAnsi"/>
          <w:color w:val="001D35"/>
          <w:u w:val="single"/>
          <w:shd w:val="clear" w:color="auto" w:fill="FFFFFF"/>
        </w:rPr>
      </w:pPr>
      <w:r w:rsidRPr="00944EA2">
        <w:rPr>
          <w:rStyle w:val="uv3um"/>
          <w:rFonts w:cstheme="minorHAnsi"/>
          <w:color w:val="001D35"/>
          <w:u w:val="single"/>
          <w:shd w:val="clear" w:color="auto" w:fill="FFFFFF"/>
        </w:rPr>
        <w:t>First</w:t>
      </w:r>
      <w:r>
        <w:rPr>
          <w:rStyle w:val="uv3um"/>
          <w:rFonts w:cstheme="minorHAnsi"/>
          <w:color w:val="001D35"/>
          <w:shd w:val="clear" w:color="auto" w:fill="FFFFFF"/>
        </w:rPr>
        <w:t xml:space="preserve"> </w:t>
      </w:r>
      <w:r w:rsidR="00623B07">
        <w:rPr>
          <w:rStyle w:val="uv3um"/>
          <w:rFonts w:cstheme="minorHAnsi"/>
          <w:color w:val="001D35"/>
          <w:shd w:val="clear" w:color="auto" w:fill="FFFFFF"/>
        </w:rPr>
        <w:t>B</w:t>
      </w:r>
      <w:r w:rsidR="003A4EB0">
        <w:rPr>
          <w:rStyle w:val="uv3um"/>
          <w:rFonts w:cstheme="minorHAnsi"/>
          <w:color w:val="001D35"/>
          <w:shd w:val="clear" w:color="auto" w:fill="FFFFFF"/>
        </w:rPr>
        <w:t xml:space="preserve">oth Moderna and Pfizer EUA authorised </w:t>
      </w:r>
      <w:r w:rsidR="00944EA2">
        <w:rPr>
          <w:rStyle w:val="uv3um"/>
          <w:rFonts w:cstheme="minorHAnsi"/>
          <w:color w:val="001D35"/>
          <w:shd w:val="clear" w:color="auto" w:fill="FFFFFF"/>
        </w:rPr>
        <w:t xml:space="preserve">Process 2 </w:t>
      </w:r>
      <w:r w:rsidR="003A4EB0">
        <w:rPr>
          <w:rStyle w:val="uv3um"/>
          <w:rFonts w:cstheme="minorHAnsi"/>
          <w:color w:val="001D35"/>
          <w:shd w:val="clear" w:color="auto" w:fill="FFFFFF"/>
        </w:rPr>
        <w:t>product</w:t>
      </w:r>
      <w:r w:rsidR="00623B07">
        <w:rPr>
          <w:rStyle w:val="uv3um"/>
          <w:rFonts w:cstheme="minorHAnsi"/>
          <w:color w:val="001D35"/>
          <w:shd w:val="clear" w:color="auto" w:fill="FFFFFF"/>
        </w:rPr>
        <w:t xml:space="preserve"> </w:t>
      </w:r>
      <w:r w:rsidR="00FB2D32">
        <w:rPr>
          <w:rStyle w:val="uv3um"/>
          <w:rFonts w:cstheme="minorHAnsi"/>
          <w:color w:val="001D35"/>
          <w:shd w:val="clear" w:color="auto" w:fill="FFFFFF"/>
        </w:rPr>
        <w:t xml:space="preserve">potency </w:t>
      </w:r>
      <w:r w:rsidR="00623B07">
        <w:rPr>
          <w:rStyle w:val="uv3um"/>
          <w:rFonts w:cstheme="minorHAnsi"/>
          <w:color w:val="001D35"/>
          <w:shd w:val="clear" w:color="auto" w:fill="FFFFFF"/>
        </w:rPr>
        <w:t>considerably</w:t>
      </w:r>
      <w:r w:rsidR="003A4EB0">
        <w:rPr>
          <w:rStyle w:val="uv3um"/>
          <w:rFonts w:cstheme="minorHAnsi"/>
          <w:color w:val="001D35"/>
          <w:shd w:val="clear" w:color="auto" w:fill="FFFFFF"/>
        </w:rPr>
        <w:t xml:space="preserve"> exceed</w:t>
      </w:r>
      <w:r w:rsidR="00CD78F1">
        <w:rPr>
          <w:rStyle w:val="uv3um"/>
          <w:rFonts w:cstheme="minorHAnsi"/>
          <w:color w:val="001D35"/>
          <w:shd w:val="clear" w:color="auto" w:fill="FFFFFF"/>
        </w:rPr>
        <w:t>s</w:t>
      </w:r>
      <w:r w:rsidR="003A4EB0">
        <w:rPr>
          <w:rStyle w:val="uv3um"/>
          <w:rFonts w:cstheme="minorHAnsi"/>
          <w:color w:val="001D35"/>
          <w:shd w:val="clear" w:color="auto" w:fill="FFFFFF"/>
        </w:rPr>
        <w:t xml:space="preserve"> safe pyrogenic threshold established in the</w:t>
      </w:r>
      <w:r w:rsidR="00CD78F1">
        <w:rPr>
          <w:rStyle w:val="uv3um"/>
          <w:rFonts w:cstheme="minorHAnsi"/>
          <w:color w:val="001D35"/>
          <w:shd w:val="clear" w:color="auto" w:fill="FFFFFF"/>
        </w:rPr>
        <w:t>ir</w:t>
      </w:r>
      <w:r w:rsidR="00623B07">
        <w:rPr>
          <w:rStyle w:val="uv3um"/>
          <w:rFonts w:cstheme="minorHAnsi"/>
          <w:color w:val="001D35"/>
          <w:shd w:val="clear" w:color="auto" w:fill="FFFFFF"/>
        </w:rPr>
        <w:t xml:space="preserve"> respective</w:t>
      </w:r>
      <w:r w:rsidR="003A4EB0">
        <w:rPr>
          <w:rStyle w:val="uv3um"/>
          <w:rFonts w:cstheme="minorHAnsi"/>
          <w:color w:val="001D35"/>
          <w:shd w:val="clear" w:color="auto" w:fill="FFFFFF"/>
        </w:rPr>
        <w:t xml:space="preserve"> pivotal clinical trials</w:t>
      </w:r>
      <w:r w:rsidR="009F4186">
        <w:rPr>
          <w:rStyle w:val="uv3um"/>
          <w:rFonts w:cstheme="minorHAnsi"/>
          <w:color w:val="001D35"/>
          <w:shd w:val="clear" w:color="auto" w:fill="FFFFFF"/>
        </w:rPr>
        <w:t>, in Pfizer by 1700%</w:t>
      </w:r>
      <w:r w:rsidR="003A4EB0">
        <w:rPr>
          <w:rStyle w:val="uv3um"/>
          <w:rFonts w:cstheme="minorHAnsi"/>
          <w:color w:val="001D35"/>
          <w:shd w:val="clear" w:color="auto" w:fill="FFFFFF"/>
        </w:rPr>
        <w:t xml:space="preserve">. </w:t>
      </w:r>
      <w:r w:rsidR="00CD78F1">
        <w:rPr>
          <w:rStyle w:val="uv3um"/>
          <w:rFonts w:cstheme="minorHAnsi"/>
          <w:color w:val="001D35"/>
          <w:shd w:val="clear" w:color="auto" w:fill="FFFFFF"/>
        </w:rPr>
        <w:t>There were two</w:t>
      </w:r>
      <w:r w:rsidR="00944EA2">
        <w:rPr>
          <w:rStyle w:val="uv3um"/>
          <w:rFonts w:cstheme="minorHAnsi"/>
          <w:color w:val="001D35"/>
          <w:shd w:val="clear" w:color="auto" w:fill="FFFFFF"/>
        </w:rPr>
        <w:t xml:space="preserve"> </w:t>
      </w:r>
      <w:r w:rsidR="00CD78F1">
        <w:rPr>
          <w:rStyle w:val="uv3um"/>
          <w:rFonts w:cstheme="minorHAnsi"/>
          <w:color w:val="001D35"/>
          <w:shd w:val="clear" w:color="auto" w:fill="FFFFFF"/>
        </w:rPr>
        <w:t xml:space="preserve">Pfizer and </w:t>
      </w:r>
      <w:r w:rsidR="00944EA2">
        <w:rPr>
          <w:rStyle w:val="uv3um"/>
          <w:rFonts w:cstheme="minorHAnsi"/>
          <w:color w:val="001D35"/>
          <w:shd w:val="clear" w:color="auto" w:fill="FFFFFF"/>
        </w:rPr>
        <w:t>Moderna</w:t>
      </w:r>
      <w:r w:rsidR="00CD78F1">
        <w:rPr>
          <w:rStyle w:val="uv3um"/>
          <w:rFonts w:cstheme="minorHAnsi"/>
          <w:color w:val="001D35"/>
          <w:shd w:val="clear" w:color="auto" w:fill="FFFFFF"/>
        </w:rPr>
        <w:t xml:space="preserve"> </w:t>
      </w:r>
      <w:r w:rsidR="00944EA2">
        <w:rPr>
          <w:rStyle w:val="uv3um"/>
          <w:rFonts w:cstheme="minorHAnsi"/>
          <w:color w:val="001D35"/>
          <w:shd w:val="clear" w:color="auto" w:fill="FFFFFF"/>
        </w:rPr>
        <w:t>processes</w:t>
      </w:r>
      <w:r w:rsidR="00CD78F1">
        <w:rPr>
          <w:rStyle w:val="uv3um"/>
          <w:rFonts w:cstheme="minorHAnsi"/>
          <w:color w:val="001D35"/>
          <w:shd w:val="clear" w:color="auto" w:fill="FFFFFF"/>
        </w:rPr>
        <w:t>;</w:t>
      </w:r>
      <w:r w:rsidR="00C809B5">
        <w:rPr>
          <w:rStyle w:val="uv3um"/>
          <w:rFonts w:cstheme="minorHAnsi"/>
          <w:color w:val="001D35"/>
          <w:shd w:val="clear" w:color="auto" w:fill="FFFFFF"/>
        </w:rPr>
        <w:t xml:space="preserve"> Process 1</w:t>
      </w:r>
      <w:r w:rsidR="00CD78F1">
        <w:rPr>
          <w:rStyle w:val="uv3um"/>
          <w:rFonts w:cstheme="minorHAnsi"/>
          <w:color w:val="001D35"/>
          <w:shd w:val="clear" w:color="auto" w:fill="FFFFFF"/>
        </w:rPr>
        <w:t>, a trial</w:t>
      </w:r>
      <w:r w:rsidR="00C809B5">
        <w:rPr>
          <w:rStyle w:val="uv3um"/>
          <w:rFonts w:cstheme="minorHAnsi"/>
          <w:color w:val="001D35"/>
          <w:shd w:val="clear" w:color="auto" w:fill="FFFFFF"/>
        </w:rPr>
        <w:t xml:space="preserve"> </w:t>
      </w:r>
      <w:r w:rsidR="00B20B5E">
        <w:rPr>
          <w:rStyle w:val="uv3um"/>
          <w:rFonts w:cstheme="minorHAnsi"/>
          <w:color w:val="001D35"/>
          <w:shd w:val="clear" w:color="auto" w:fill="FFFFFF"/>
        </w:rPr>
        <w:t>“</w:t>
      </w:r>
      <w:r w:rsidR="00C809B5">
        <w:rPr>
          <w:rStyle w:val="uv3um"/>
          <w:rFonts w:cstheme="minorHAnsi"/>
          <w:color w:val="001D35"/>
          <w:shd w:val="clear" w:color="auto" w:fill="FFFFFF"/>
        </w:rPr>
        <w:t>mock up</w:t>
      </w:r>
      <w:r w:rsidR="00B20B5E">
        <w:rPr>
          <w:rStyle w:val="uv3um"/>
          <w:rFonts w:cstheme="minorHAnsi"/>
          <w:color w:val="001D35"/>
          <w:shd w:val="clear" w:color="auto" w:fill="FFFFFF"/>
        </w:rPr>
        <w:t>”</w:t>
      </w:r>
      <w:r w:rsidR="00C809B5">
        <w:rPr>
          <w:rStyle w:val="uv3um"/>
          <w:rFonts w:cstheme="minorHAnsi"/>
          <w:color w:val="001D35"/>
          <w:shd w:val="clear" w:color="auto" w:fill="FFFFFF"/>
        </w:rPr>
        <w:t xml:space="preserve"> and Process 2 </w:t>
      </w:r>
      <w:r w:rsidR="00B20B5E">
        <w:rPr>
          <w:rStyle w:val="uv3um"/>
          <w:rFonts w:cstheme="minorHAnsi"/>
          <w:color w:val="001D35"/>
          <w:shd w:val="clear" w:color="auto" w:fill="FFFFFF"/>
        </w:rPr>
        <w:t>“</w:t>
      </w:r>
      <w:r w:rsidR="00C809B5">
        <w:rPr>
          <w:rStyle w:val="uv3um"/>
          <w:rFonts w:cstheme="minorHAnsi"/>
          <w:color w:val="001D35"/>
          <w:shd w:val="clear" w:color="auto" w:fill="FFFFFF"/>
        </w:rPr>
        <w:t>upscale</w:t>
      </w:r>
      <w:r w:rsidR="00B20B5E">
        <w:rPr>
          <w:rStyle w:val="uv3um"/>
          <w:rFonts w:cstheme="minorHAnsi"/>
          <w:color w:val="001D35"/>
          <w:shd w:val="clear" w:color="auto" w:fill="FFFFFF"/>
        </w:rPr>
        <w:t>”.</w:t>
      </w:r>
      <w:r w:rsidR="00C809B5">
        <w:rPr>
          <w:rStyle w:val="uv3um"/>
          <w:rFonts w:cstheme="minorHAnsi"/>
          <w:color w:val="001D35"/>
          <w:shd w:val="clear" w:color="auto" w:fill="FFFFFF"/>
        </w:rPr>
        <w:t xml:space="preserve"> </w:t>
      </w:r>
      <w:r w:rsidR="0071469F">
        <w:rPr>
          <w:rStyle w:val="uv3um"/>
          <w:rFonts w:cstheme="minorHAnsi"/>
          <w:color w:val="001D35"/>
          <w:shd w:val="clear" w:color="auto" w:fill="FFFFFF"/>
        </w:rPr>
        <w:t>P</w:t>
      </w:r>
      <w:r w:rsidR="00F378F5">
        <w:rPr>
          <w:rStyle w:val="uv3um"/>
          <w:rFonts w:cstheme="minorHAnsi"/>
          <w:color w:val="001D35"/>
          <w:shd w:val="clear" w:color="auto" w:fill="FFFFFF"/>
        </w:rPr>
        <w:t xml:space="preserve">fizer is described </w:t>
      </w:r>
      <w:r w:rsidR="00DA5155">
        <w:rPr>
          <w:rStyle w:val="uv3um"/>
          <w:rFonts w:cstheme="minorHAnsi"/>
          <w:color w:val="001D35"/>
          <w:shd w:val="clear" w:color="auto" w:fill="FFFFFF"/>
        </w:rPr>
        <w:t>later;</w:t>
      </w:r>
      <w:r w:rsidR="00C809B5">
        <w:rPr>
          <w:rStyle w:val="uv3um"/>
          <w:rFonts w:cstheme="minorHAnsi"/>
          <w:color w:val="001D35"/>
          <w:shd w:val="clear" w:color="auto" w:fill="FFFFFF"/>
        </w:rPr>
        <w:t xml:space="preserve"> Moderna </w:t>
      </w:r>
      <w:r w:rsidR="009F4186">
        <w:rPr>
          <w:rStyle w:val="uv3um"/>
          <w:rFonts w:cstheme="minorHAnsi"/>
          <w:color w:val="001D35"/>
          <w:shd w:val="clear" w:color="auto" w:fill="FFFFFF"/>
        </w:rPr>
        <w:t>published the</w:t>
      </w:r>
      <w:r w:rsidR="00B20B5E">
        <w:rPr>
          <w:rStyle w:val="uv3um"/>
          <w:rFonts w:cstheme="minorHAnsi"/>
          <w:color w:val="001D35"/>
          <w:shd w:val="clear" w:color="auto" w:fill="FFFFFF"/>
        </w:rPr>
        <w:t>ir findings about the</w:t>
      </w:r>
      <w:r w:rsidR="009F4186">
        <w:rPr>
          <w:rStyle w:val="uv3um"/>
          <w:rFonts w:cstheme="minorHAnsi"/>
          <w:color w:val="001D35"/>
          <w:shd w:val="clear" w:color="auto" w:fill="FFFFFF"/>
        </w:rPr>
        <w:t xml:space="preserve"> two processes in December 2020</w:t>
      </w:r>
      <w:r w:rsidR="00B20B5E">
        <w:rPr>
          <w:rStyle w:val="uv3um"/>
          <w:rFonts w:cstheme="minorHAnsi"/>
          <w:color w:val="001D35"/>
          <w:shd w:val="clear" w:color="auto" w:fill="FFFFFF"/>
        </w:rPr>
        <w:t>. T</w:t>
      </w:r>
      <w:r w:rsidR="009F4186">
        <w:rPr>
          <w:rStyle w:val="uv3um"/>
          <w:rFonts w:cstheme="minorHAnsi"/>
          <w:color w:val="001D35"/>
          <w:shd w:val="clear" w:color="auto" w:fill="FFFFFF"/>
        </w:rPr>
        <w:t>he image below shows how much more potent Process 2(b) is than Pr</w:t>
      </w:r>
      <w:r w:rsidR="00B20B5E">
        <w:rPr>
          <w:rStyle w:val="uv3um"/>
          <w:rFonts w:cstheme="minorHAnsi"/>
          <w:color w:val="001D35"/>
          <w:shd w:val="clear" w:color="auto" w:fill="FFFFFF"/>
        </w:rPr>
        <w:t>o</w:t>
      </w:r>
      <w:r w:rsidR="009F4186">
        <w:rPr>
          <w:rStyle w:val="uv3um"/>
          <w:rFonts w:cstheme="minorHAnsi"/>
          <w:color w:val="001D35"/>
          <w:shd w:val="clear" w:color="auto" w:fill="FFFFFF"/>
        </w:rPr>
        <w:t>cess 1 (a)</w:t>
      </w:r>
      <w:r w:rsidR="00C809B5" w:rsidRPr="00C809B5">
        <w:rPr>
          <w:rFonts w:ascii="Times New Roman" w:eastAsia="Times New Roman" w:hAnsi="Times New Roman" w:cs="Times New Roman"/>
          <w:b/>
          <w:bCs/>
          <w:color w:val="000000"/>
          <w:kern w:val="0"/>
          <w:sz w:val="26"/>
          <w:szCs w:val="26"/>
          <w:lang w:eastAsia="en-GB"/>
          <w14:ligatures w14:val="none"/>
        </w:rPr>
        <w:br/>
      </w:r>
      <w:r w:rsidR="00B20B5E">
        <w:rPr>
          <w:i/>
          <w:iCs/>
          <w:sz w:val="20"/>
          <w:szCs w:val="20"/>
          <w:lang w:eastAsia="en-GB"/>
        </w:rPr>
        <w:t>“</w:t>
      </w:r>
      <w:r w:rsidR="00C809B5" w:rsidRPr="00B20B5E">
        <w:rPr>
          <w:i/>
          <w:iCs/>
          <w:sz w:val="20"/>
          <w:szCs w:val="20"/>
          <w:lang w:eastAsia="en-GB"/>
        </w:rPr>
        <w:t>UNITED STATES SECURITIES AND EXCHANGE COMMISSION ANNUAL REPORT PURSUANT TO SECTION 13 OR 15(d) OF THE SECURITIES EXCHANGE ACT OF 1934 For the fiscal year ended December 31, 202</w:t>
      </w:r>
      <w:r w:rsidR="00B20B5E">
        <w:rPr>
          <w:i/>
          <w:iCs/>
          <w:sz w:val="20"/>
          <w:szCs w:val="20"/>
          <w:lang w:eastAsia="en-GB"/>
        </w:rPr>
        <w:t xml:space="preserve">0” </w:t>
      </w:r>
      <w:r w:rsidR="00C809B5" w:rsidRPr="00B20B5E">
        <w:rPr>
          <w:rStyle w:val="FootnoteReference"/>
          <w:rFonts w:cstheme="minorHAnsi"/>
          <w:color w:val="001D35"/>
          <w:sz w:val="20"/>
          <w:szCs w:val="20"/>
          <w:shd w:val="clear" w:color="auto" w:fill="FFFFFF"/>
        </w:rPr>
        <w:footnoteReference w:id="1"/>
      </w:r>
      <w:r w:rsidRPr="00B20B5E">
        <w:rPr>
          <w:rStyle w:val="uv3um"/>
          <w:rFonts w:cstheme="minorHAnsi"/>
          <w:color w:val="001D35"/>
          <w:sz w:val="20"/>
          <w:szCs w:val="20"/>
          <w:shd w:val="clear" w:color="auto" w:fill="FFFFFF"/>
        </w:rPr>
        <w:br/>
      </w:r>
      <w:r w:rsidR="007664C2">
        <w:rPr>
          <w:noProof/>
        </w:rPr>
        <w:drawing>
          <wp:inline distT="0" distB="0" distL="0" distR="0" wp14:anchorId="5EEFBF2D" wp14:editId="7DF7DCAA">
            <wp:extent cx="5723741" cy="2556000"/>
            <wp:effectExtent l="0" t="0" r="0" b="0"/>
            <wp:docPr id="420620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20436" name="Picture 1" descr="A screenshot of a computer&#10;&#10;AI-generated content may be incorrect."/>
                    <pic:cNvPicPr/>
                  </pic:nvPicPr>
                  <pic:blipFill rotWithShape="1">
                    <a:blip r:embed="rId10"/>
                    <a:srcRect l="370" t="8100" r="-886" b="3305"/>
                    <a:stretch/>
                  </pic:blipFill>
                  <pic:spPr bwMode="auto">
                    <a:xfrm>
                      <a:off x="0" y="0"/>
                      <a:ext cx="5778959" cy="2580658"/>
                    </a:xfrm>
                    <a:prstGeom prst="rect">
                      <a:avLst/>
                    </a:prstGeom>
                    <a:ln>
                      <a:noFill/>
                    </a:ln>
                    <a:extLst>
                      <a:ext uri="{53640926-AAD7-44D8-BBD7-CCE9431645EC}">
                        <a14:shadowObscured xmlns:a14="http://schemas.microsoft.com/office/drawing/2010/main"/>
                      </a:ext>
                    </a:extLst>
                  </pic:spPr>
                </pic:pic>
              </a:graphicData>
            </a:graphic>
          </wp:inline>
        </w:drawing>
      </w:r>
    </w:p>
    <w:p w14:paraId="1A1AD7E8" w14:textId="2787C7CF" w:rsidR="00FB2D32" w:rsidRDefault="0094686B" w:rsidP="003A4EB0">
      <w:pPr>
        <w:rPr>
          <w:rFonts w:cstheme="minorHAnsi"/>
          <w:color w:val="001D35"/>
          <w:shd w:val="clear" w:color="auto" w:fill="FFFFFF"/>
        </w:rPr>
      </w:pPr>
      <w:r w:rsidRPr="00944EA2">
        <w:rPr>
          <w:rStyle w:val="uv3um"/>
          <w:rFonts w:cstheme="minorHAnsi"/>
          <w:color w:val="001D35"/>
          <w:u w:val="single"/>
          <w:shd w:val="clear" w:color="auto" w:fill="FFFFFF"/>
        </w:rPr>
        <w:t xml:space="preserve">Second </w:t>
      </w:r>
      <w:r>
        <w:rPr>
          <w:rStyle w:val="uv3um"/>
          <w:rFonts w:cstheme="minorHAnsi"/>
          <w:color w:val="001D35"/>
          <w:shd w:val="clear" w:color="auto" w:fill="FFFFFF"/>
        </w:rPr>
        <w:t xml:space="preserve">Biodistribution expectation was that product remained in the arm. That was not the case </w:t>
      </w:r>
      <w:r w:rsidR="00BC57C6">
        <w:rPr>
          <w:rStyle w:val="uv3um"/>
          <w:rFonts w:cstheme="minorHAnsi"/>
          <w:color w:val="001D35"/>
          <w:shd w:val="clear" w:color="auto" w:fill="FFFFFF"/>
        </w:rPr>
        <w:t>- see</w:t>
      </w:r>
      <w:r>
        <w:rPr>
          <w:rStyle w:val="uv3um"/>
          <w:rFonts w:cstheme="minorHAnsi"/>
          <w:color w:val="001D35"/>
          <w:shd w:val="clear" w:color="auto" w:fill="FFFFFF"/>
        </w:rPr>
        <w:br/>
      </w:r>
      <w:r w:rsidRPr="00944EA2">
        <w:rPr>
          <w:rStyle w:val="uv3um"/>
          <w:rFonts w:cstheme="minorHAnsi"/>
          <w:i/>
          <w:iCs/>
          <w:color w:val="001D35"/>
          <w:sz w:val="20"/>
          <w:szCs w:val="20"/>
          <w:shd w:val="clear" w:color="auto" w:fill="FFFFFF"/>
        </w:rPr>
        <w:t>Nonclinical Evaluation Report BNT162b2 [mRNA] COVID-19 vaccine (COMIRNATYTM)  Submission No: PM-2020-05461-1-2 Sponsor: Pfizer Australia Pty Ltd January 2021</w:t>
      </w:r>
      <w:r>
        <w:rPr>
          <w:rStyle w:val="uv3um"/>
          <w:rFonts w:cstheme="minorHAnsi"/>
          <w:i/>
          <w:iCs/>
          <w:color w:val="001D35"/>
          <w:sz w:val="20"/>
          <w:szCs w:val="20"/>
          <w:shd w:val="clear" w:color="auto" w:fill="FFFFFF"/>
        </w:rPr>
        <w:t xml:space="preserve"> </w:t>
      </w:r>
      <w:r>
        <w:rPr>
          <w:rStyle w:val="uv3um"/>
          <w:rFonts w:cstheme="minorHAnsi"/>
          <w:i/>
          <w:iCs/>
          <w:color w:val="001D35"/>
          <w:sz w:val="20"/>
          <w:szCs w:val="20"/>
          <w:shd w:val="clear" w:color="auto" w:fill="FFFFFF"/>
        </w:rPr>
        <w:br/>
      </w:r>
      <w:r w:rsidRPr="00944EA2">
        <w:rPr>
          <w:rStyle w:val="uv3um"/>
          <w:rFonts w:cstheme="minorHAnsi"/>
          <w:i/>
          <w:iCs/>
          <w:color w:val="001D35"/>
          <w:sz w:val="20"/>
          <w:szCs w:val="20"/>
          <w:shd w:val="clear" w:color="auto" w:fill="FFFFFF"/>
        </w:rPr>
        <w:t>Table 4-2. Mean concentration of radioactivity (sexes combined) in tissue and blood following a single IM dose of 50 µg mRNA/rat</w:t>
      </w:r>
      <w:r>
        <w:rPr>
          <w:rStyle w:val="uv3um"/>
          <w:rFonts w:cstheme="minorHAnsi"/>
          <w:i/>
          <w:iCs/>
          <w:color w:val="001D35"/>
          <w:sz w:val="20"/>
          <w:szCs w:val="20"/>
          <w:shd w:val="clear" w:color="auto" w:fill="FFFFFF"/>
        </w:rPr>
        <w:t xml:space="preserve"> p45</w:t>
      </w:r>
      <w:r w:rsidRPr="00944EA2">
        <w:rPr>
          <w:rStyle w:val="uv3um"/>
          <w:rFonts w:cstheme="minorHAnsi"/>
          <w:color w:val="001D35"/>
          <w:shd w:val="clear" w:color="auto" w:fill="FFFFFF"/>
        </w:rPr>
        <w:t xml:space="preserve"> </w:t>
      </w:r>
      <w:r w:rsidRPr="00944EA2">
        <w:rPr>
          <w:rStyle w:val="FootnoteReference"/>
          <w:rFonts w:cstheme="minorHAnsi"/>
          <w:color w:val="001D35"/>
          <w:highlight w:val="yellow"/>
          <w:shd w:val="clear" w:color="auto" w:fill="FFFFFF"/>
        </w:rPr>
        <w:footnoteReference w:id="2"/>
      </w:r>
      <w:r w:rsidR="00BC57C6">
        <w:rPr>
          <w:rStyle w:val="uv3um"/>
          <w:rFonts w:cstheme="minorHAnsi"/>
          <w:color w:val="001D35"/>
          <w:shd w:val="clear" w:color="auto" w:fill="FFFFFF"/>
        </w:rPr>
        <w:t>. This is examined later,</w:t>
      </w:r>
      <w:r>
        <w:rPr>
          <w:rStyle w:val="uv3um"/>
          <w:rFonts w:cstheme="minorHAnsi"/>
          <w:color w:val="001D35"/>
          <w:shd w:val="clear" w:color="auto" w:fill="FFFFFF"/>
        </w:rPr>
        <w:br/>
      </w:r>
      <w:r w:rsidR="00BC57C6">
        <w:rPr>
          <w:rStyle w:val="uv3um"/>
          <w:rFonts w:cstheme="minorHAnsi"/>
          <w:color w:val="001D35"/>
          <w:u w:val="single"/>
          <w:shd w:val="clear" w:color="auto" w:fill="FFFFFF"/>
        </w:rPr>
        <w:br/>
      </w:r>
      <w:r w:rsidR="009B2021" w:rsidRPr="00944EA2">
        <w:rPr>
          <w:rStyle w:val="uv3um"/>
          <w:rFonts w:cstheme="minorHAnsi"/>
          <w:color w:val="001D35"/>
          <w:u w:val="single"/>
          <w:shd w:val="clear" w:color="auto" w:fill="FFFFFF"/>
        </w:rPr>
        <w:t>Third</w:t>
      </w:r>
      <w:r w:rsidR="00944EA2" w:rsidRPr="00944EA2">
        <w:rPr>
          <w:rStyle w:val="uv3um"/>
          <w:rFonts w:cstheme="minorHAnsi"/>
          <w:color w:val="001D35"/>
          <w:shd w:val="clear" w:color="auto" w:fill="FFFFFF"/>
        </w:rPr>
        <w:t xml:space="preserve"> </w:t>
      </w:r>
      <w:r w:rsidR="00A85686">
        <w:rPr>
          <w:rStyle w:val="uv3um"/>
          <w:rFonts w:cstheme="minorHAnsi"/>
          <w:color w:val="001D35"/>
          <w:shd w:val="clear" w:color="auto" w:fill="FFFFFF"/>
        </w:rPr>
        <w:t>an</w:t>
      </w:r>
      <w:r w:rsidR="00944EA2">
        <w:rPr>
          <w:rStyle w:val="uv3um"/>
          <w:rFonts w:cstheme="minorHAnsi"/>
          <w:color w:val="001D35"/>
          <w:shd w:val="clear" w:color="auto" w:fill="FFFFFF"/>
        </w:rPr>
        <w:t xml:space="preserve"> important signal of a</w:t>
      </w:r>
      <w:r w:rsidR="00C809B5">
        <w:rPr>
          <w:rStyle w:val="uv3um"/>
          <w:rFonts w:cstheme="minorHAnsi"/>
          <w:color w:val="001D35"/>
          <w:shd w:val="clear" w:color="auto" w:fill="FFFFFF"/>
        </w:rPr>
        <w:t xml:space="preserve"> significant</w:t>
      </w:r>
      <w:r w:rsidR="00944EA2">
        <w:rPr>
          <w:rStyle w:val="uv3um"/>
          <w:rFonts w:cstheme="minorHAnsi"/>
          <w:color w:val="001D35"/>
          <w:shd w:val="clear" w:color="auto" w:fill="FFFFFF"/>
        </w:rPr>
        <w:t xml:space="preserve"> AESI </w:t>
      </w:r>
      <w:r w:rsidR="00C809B5">
        <w:rPr>
          <w:rStyle w:val="uv3um"/>
          <w:rFonts w:cstheme="minorHAnsi"/>
          <w:color w:val="001D35"/>
          <w:shd w:val="clear" w:color="auto" w:fill="FFFFFF"/>
        </w:rPr>
        <w:t xml:space="preserve">– lymphadenopathy -  </w:t>
      </w:r>
      <w:r w:rsidR="00944EA2">
        <w:rPr>
          <w:rStyle w:val="uv3um"/>
          <w:rFonts w:cstheme="minorHAnsi"/>
          <w:color w:val="001D35"/>
          <w:shd w:val="clear" w:color="auto" w:fill="FFFFFF"/>
        </w:rPr>
        <w:t xml:space="preserve">was missed </w:t>
      </w:r>
      <w:r w:rsidR="007664C2">
        <w:rPr>
          <w:rStyle w:val="uv3um"/>
          <w:rFonts w:cstheme="minorHAnsi"/>
          <w:color w:val="001D35"/>
          <w:shd w:val="clear" w:color="auto" w:fill="FFFFFF"/>
        </w:rPr>
        <w:t>because</w:t>
      </w:r>
      <w:r w:rsidR="009B2021">
        <w:rPr>
          <w:rStyle w:val="uv3um"/>
          <w:rFonts w:cstheme="minorHAnsi"/>
          <w:color w:val="001D35"/>
          <w:shd w:val="clear" w:color="auto" w:fill="FFFFFF"/>
        </w:rPr>
        <w:t xml:space="preserve"> </w:t>
      </w:r>
      <w:r w:rsidR="001D2168">
        <w:rPr>
          <w:rStyle w:val="uv3um"/>
          <w:rFonts w:cstheme="minorHAnsi"/>
          <w:color w:val="001D35"/>
          <w:shd w:val="clear" w:color="auto" w:fill="FFFFFF"/>
        </w:rPr>
        <w:t xml:space="preserve"> clear and unarguable </w:t>
      </w:r>
      <w:r w:rsidR="00944EA2">
        <w:rPr>
          <w:rStyle w:val="uv3um"/>
          <w:rFonts w:cstheme="minorHAnsi"/>
          <w:color w:val="001D35"/>
          <w:shd w:val="clear" w:color="auto" w:fill="FFFFFF"/>
        </w:rPr>
        <w:t xml:space="preserve">evidence of </w:t>
      </w:r>
      <w:r w:rsidR="001D2168">
        <w:rPr>
          <w:rStyle w:val="uv3um"/>
          <w:rFonts w:cstheme="minorHAnsi"/>
          <w:color w:val="001D35"/>
          <w:shd w:val="clear" w:color="auto" w:fill="FFFFFF"/>
        </w:rPr>
        <w:t xml:space="preserve">excessive </w:t>
      </w:r>
      <w:r w:rsidR="00944EA2">
        <w:rPr>
          <w:rStyle w:val="uv3um"/>
          <w:rFonts w:cstheme="minorHAnsi"/>
          <w:color w:val="001D35"/>
          <w:shd w:val="clear" w:color="auto" w:fill="FFFFFF"/>
        </w:rPr>
        <w:t xml:space="preserve">Process 2 </w:t>
      </w:r>
      <w:r w:rsidR="009B2021">
        <w:rPr>
          <w:rStyle w:val="uv3um"/>
          <w:rFonts w:cstheme="minorHAnsi"/>
          <w:color w:val="001D35"/>
          <w:shd w:val="clear" w:color="auto" w:fill="FFFFFF"/>
        </w:rPr>
        <w:t xml:space="preserve"> product</w:t>
      </w:r>
      <w:r w:rsidR="00C809B5">
        <w:rPr>
          <w:rStyle w:val="uv3um"/>
          <w:rFonts w:cstheme="minorHAnsi"/>
          <w:color w:val="001D35"/>
          <w:shd w:val="clear" w:color="auto" w:fill="FFFFFF"/>
        </w:rPr>
        <w:t xml:space="preserve"> potency</w:t>
      </w:r>
      <w:r w:rsidR="009B2021">
        <w:rPr>
          <w:rStyle w:val="uv3um"/>
          <w:rFonts w:cstheme="minorHAnsi"/>
          <w:color w:val="001D35"/>
          <w:shd w:val="clear" w:color="auto" w:fill="FFFFFF"/>
        </w:rPr>
        <w:t xml:space="preserve"> was </w:t>
      </w:r>
      <w:r w:rsidR="00D63AD3">
        <w:rPr>
          <w:rStyle w:val="uv3um"/>
          <w:rFonts w:cstheme="minorHAnsi"/>
          <w:color w:val="001D35"/>
          <w:shd w:val="clear" w:color="auto" w:fill="FFFFFF"/>
        </w:rPr>
        <w:t>recorded in the</w:t>
      </w:r>
      <w:r w:rsidR="00944EA2">
        <w:rPr>
          <w:rStyle w:val="uv3um"/>
          <w:rFonts w:cstheme="minorHAnsi"/>
          <w:color w:val="001D35"/>
          <w:shd w:val="clear" w:color="auto" w:fill="FFFFFF"/>
        </w:rPr>
        <w:t xml:space="preserve"> Pfizer booster trial</w:t>
      </w:r>
      <w:r w:rsidR="00C809B5">
        <w:rPr>
          <w:rStyle w:val="uv3um"/>
          <w:rFonts w:cstheme="minorHAnsi"/>
          <w:color w:val="001D35"/>
          <w:shd w:val="clear" w:color="auto" w:fill="FFFFFF"/>
        </w:rPr>
        <w:t xml:space="preserve"> disguised as</w:t>
      </w:r>
      <w:r w:rsidR="00D63AD3">
        <w:rPr>
          <w:rStyle w:val="uv3um"/>
          <w:rFonts w:cstheme="minorHAnsi"/>
          <w:color w:val="001D35"/>
          <w:shd w:val="clear" w:color="auto" w:fill="FFFFFF"/>
        </w:rPr>
        <w:t xml:space="preserve"> third dose</w:t>
      </w:r>
      <w:r w:rsidR="00C809B5">
        <w:rPr>
          <w:rStyle w:val="uv3um"/>
          <w:rFonts w:cstheme="minorHAnsi"/>
          <w:color w:val="001D35"/>
          <w:shd w:val="clear" w:color="auto" w:fill="FFFFFF"/>
        </w:rPr>
        <w:t xml:space="preserve"> booster reactogenicity</w:t>
      </w:r>
      <w:r w:rsidR="00BC57C6">
        <w:rPr>
          <w:rStyle w:val="uv3um"/>
          <w:rFonts w:cstheme="minorHAnsi"/>
          <w:color w:val="001D35"/>
          <w:shd w:val="clear" w:color="auto" w:fill="FFFFFF"/>
        </w:rPr>
        <w:t xml:space="preserve"> instead of </w:t>
      </w:r>
      <w:r w:rsidR="00914BC1">
        <w:rPr>
          <w:rStyle w:val="uv3um"/>
          <w:rFonts w:cstheme="minorHAnsi"/>
          <w:color w:val="001D35"/>
          <w:shd w:val="clear" w:color="auto" w:fill="FFFFFF"/>
        </w:rPr>
        <w:t>product reactogenicity</w:t>
      </w:r>
      <w:r w:rsidR="00A85686">
        <w:rPr>
          <w:rStyle w:val="uv3um"/>
          <w:rFonts w:cstheme="minorHAnsi"/>
          <w:color w:val="001D35"/>
          <w:shd w:val="clear" w:color="auto" w:fill="FFFFFF"/>
        </w:rPr>
        <w:t>. Th</w:t>
      </w:r>
      <w:r w:rsidR="002E6C61">
        <w:rPr>
          <w:rStyle w:val="uv3um"/>
          <w:rFonts w:cstheme="minorHAnsi"/>
          <w:color w:val="001D35"/>
          <w:shd w:val="clear" w:color="auto" w:fill="FFFFFF"/>
        </w:rPr>
        <w:t>e</w:t>
      </w:r>
      <w:r w:rsidR="00620FBF">
        <w:rPr>
          <w:rStyle w:val="uv3um"/>
          <w:rFonts w:cstheme="minorHAnsi"/>
          <w:color w:val="001D35"/>
          <w:shd w:val="clear" w:color="auto" w:fill="FFFFFF"/>
        </w:rPr>
        <w:t xml:space="preserve"> booster</w:t>
      </w:r>
      <w:r w:rsidR="00A85686">
        <w:rPr>
          <w:rStyle w:val="uv3um"/>
          <w:rFonts w:cstheme="minorHAnsi"/>
          <w:color w:val="001D35"/>
          <w:shd w:val="clear" w:color="auto" w:fill="FFFFFF"/>
        </w:rPr>
        <w:t xml:space="preserve"> report also refers to </w:t>
      </w:r>
      <w:r w:rsidR="00620FBF">
        <w:rPr>
          <w:rStyle w:val="uv3um"/>
          <w:rFonts w:cstheme="minorHAnsi"/>
          <w:color w:val="001D35"/>
          <w:shd w:val="clear" w:color="auto" w:fill="FFFFFF"/>
        </w:rPr>
        <w:t>but</w:t>
      </w:r>
      <w:r w:rsidR="009F4186">
        <w:rPr>
          <w:rStyle w:val="uv3um"/>
          <w:rFonts w:cstheme="minorHAnsi"/>
          <w:color w:val="001D35"/>
          <w:shd w:val="clear" w:color="auto" w:fill="FFFFFF"/>
        </w:rPr>
        <w:t xml:space="preserve"> dismisses a cardiac event now known to be closely linked to process 2 Pfizer.</w:t>
      </w:r>
      <w:r w:rsidR="001B2551">
        <w:rPr>
          <w:rStyle w:val="uv3um"/>
          <w:rFonts w:cstheme="minorHAnsi"/>
          <w:color w:val="001D35"/>
          <w:shd w:val="clear" w:color="auto" w:fill="FFFFFF"/>
        </w:rPr>
        <w:t xml:space="preserve"> </w:t>
      </w:r>
      <w:r w:rsidR="00C809B5">
        <w:rPr>
          <w:rStyle w:val="uv3um"/>
          <w:rFonts w:cstheme="minorHAnsi"/>
          <w:color w:val="001D35"/>
          <w:shd w:val="clear" w:color="auto" w:fill="FFFFFF"/>
        </w:rPr>
        <w:t>The two signals in th</w:t>
      </w:r>
      <w:r w:rsidR="00971649">
        <w:rPr>
          <w:rStyle w:val="uv3um"/>
          <w:rFonts w:cstheme="minorHAnsi"/>
          <w:color w:val="001D35"/>
          <w:shd w:val="clear" w:color="auto" w:fill="FFFFFF"/>
        </w:rPr>
        <w:t>e Pfizer booster</w:t>
      </w:r>
      <w:r w:rsidR="00C809B5">
        <w:rPr>
          <w:rStyle w:val="uv3um"/>
          <w:rFonts w:cstheme="minorHAnsi"/>
          <w:color w:val="001D35"/>
          <w:shd w:val="clear" w:color="auto" w:fill="FFFFFF"/>
        </w:rPr>
        <w:t xml:space="preserve"> report – cardiac and blood/lymphatic disorder – </w:t>
      </w:r>
      <w:r w:rsidR="00612573">
        <w:rPr>
          <w:rStyle w:val="uv3um"/>
          <w:rFonts w:cstheme="minorHAnsi"/>
          <w:color w:val="001D35"/>
          <w:shd w:val="clear" w:color="auto" w:fill="FFFFFF"/>
        </w:rPr>
        <w:t xml:space="preserve">examined later - </w:t>
      </w:r>
      <w:r w:rsidR="00C809B5">
        <w:rPr>
          <w:rStyle w:val="uv3um"/>
          <w:rFonts w:cstheme="minorHAnsi"/>
          <w:color w:val="001D35"/>
          <w:shd w:val="clear" w:color="auto" w:fill="FFFFFF"/>
        </w:rPr>
        <w:t xml:space="preserve">have come to typify the lack of mRNA product /platform safety. </w:t>
      </w:r>
      <w:r w:rsidR="009F4186">
        <w:rPr>
          <w:rStyle w:val="uv3um"/>
          <w:rFonts w:cstheme="minorHAnsi"/>
          <w:color w:val="001D35"/>
          <w:shd w:val="clear" w:color="auto" w:fill="FFFFFF"/>
        </w:rPr>
        <w:t>Neither safety nor efficacy in the Pfizer authorised product were properly examined</w:t>
      </w:r>
      <w:r w:rsidR="00D63AD3">
        <w:rPr>
          <w:rStyle w:val="uv3um"/>
          <w:rFonts w:cstheme="minorHAnsi"/>
          <w:color w:val="001D35"/>
          <w:shd w:val="clear" w:color="auto" w:fill="FFFFFF"/>
        </w:rPr>
        <w:t>; P</w:t>
      </w:r>
      <w:r w:rsidR="009F4186">
        <w:rPr>
          <w:rStyle w:val="uv3um"/>
          <w:rFonts w:cstheme="minorHAnsi"/>
          <w:color w:val="001D35"/>
          <w:shd w:val="clear" w:color="auto" w:fill="FFFFFF"/>
        </w:rPr>
        <w:t xml:space="preserve">rocess 2 was only </w:t>
      </w:r>
      <w:r w:rsidR="00D63AD3">
        <w:rPr>
          <w:rStyle w:val="uv3um"/>
          <w:rFonts w:cstheme="minorHAnsi"/>
          <w:color w:val="001D35"/>
          <w:shd w:val="clear" w:color="auto" w:fill="FFFFFF"/>
        </w:rPr>
        <w:t>tested</w:t>
      </w:r>
      <w:r w:rsidR="009F4186">
        <w:rPr>
          <w:rStyle w:val="uv3um"/>
          <w:rFonts w:cstheme="minorHAnsi"/>
          <w:color w:val="001D35"/>
          <w:shd w:val="clear" w:color="auto" w:fill="FFFFFF"/>
        </w:rPr>
        <w:t xml:space="preserve"> in 306</w:t>
      </w:r>
      <w:r w:rsidR="00D63AD3">
        <w:rPr>
          <w:rStyle w:val="uv3um"/>
          <w:rFonts w:cstheme="minorHAnsi"/>
          <w:color w:val="001D35"/>
          <w:shd w:val="clear" w:color="auto" w:fill="FFFFFF"/>
        </w:rPr>
        <w:t>,</w:t>
      </w:r>
      <w:r w:rsidR="009F4186">
        <w:rPr>
          <w:rStyle w:val="uv3um"/>
          <w:rFonts w:cstheme="minorHAnsi"/>
          <w:color w:val="001D35"/>
          <w:shd w:val="clear" w:color="auto" w:fill="FFFFFF"/>
        </w:rPr>
        <w:t xml:space="preserve"> not 43,800</w:t>
      </w:r>
      <w:r w:rsidR="00D63AD3">
        <w:rPr>
          <w:rStyle w:val="uv3um"/>
          <w:rFonts w:cstheme="minorHAnsi"/>
          <w:color w:val="001D35"/>
          <w:shd w:val="clear" w:color="auto" w:fill="FFFFFF"/>
        </w:rPr>
        <w:t>,</w:t>
      </w:r>
      <w:r w:rsidR="009F4186">
        <w:rPr>
          <w:rStyle w:val="uv3um"/>
          <w:rFonts w:cstheme="minorHAnsi"/>
          <w:color w:val="001D35"/>
          <w:shd w:val="clear" w:color="auto" w:fill="FFFFFF"/>
        </w:rPr>
        <w:t xml:space="preserve"> people.</w:t>
      </w:r>
      <w:r w:rsidR="00D63AD3">
        <w:rPr>
          <w:rStyle w:val="uv3um"/>
          <w:rFonts w:cstheme="minorHAnsi"/>
          <w:color w:val="001D35"/>
          <w:shd w:val="clear" w:color="auto" w:fill="FFFFFF"/>
        </w:rPr>
        <w:t xml:space="preserve"> There is a plausible mechanism of harm, </w:t>
      </w:r>
      <w:r w:rsidR="001B2551" w:rsidRPr="00914BC1">
        <w:rPr>
          <w:rStyle w:val="uv3um"/>
          <w:rFonts w:cstheme="minorHAnsi"/>
          <w:color w:val="001D35"/>
          <w:highlight w:val="yellow"/>
          <w:shd w:val="clear" w:color="auto" w:fill="FFFFFF"/>
        </w:rPr>
        <w:t>endotoxins</w:t>
      </w:r>
      <w:r w:rsidR="001B2551">
        <w:rPr>
          <w:rStyle w:val="uv3um"/>
          <w:rFonts w:cstheme="minorHAnsi"/>
          <w:color w:val="001D35"/>
          <w:shd w:val="clear" w:color="auto" w:fill="FFFFFF"/>
        </w:rPr>
        <w:t xml:space="preserve"> from manufacture Process 2. E</w:t>
      </w:r>
      <w:r w:rsidR="00D63AD3">
        <w:rPr>
          <w:rStyle w:val="uv3um"/>
          <w:rFonts w:cstheme="minorHAnsi"/>
          <w:color w:val="001D35"/>
          <w:shd w:val="clear" w:color="auto" w:fill="FFFFFF"/>
        </w:rPr>
        <w:t>vidence shows no enhanced immunological benefit from enhanced potency</w:t>
      </w:r>
      <w:r w:rsidR="00F03858">
        <w:rPr>
          <w:rStyle w:val="uv3um"/>
          <w:rFonts w:cstheme="minorHAnsi"/>
          <w:color w:val="001D35"/>
          <w:shd w:val="clear" w:color="auto" w:fill="FFFFFF"/>
        </w:rPr>
        <w:t xml:space="preserve"> which is a safety risk</w:t>
      </w:r>
      <w:r w:rsidR="00FB2D32">
        <w:rPr>
          <w:rStyle w:val="uv3um"/>
          <w:rFonts w:cstheme="minorHAnsi"/>
          <w:color w:val="001D35"/>
          <w:shd w:val="clear" w:color="auto" w:fill="FFFFFF"/>
        </w:rPr>
        <w:t>.</w:t>
      </w:r>
      <w:r w:rsidR="00F03858">
        <w:rPr>
          <w:rStyle w:val="uv3um"/>
          <w:rFonts w:cstheme="minorHAnsi"/>
          <w:color w:val="001D35"/>
          <w:shd w:val="clear" w:color="auto" w:fill="FFFFFF"/>
        </w:rPr>
        <w:br/>
      </w:r>
      <w:r w:rsidR="001B2551" w:rsidRPr="00F378F5">
        <w:rPr>
          <w:rFonts w:cstheme="minorHAnsi"/>
          <w:b/>
          <w:bCs/>
          <w:sz w:val="24"/>
          <w:szCs w:val="24"/>
        </w:rPr>
        <w:t>T</w:t>
      </w:r>
      <w:r w:rsidR="00875207" w:rsidRPr="00F378F5">
        <w:rPr>
          <w:rFonts w:cstheme="minorHAnsi"/>
          <w:b/>
          <w:bCs/>
          <w:sz w:val="24"/>
          <w:szCs w:val="24"/>
        </w:rPr>
        <w:t xml:space="preserve">he </w:t>
      </w:r>
      <w:r w:rsidR="003A4EB0" w:rsidRPr="00F378F5">
        <w:rPr>
          <w:rFonts w:cstheme="minorHAnsi"/>
          <w:b/>
          <w:bCs/>
          <w:sz w:val="24"/>
          <w:szCs w:val="24"/>
        </w:rPr>
        <w:t>Covid</w:t>
      </w:r>
      <w:r w:rsidR="004C7D1A" w:rsidRPr="00F378F5">
        <w:rPr>
          <w:rFonts w:cstheme="minorHAnsi"/>
          <w:b/>
          <w:bCs/>
          <w:sz w:val="24"/>
          <w:szCs w:val="24"/>
        </w:rPr>
        <w:t xml:space="preserve"> mRNA </w:t>
      </w:r>
      <w:r w:rsidR="003A4EB0" w:rsidRPr="00F378F5">
        <w:rPr>
          <w:rFonts w:cstheme="minorHAnsi"/>
          <w:b/>
          <w:bCs/>
          <w:sz w:val="24"/>
          <w:szCs w:val="24"/>
        </w:rPr>
        <w:t>programme must</w:t>
      </w:r>
      <w:r w:rsidR="004C7D1A" w:rsidRPr="00F378F5">
        <w:rPr>
          <w:rFonts w:cstheme="minorHAnsi"/>
          <w:b/>
          <w:bCs/>
          <w:sz w:val="24"/>
          <w:szCs w:val="24"/>
        </w:rPr>
        <w:t xml:space="preserve"> be paused to</w:t>
      </w:r>
      <w:r w:rsidR="00B013CA" w:rsidRPr="00F378F5">
        <w:rPr>
          <w:rFonts w:cstheme="minorHAnsi"/>
          <w:b/>
          <w:bCs/>
          <w:sz w:val="24"/>
          <w:szCs w:val="24"/>
        </w:rPr>
        <w:t xml:space="preserve"> re</w:t>
      </w:r>
      <w:r w:rsidR="00F378F5">
        <w:rPr>
          <w:rFonts w:cstheme="minorHAnsi"/>
          <w:b/>
          <w:bCs/>
          <w:sz w:val="24"/>
          <w:szCs w:val="24"/>
        </w:rPr>
        <w:t>-</w:t>
      </w:r>
      <w:r w:rsidR="000F3004" w:rsidRPr="00F378F5">
        <w:rPr>
          <w:rFonts w:cstheme="minorHAnsi"/>
          <w:b/>
          <w:bCs/>
          <w:sz w:val="24"/>
          <w:szCs w:val="24"/>
        </w:rPr>
        <w:t>examine and</w:t>
      </w:r>
      <w:r w:rsidR="004C7D1A" w:rsidRPr="00F378F5">
        <w:rPr>
          <w:rFonts w:cstheme="minorHAnsi"/>
          <w:b/>
          <w:bCs/>
          <w:sz w:val="24"/>
          <w:szCs w:val="24"/>
        </w:rPr>
        <w:t xml:space="preserve"> reconsider the</w:t>
      </w:r>
      <w:r w:rsidR="003A4EB0" w:rsidRPr="00F378F5">
        <w:rPr>
          <w:rFonts w:cstheme="minorHAnsi"/>
          <w:b/>
          <w:bCs/>
          <w:sz w:val="24"/>
          <w:szCs w:val="24"/>
        </w:rPr>
        <w:t xml:space="preserve"> evidence</w:t>
      </w:r>
      <w:r w:rsidR="004C7D1A" w:rsidRPr="00F378F5">
        <w:rPr>
          <w:rFonts w:cstheme="minorHAnsi"/>
          <w:b/>
          <w:bCs/>
          <w:sz w:val="24"/>
          <w:szCs w:val="24"/>
        </w:rPr>
        <w:t xml:space="preserve"> bas</w:t>
      </w:r>
      <w:r w:rsidR="003A4EB0" w:rsidRPr="00F378F5">
        <w:rPr>
          <w:rFonts w:cstheme="minorHAnsi"/>
          <w:b/>
          <w:bCs/>
          <w:sz w:val="24"/>
          <w:szCs w:val="24"/>
        </w:rPr>
        <w:t>e</w:t>
      </w:r>
      <w:r w:rsidR="004C7D1A" w:rsidRPr="00F378F5">
        <w:rPr>
          <w:rFonts w:cstheme="minorHAnsi"/>
          <w:b/>
          <w:bCs/>
          <w:sz w:val="24"/>
          <w:szCs w:val="24"/>
        </w:rPr>
        <w:t xml:space="preserve"> for </w:t>
      </w:r>
      <w:r w:rsidR="00F378F5">
        <w:rPr>
          <w:rFonts w:cstheme="minorHAnsi"/>
          <w:b/>
          <w:bCs/>
          <w:sz w:val="24"/>
          <w:szCs w:val="24"/>
        </w:rPr>
        <w:t xml:space="preserve">mRNA </w:t>
      </w:r>
      <w:r w:rsidR="00A96109">
        <w:rPr>
          <w:rFonts w:cstheme="minorHAnsi"/>
          <w:b/>
          <w:bCs/>
          <w:sz w:val="24"/>
          <w:szCs w:val="24"/>
        </w:rPr>
        <w:t xml:space="preserve">platform </w:t>
      </w:r>
      <w:r w:rsidR="00FB2D32" w:rsidRPr="00F378F5">
        <w:rPr>
          <w:rFonts w:cstheme="minorHAnsi"/>
          <w:b/>
          <w:bCs/>
          <w:sz w:val="24"/>
          <w:szCs w:val="24"/>
        </w:rPr>
        <w:t>s</w:t>
      </w:r>
      <w:r w:rsidR="000F3004" w:rsidRPr="00F378F5">
        <w:rPr>
          <w:rFonts w:cstheme="minorHAnsi"/>
          <w:b/>
          <w:bCs/>
          <w:sz w:val="24"/>
          <w:szCs w:val="24"/>
        </w:rPr>
        <w:t xml:space="preserve">afety and efficacy </w:t>
      </w:r>
      <w:r w:rsidR="00A96109">
        <w:rPr>
          <w:rFonts w:cstheme="minorHAnsi"/>
          <w:b/>
          <w:bCs/>
          <w:sz w:val="24"/>
          <w:szCs w:val="24"/>
        </w:rPr>
        <w:t xml:space="preserve">to </w:t>
      </w:r>
      <w:r w:rsidR="002B2160">
        <w:rPr>
          <w:rFonts w:cstheme="minorHAnsi"/>
          <w:b/>
          <w:bCs/>
          <w:sz w:val="24"/>
          <w:szCs w:val="24"/>
        </w:rPr>
        <w:t>evaluate a</w:t>
      </w:r>
      <w:r w:rsidR="00C809B5" w:rsidRPr="00F378F5">
        <w:rPr>
          <w:rFonts w:cstheme="minorHAnsi"/>
          <w:b/>
          <w:bCs/>
          <w:sz w:val="24"/>
          <w:szCs w:val="24"/>
        </w:rPr>
        <w:t xml:space="preserve"> true risk /benefit </w:t>
      </w:r>
      <w:r w:rsidR="007D7250">
        <w:rPr>
          <w:rFonts w:cstheme="minorHAnsi"/>
          <w:b/>
          <w:bCs/>
          <w:sz w:val="24"/>
          <w:szCs w:val="24"/>
        </w:rPr>
        <w:t>profile</w:t>
      </w:r>
      <w:r w:rsidR="00C809B5" w:rsidRPr="00F378F5">
        <w:rPr>
          <w:rFonts w:cstheme="minorHAnsi"/>
          <w:b/>
          <w:bCs/>
          <w:sz w:val="24"/>
          <w:szCs w:val="24"/>
        </w:rPr>
        <w:t xml:space="preserve"> no</w:t>
      </w:r>
      <w:r w:rsidR="00612573" w:rsidRPr="00F378F5">
        <w:rPr>
          <w:rFonts w:cstheme="minorHAnsi"/>
          <w:b/>
          <w:bCs/>
          <w:sz w:val="24"/>
          <w:szCs w:val="24"/>
        </w:rPr>
        <w:t>w</w:t>
      </w:r>
      <w:r w:rsidR="00C809B5" w:rsidRPr="00F378F5">
        <w:rPr>
          <w:rFonts w:cstheme="minorHAnsi"/>
          <w:b/>
          <w:bCs/>
          <w:sz w:val="24"/>
          <w:szCs w:val="24"/>
        </w:rPr>
        <w:t xml:space="preserve"> pandemic</w:t>
      </w:r>
      <w:r w:rsidR="00B013CA" w:rsidRPr="00F378F5">
        <w:rPr>
          <w:rFonts w:cstheme="minorHAnsi"/>
          <w:b/>
          <w:bCs/>
          <w:sz w:val="24"/>
          <w:szCs w:val="24"/>
        </w:rPr>
        <w:t xml:space="preserve"> </w:t>
      </w:r>
      <w:r w:rsidR="00914BC1">
        <w:rPr>
          <w:rFonts w:cstheme="minorHAnsi"/>
          <w:b/>
          <w:bCs/>
          <w:sz w:val="24"/>
          <w:szCs w:val="24"/>
        </w:rPr>
        <w:t>c</w:t>
      </w:r>
      <w:r w:rsidR="00B013CA" w:rsidRPr="00F378F5">
        <w:rPr>
          <w:rFonts w:cstheme="minorHAnsi"/>
          <w:b/>
          <w:bCs/>
          <w:sz w:val="24"/>
          <w:szCs w:val="24"/>
        </w:rPr>
        <w:t>onditions have passed</w:t>
      </w:r>
      <w:r w:rsidR="009F4186" w:rsidRPr="00F378F5">
        <w:rPr>
          <w:rFonts w:cstheme="minorHAnsi"/>
          <w:b/>
          <w:bCs/>
          <w:sz w:val="24"/>
          <w:szCs w:val="24"/>
        </w:rPr>
        <w:t>.</w:t>
      </w:r>
      <w:r w:rsidR="009F4186" w:rsidRPr="00F378F5">
        <w:rPr>
          <w:rFonts w:cstheme="minorHAnsi"/>
          <w:color w:val="001D35"/>
          <w:shd w:val="clear" w:color="auto" w:fill="FFFFFF"/>
        </w:rPr>
        <w:br/>
      </w:r>
    </w:p>
    <w:p w14:paraId="2727CC50" w14:textId="120A68C9" w:rsidR="0094686B" w:rsidRPr="0094686B" w:rsidRDefault="0094686B" w:rsidP="003A4EB0">
      <w:pPr>
        <w:rPr>
          <w:rFonts w:cstheme="minorHAnsi"/>
          <w:b/>
          <w:bCs/>
          <w:color w:val="001D35"/>
          <w:shd w:val="clear" w:color="auto" w:fill="FFFFFF"/>
        </w:rPr>
      </w:pPr>
      <w:r w:rsidRPr="0094686B">
        <w:rPr>
          <w:rFonts w:cstheme="minorHAnsi"/>
          <w:b/>
          <w:bCs/>
          <w:color w:val="001D35"/>
          <w:shd w:val="clear" w:color="auto" w:fill="FFFFFF"/>
        </w:rPr>
        <w:lastRenderedPageBreak/>
        <w:t>FIRST MIS</w:t>
      </w:r>
      <w:r w:rsidR="009035BA">
        <w:rPr>
          <w:rFonts w:cstheme="minorHAnsi"/>
          <w:b/>
          <w:bCs/>
          <w:color w:val="001D35"/>
          <w:shd w:val="clear" w:color="auto" w:fill="FFFFFF"/>
        </w:rPr>
        <w:t>CALCULATION</w:t>
      </w:r>
      <w:r>
        <w:rPr>
          <w:rFonts w:cstheme="minorHAnsi"/>
          <w:b/>
          <w:bCs/>
          <w:color w:val="001D35"/>
          <w:shd w:val="clear" w:color="auto" w:fill="FFFFFF"/>
        </w:rPr>
        <w:t xml:space="preserve"> </w:t>
      </w:r>
      <w:r w:rsidR="00D5752E">
        <w:rPr>
          <w:rFonts w:cstheme="minorHAnsi"/>
          <w:b/>
          <w:bCs/>
          <w:color w:val="001D35"/>
          <w:shd w:val="clear" w:color="auto" w:fill="FFFFFF"/>
        </w:rPr>
        <w:t xml:space="preserve">– PROCESS 2 POTENCY </w:t>
      </w:r>
      <w:r w:rsidR="00C04243">
        <w:rPr>
          <w:rFonts w:cstheme="minorHAnsi"/>
          <w:b/>
          <w:bCs/>
          <w:color w:val="001D35"/>
          <w:shd w:val="clear" w:color="auto" w:fill="FFFFFF"/>
        </w:rPr>
        <w:t xml:space="preserve">GREATLY </w:t>
      </w:r>
      <w:r w:rsidR="00691681">
        <w:rPr>
          <w:rFonts w:cstheme="minorHAnsi"/>
          <w:b/>
          <w:bCs/>
          <w:color w:val="001D35"/>
          <w:shd w:val="clear" w:color="auto" w:fill="FFFFFF"/>
        </w:rPr>
        <w:t>EXCEEDED PROCESS 1 POTENCY</w:t>
      </w:r>
      <w:r w:rsidR="009035BA">
        <w:rPr>
          <w:rFonts w:cstheme="minorHAnsi"/>
          <w:b/>
          <w:bCs/>
          <w:color w:val="001D35"/>
          <w:shd w:val="clear" w:color="auto" w:fill="FFFFFF"/>
        </w:rPr>
        <w:t xml:space="preserve"> BUT THIS WAS NOT </w:t>
      </w:r>
      <w:r w:rsidR="00F332FE">
        <w:rPr>
          <w:rFonts w:cstheme="minorHAnsi"/>
          <w:b/>
          <w:bCs/>
          <w:color w:val="001D35"/>
          <w:shd w:val="clear" w:color="auto" w:fill="FFFFFF"/>
        </w:rPr>
        <w:t>RECOGNISED</w:t>
      </w:r>
      <w:r w:rsidR="00C04243">
        <w:rPr>
          <w:rFonts w:cstheme="minorHAnsi"/>
          <w:b/>
          <w:bCs/>
          <w:color w:val="001D35"/>
          <w:shd w:val="clear" w:color="auto" w:fill="FFFFFF"/>
        </w:rPr>
        <w:t xml:space="preserve"> </w:t>
      </w:r>
      <w:r w:rsidR="00691681">
        <w:rPr>
          <w:rFonts w:cstheme="minorHAnsi"/>
          <w:b/>
          <w:bCs/>
          <w:color w:val="001D35"/>
          <w:shd w:val="clear" w:color="auto" w:fill="FFFFFF"/>
        </w:rPr>
        <w:t xml:space="preserve"> </w:t>
      </w:r>
    </w:p>
    <w:p w14:paraId="541A3E39" w14:textId="64280FBC" w:rsidR="00623B07" w:rsidRPr="00623B07" w:rsidRDefault="009035BA" w:rsidP="003A4EB0">
      <w:pPr>
        <w:rPr>
          <w:b/>
          <w:bCs/>
        </w:rPr>
      </w:pPr>
      <w:r>
        <w:rPr>
          <w:b/>
          <w:bCs/>
        </w:rPr>
        <w:t xml:space="preserve">Relevant </w:t>
      </w:r>
      <w:r w:rsidR="00AB1B72">
        <w:rPr>
          <w:b/>
          <w:bCs/>
        </w:rPr>
        <w:t xml:space="preserve">Regulatory </w:t>
      </w:r>
      <w:r>
        <w:rPr>
          <w:b/>
          <w:bCs/>
        </w:rPr>
        <w:t>History</w:t>
      </w:r>
    </w:p>
    <w:p w14:paraId="0B0C4BBE" w14:textId="77777777" w:rsidR="00A74B5C" w:rsidRPr="00A74B5C" w:rsidRDefault="003A4EB0" w:rsidP="003A4EB0">
      <w:pPr>
        <w:rPr>
          <w:b/>
          <w:bCs/>
          <w:u w:val="single"/>
        </w:rPr>
      </w:pPr>
      <w:r w:rsidRPr="00A74B5C">
        <w:rPr>
          <w:b/>
          <w:bCs/>
          <w:u w:val="single"/>
        </w:rPr>
        <w:t xml:space="preserve">20 November 2020 </w:t>
      </w:r>
    </w:p>
    <w:p w14:paraId="7D98AFF9" w14:textId="11CFE869" w:rsidR="003A4EB0" w:rsidRDefault="003A4EB0" w:rsidP="003A4EB0">
      <w:r>
        <w:t xml:space="preserve">FDA published </w:t>
      </w:r>
      <w:r>
        <w:br/>
        <w:t>“</w:t>
      </w:r>
      <w:r w:rsidRPr="00265CD2">
        <w:rPr>
          <w:i/>
          <w:iCs/>
        </w:rPr>
        <w:t>Emergency Use Authorization (EUA) for an Unapproved Product  Review Memorandum</w:t>
      </w:r>
      <w:r w:rsidRPr="00530216">
        <w:t xml:space="preserve"> </w:t>
      </w:r>
      <w:r>
        <w:t>“</w:t>
      </w:r>
      <w:r>
        <w:rPr>
          <w:rStyle w:val="FootnoteReference"/>
        </w:rPr>
        <w:footnoteReference w:id="3"/>
      </w:r>
      <w:r>
        <w:t xml:space="preserve"> . </w:t>
      </w:r>
    </w:p>
    <w:p w14:paraId="3FA78B40" w14:textId="3F7260B1" w:rsidR="003A4EB0" w:rsidRDefault="003A4EB0" w:rsidP="003A4EB0">
      <w:r>
        <w:t xml:space="preserve">The meeting records two processes of manufacture on P 47. The following excerpt from p47 very is important. </w:t>
      </w:r>
      <w:r w:rsidR="00623B07">
        <w:t xml:space="preserve">It states a requirement </w:t>
      </w:r>
      <w:r w:rsidR="000F3004">
        <w:t>for</w:t>
      </w:r>
      <w:r w:rsidR="00623B07">
        <w:t xml:space="preserve"> future reporting on “release” or “commercial”, “upscale” DP (Drug Product) and DS (Drug Substance</w:t>
      </w:r>
      <w:r>
        <w:t xml:space="preserve"> </w:t>
      </w:r>
      <w:r w:rsidR="00623B07">
        <w:t>) potency</w:t>
      </w:r>
    </w:p>
    <w:p w14:paraId="1995DAF6" w14:textId="77777777" w:rsidR="003A4EB0" w:rsidRDefault="003A4EB0" w:rsidP="003A4EB0">
      <w:pPr>
        <w:rPr>
          <w:i/>
          <w:iCs/>
          <w:sz w:val="20"/>
          <w:szCs w:val="20"/>
        </w:rPr>
      </w:pPr>
      <w:r>
        <w:rPr>
          <w:i/>
          <w:iCs/>
          <w:sz w:val="20"/>
          <w:szCs w:val="20"/>
        </w:rPr>
        <w:t>“</w:t>
      </w:r>
      <w:r w:rsidRPr="00537839">
        <w:rPr>
          <w:i/>
          <w:iCs/>
          <w:sz w:val="20"/>
          <w:szCs w:val="20"/>
        </w:rPr>
        <w:t xml:space="preserve">All stability studies of the DS and DP lots are ongoing and will continue to be monitored. Data will be submitted to the EUA as they become available. The analytical procedures developed and used for the release and stability monitoring of BNT162b2 DS and DP include tests to ensure their identity, purity, quality, and </w:t>
      </w:r>
      <w:r w:rsidRPr="00537839">
        <w:rPr>
          <w:i/>
          <w:iCs/>
          <w:sz w:val="20"/>
          <w:szCs w:val="20"/>
          <w:highlight w:val="yellow"/>
        </w:rPr>
        <w:t>potency</w:t>
      </w:r>
      <w:r w:rsidRPr="00537839">
        <w:rPr>
          <w:i/>
          <w:iCs/>
          <w:sz w:val="20"/>
          <w:szCs w:val="20"/>
        </w:rPr>
        <w:t>.</w:t>
      </w:r>
      <w:r>
        <w:rPr>
          <w:i/>
          <w:iCs/>
          <w:sz w:val="20"/>
          <w:szCs w:val="20"/>
        </w:rPr>
        <w:t>”</w:t>
      </w:r>
    </w:p>
    <w:p w14:paraId="48AC2602" w14:textId="42D75D94" w:rsidR="0014662B" w:rsidRPr="0014662B" w:rsidRDefault="003A4EB0" w:rsidP="0014662B">
      <w:pPr>
        <w:rPr>
          <w:i/>
          <w:iCs/>
          <w:sz w:val="20"/>
          <w:szCs w:val="20"/>
        </w:rPr>
      </w:pPr>
      <w:r>
        <w:t xml:space="preserve"> “Potency” is considered  a crucial factor;  FDA was obviously concerned that P2  potency should be similar to P1. </w:t>
      </w:r>
      <w:r>
        <w:br/>
      </w:r>
      <w:r>
        <w:br/>
      </w:r>
      <w:r w:rsidR="000F3004">
        <w:t>In the</w:t>
      </w:r>
      <w:r>
        <w:t xml:space="preserve"> screen shot of p47  below</w:t>
      </w:r>
      <w:r w:rsidR="00480FAF">
        <w:t>,</w:t>
      </w:r>
      <w:r w:rsidRPr="005576F5">
        <w:t xml:space="preserve"> </w:t>
      </w:r>
      <w:r>
        <w:t xml:space="preserve">Drug </w:t>
      </w:r>
      <w:r w:rsidR="00480FAF">
        <w:t>S</w:t>
      </w:r>
      <w:r>
        <w:t>ubstance (</w:t>
      </w:r>
      <w:r w:rsidR="00480FAF">
        <w:t xml:space="preserve">DS, </w:t>
      </w:r>
      <w:r>
        <w:t>active substance) comments are light green; drug product (</w:t>
      </w:r>
      <w:r w:rsidR="00480FAF">
        <w:t xml:space="preserve">DP, </w:t>
      </w:r>
      <w:r>
        <w:t>the vaccine</w:t>
      </w:r>
      <w:r w:rsidR="00480FAF">
        <w:t xml:space="preserve"> finished product </w:t>
      </w:r>
      <w:r>
        <w:t>) comments orange; combined DS and DP</w:t>
      </w:r>
      <w:r w:rsidR="00480FAF">
        <w:t xml:space="preserve"> comments</w:t>
      </w:r>
      <w:r>
        <w:t xml:space="preserve"> are dark pink. </w:t>
      </w:r>
      <w:r w:rsidR="00480FAF">
        <w:t xml:space="preserve">These emphasise potency </w:t>
      </w:r>
      <w:r w:rsidR="0014662B">
        <w:t>in terms of efficacy not in terms of reactogenicity, which does not correspond to immunogenicity</w:t>
      </w:r>
      <w:r w:rsidR="0014662B" w:rsidRPr="0014662B">
        <w:rPr>
          <w:i/>
          <w:iCs/>
          <w:sz w:val="20"/>
          <w:szCs w:val="20"/>
        </w:rPr>
        <w:t xml:space="preserve"> </w:t>
      </w:r>
      <w:r w:rsidR="0014662B" w:rsidRPr="0014662B">
        <w:t xml:space="preserve">in the authorized </w:t>
      </w:r>
      <w:r w:rsidR="0014662B">
        <w:t xml:space="preserve">Pfizer </w:t>
      </w:r>
      <w:r w:rsidR="0014662B" w:rsidRPr="0014662B">
        <w:t>product</w:t>
      </w:r>
      <w:r w:rsidR="0014662B">
        <w:rPr>
          <w:i/>
          <w:iCs/>
          <w:sz w:val="20"/>
          <w:szCs w:val="20"/>
        </w:rPr>
        <w:br/>
      </w:r>
      <w:r w:rsidR="0014662B" w:rsidRPr="0014662B">
        <w:rPr>
          <w:i/>
          <w:iCs/>
          <w:sz w:val="20"/>
          <w:szCs w:val="20"/>
        </w:rPr>
        <w:t>Reactogenicity Correlates Only Weakly with Humoral Immunogenicity after COVID-19 Vaccination with BNT162b2 mRNA (Comirnaty®)</w:t>
      </w:r>
      <w:r w:rsidR="0014662B">
        <w:rPr>
          <w:i/>
          <w:iCs/>
          <w:sz w:val="20"/>
          <w:szCs w:val="20"/>
        </w:rPr>
        <w:t xml:space="preserve"> </w:t>
      </w:r>
      <w:r w:rsidR="0014662B">
        <w:rPr>
          <w:rStyle w:val="FootnoteReference"/>
          <w:rFonts w:cstheme="minorHAnsi"/>
        </w:rPr>
        <w:footnoteReference w:id="4"/>
      </w:r>
    </w:p>
    <w:p w14:paraId="24FDD880" w14:textId="0F3B07C0" w:rsidR="003A4EB0" w:rsidRDefault="003A4EB0" w:rsidP="003A4EB0"/>
    <w:p w14:paraId="396764C4" w14:textId="77777777" w:rsidR="003A4EB0" w:rsidRDefault="003A4EB0" w:rsidP="003A4EB0">
      <w:r>
        <w:rPr>
          <w:noProof/>
        </w:rPr>
        <w:drawing>
          <wp:inline distT="0" distB="0" distL="0" distR="0" wp14:anchorId="4089546B" wp14:editId="6F786AAE">
            <wp:extent cx="5731510" cy="3223895"/>
            <wp:effectExtent l="0" t="0" r="2540" b="0"/>
            <wp:docPr id="704619256" name="Picture 1" descr="screen shot of Emergency Use Authorisation memorandum 20 November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19256" name="Picture 1" descr="screen shot of Emergency Use Authorisation memorandum 20 November 2020"/>
                    <pic:cNvPicPr/>
                  </pic:nvPicPr>
                  <pic:blipFill>
                    <a:blip r:embed="rId11"/>
                    <a:stretch>
                      <a:fillRect/>
                    </a:stretch>
                  </pic:blipFill>
                  <pic:spPr>
                    <a:xfrm>
                      <a:off x="0" y="0"/>
                      <a:ext cx="5731510" cy="3223895"/>
                    </a:xfrm>
                    <a:prstGeom prst="rect">
                      <a:avLst/>
                    </a:prstGeom>
                  </pic:spPr>
                </pic:pic>
              </a:graphicData>
            </a:graphic>
          </wp:inline>
        </w:drawing>
      </w:r>
    </w:p>
    <w:p w14:paraId="4E918ADE" w14:textId="74AA561C" w:rsidR="003A4EB0" w:rsidRDefault="003A4EB0" w:rsidP="003A4EB0">
      <w:r>
        <w:lastRenderedPageBreak/>
        <w:t>Page 6 of the</w:t>
      </w:r>
      <w:r w:rsidR="0014662B">
        <w:t xml:space="preserve"> Booster trial report </w:t>
      </w:r>
      <w:r>
        <w:t>sets out the P</w:t>
      </w:r>
      <w:r w:rsidR="0014662B">
        <w:t xml:space="preserve">rocess </w:t>
      </w:r>
      <w:r>
        <w:t>1 trial data cut off November 14</w:t>
      </w:r>
      <w:r w:rsidRPr="00537839">
        <w:rPr>
          <w:vertAlign w:val="superscript"/>
        </w:rPr>
        <w:t>th</w:t>
      </w:r>
      <w:r>
        <w:t>, 2020, and the safety summary</w:t>
      </w:r>
      <w:r w:rsidR="0014662B">
        <w:t xml:space="preserve"> to that date</w:t>
      </w:r>
      <w:r>
        <w:t>. By reference to p47</w:t>
      </w:r>
      <w:r w:rsidR="0014662B">
        <w:t xml:space="preserve"> above, </w:t>
      </w:r>
      <w:r>
        <w:t xml:space="preserve"> </w:t>
      </w:r>
      <w:r w:rsidRPr="005576F5">
        <w:rPr>
          <w:u w:val="single"/>
        </w:rPr>
        <w:t>this safety data derives only from P1 “classical</w:t>
      </w:r>
      <w:r>
        <w:t xml:space="preserve">” </w:t>
      </w:r>
      <w:r w:rsidRPr="005576F5">
        <w:rPr>
          <w:u w:val="single"/>
        </w:rPr>
        <w:t>manufacturing method</w:t>
      </w:r>
      <w:r>
        <w:t>, not the P2 “upscale” version</w:t>
      </w:r>
      <w:r w:rsidR="00A74B5C">
        <w:t>.</w:t>
      </w:r>
    </w:p>
    <w:p w14:paraId="2C2E3627" w14:textId="4BD9711F" w:rsidR="009D0698" w:rsidRDefault="00A74B5C">
      <w:pPr>
        <w:rPr>
          <w:rFonts w:cstheme="minorHAnsi"/>
          <w:color w:val="031B44"/>
          <w:shd w:val="clear" w:color="auto" w:fill="FFFFFF"/>
        </w:rPr>
      </w:pPr>
      <w:r w:rsidRPr="00A74B5C">
        <w:rPr>
          <w:rFonts w:cstheme="minorHAnsi"/>
          <w:b/>
          <w:bCs/>
          <w:u w:val="single"/>
        </w:rPr>
        <w:t xml:space="preserve">22 </w:t>
      </w:r>
      <w:r w:rsidR="004C7D1A" w:rsidRPr="00A74B5C">
        <w:rPr>
          <w:rFonts w:cstheme="minorHAnsi"/>
          <w:b/>
          <w:bCs/>
          <w:u w:val="single"/>
        </w:rPr>
        <w:t>August 2024</w:t>
      </w:r>
      <w:r w:rsidR="004C7D1A">
        <w:rPr>
          <w:rFonts w:cstheme="minorHAnsi"/>
        </w:rPr>
        <w:t xml:space="preserve"> </w:t>
      </w:r>
      <w:r>
        <w:rPr>
          <w:rFonts w:cstheme="minorHAnsi"/>
        </w:rPr>
        <w:br/>
      </w:r>
      <w:r w:rsidR="004C7D1A">
        <w:rPr>
          <w:rFonts w:cstheme="minorHAnsi"/>
        </w:rPr>
        <w:t xml:space="preserve">VRBPAC authorized these 2 </w:t>
      </w:r>
      <w:r w:rsidR="003A4EB0">
        <w:rPr>
          <w:rFonts w:cstheme="minorHAnsi"/>
        </w:rPr>
        <w:t xml:space="preserve">same </w:t>
      </w:r>
      <w:r w:rsidR="004C7D1A">
        <w:rPr>
          <w:rFonts w:cstheme="minorHAnsi"/>
        </w:rPr>
        <w:t>products</w:t>
      </w:r>
      <w:r w:rsidR="00F03858">
        <w:rPr>
          <w:rFonts w:cstheme="minorHAnsi"/>
        </w:rPr>
        <w:t xml:space="preserve"> Moderna and Pfizer</w:t>
      </w:r>
      <w:r w:rsidR="004C7D1A">
        <w:rPr>
          <w:rFonts w:cstheme="minorHAnsi"/>
        </w:rPr>
        <w:t xml:space="preserve"> </w:t>
      </w:r>
      <w:r w:rsidR="004C7D1A" w:rsidRPr="004C7D1A">
        <w:rPr>
          <w:rFonts w:cstheme="minorHAnsi"/>
          <w:color w:val="031B44"/>
          <w:shd w:val="clear" w:color="auto" w:fill="FFFFFF"/>
        </w:rPr>
        <w:t>using the FDA’s</w:t>
      </w:r>
      <w:r w:rsidR="004C7D1A">
        <w:rPr>
          <w:rFonts w:cstheme="minorHAnsi"/>
          <w:color w:val="031B44"/>
          <w:shd w:val="clear" w:color="auto" w:fill="FFFFFF"/>
        </w:rPr>
        <w:t xml:space="preserve"> “strain change rule”</w:t>
      </w:r>
      <w:r w:rsidR="004C7D1A">
        <w:rPr>
          <w:rStyle w:val="FootnoteReference"/>
          <w:rFonts w:cstheme="minorHAnsi"/>
          <w:color w:val="031B44"/>
          <w:shd w:val="clear" w:color="auto" w:fill="FFFFFF"/>
        </w:rPr>
        <w:footnoteReference w:id="5"/>
      </w:r>
      <w:r w:rsidR="004C7D1A" w:rsidRPr="004C7D1A">
        <w:rPr>
          <w:rFonts w:cstheme="minorHAnsi"/>
          <w:color w:val="031B44"/>
          <w:shd w:val="clear" w:color="auto" w:fill="FFFFFF"/>
        </w:rPr>
        <w:t xml:space="preserve"> under which updated vaccines are not considered new vaccines. Because the changes are limited to the version or versions of the virus that are being targeted, the manufacturers are not required to conduct new </w:t>
      </w:r>
      <w:r w:rsidR="000A0D3F">
        <w:rPr>
          <w:rFonts w:cstheme="minorHAnsi"/>
          <w:color w:val="031B44"/>
          <w:shd w:val="clear" w:color="auto" w:fill="FFFFFF"/>
        </w:rPr>
        <w:t xml:space="preserve">safety or </w:t>
      </w:r>
      <w:r w:rsidR="004C7D1A" w:rsidRPr="004C7D1A">
        <w:rPr>
          <w:rFonts w:cstheme="minorHAnsi"/>
          <w:color w:val="031B44"/>
          <w:shd w:val="clear" w:color="auto" w:fill="FFFFFF"/>
        </w:rPr>
        <w:t>effectiveness studies. </w:t>
      </w:r>
    </w:p>
    <w:p w14:paraId="5B9774D1" w14:textId="65B5F9C0" w:rsidR="003A4EB0" w:rsidRPr="004C7D1A" w:rsidRDefault="003A4EB0">
      <w:pPr>
        <w:rPr>
          <w:rFonts w:cstheme="minorHAnsi"/>
        </w:rPr>
      </w:pPr>
      <w:r>
        <w:rPr>
          <w:rFonts w:cstheme="minorHAnsi"/>
          <w:color w:val="031B44"/>
          <w:shd w:val="clear" w:color="auto" w:fill="FFFFFF"/>
        </w:rPr>
        <w:t>The original sin of</w:t>
      </w:r>
      <w:r w:rsidR="000A0D3F">
        <w:rPr>
          <w:rFonts w:cstheme="minorHAnsi"/>
          <w:color w:val="031B44"/>
          <w:shd w:val="clear" w:color="auto" w:fill="FFFFFF"/>
        </w:rPr>
        <w:t xml:space="preserve"> Pfizer and Moderna</w:t>
      </w:r>
      <w:r>
        <w:rPr>
          <w:rFonts w:cstheme="minorHAnsi"/>
          <w:color w:val="031B44"/>
          <w:shd w:val="clear" w:color="auto" w:fill="FFFFFF"/>
        </w:rPr>
        <w:t xml:space="preserve"> </w:t>
      </w:r>
      <w:r w:rsidR="000A0D3F">
        <w:rPr>
          <w:rFonts w:cstheme="minorHAnsi"/>
          <w:color w:val="031B44"/>
          <w:shd w:val="clear" w:color="auto" w:fill="FFFFFF"/>
        </w:rPr>
        <w:t xml:space="preserve">excessive potency overtopping the safe pyrogenic threshold </w:t>
      </w:r>
      <w:r>
        <w:rPr>
          <w:rFonts w:cstheme="minorHAnsi"/>
          <w:color w:val="031B44"/>
          <w:shd w:val="clear" w:color="auto" w:fill="FFFFFF"/>
        </w:rPr>
        <w:t xml:space="preserve"> </w:t>
      </w:r>
      <w:r w:rsidR="000A0D3F">
        <w:rPr>
          <w:rFonts w:cstheme="minorHAnsi"/>
          <w:color w:val="031B44"/>
          <w:shd w:val="clear" w:color="auto" w:fill="FFFFFF"/>
        </w:rPr>
        <w:t>has therefore been passed down to the third and fourth generation</w:t>
      </w:r>
      <w:r w:rsidR="00E6097D">
        <w:rPr>
          <w:rFonts w:cstheme="minorHAnsi"/>
          <w:color w:val="031B44"/>
          <w:shd w:val="clear" w:color="auto" w:fill="FFFFFF"/>
        </w:rPr>
        <w:t xml:space="preserve"> </w:t>
      </w:r>
      <w:r w:rsidR="00E6097D" w:rsidRPr="00E6097D">
        <w:rPr>
          <w:rFonts w:cstheme="minorHAnsi"/>
          <w:color w:val="031B44"/>
          <w:highlight w:val="yellow"/>
          <w:shd w:val="clear" w:color="auto" w:fill="FFFFFF"/>
        </w:rPr>
        <w:t>without scrutiny</w:t>
      </w:r>
      <w:r w:rsidR="000A0D3F">
        <w:rPr>
          <w:rFonts w:cstheme="minorHAnsi"/>
          <w:color w:val="031B44"/>
          <w:shd w:val="clear" w:color="auto" w:fill="FFFFFF"/>
        </w:rPr>
        <w:t>.</w:t>
      </w:r>
    </w:p>
    <w:p w14:paraId="33294997" w14:textId="2E9B76F0" w:rsidR="00875207" w:rsidRDefault="000A0D3F">
      <w:pPr>
        <w:rPr>
          <w:rFonts w:cstheme="minorHAnsi"/>
        </w:rPr>
      </w:pPr>
      <w:r>
        <w:rPr>
          <w:rFonts w:cstheme="minorHAnsi"/>
        </w:rPr>
        <w:t xml:space="preserve">The evidence of Pfizer excessive reactogenicity is in the </w:t>
      </w:r>
      <w:r w:rsidR="00E6097D">
        <w:rPr>
          <w:rFonts w:cstheme="minorHAnsi"/>
        </w:rPr>
        <w:t xml:space="preserve">FDA </w:t>
      </w:r>
      <w:r>
        <w:rPr>
          <w:rFonts w:cstheme="minorHAnsi"/>
        </w:rPr>
        <w:t>Medical Professional leaflet</w:t>
      </w:r>
      <w:r>
        <w:rPr>
          <w:rStyle w:val="FootnoteReference"/>
          <w:rFonts w:cstheme="minorHAnsi"/>
        </w:rPr>
        <w:footnoteReference w:id="6"/>
      </w:r>
      <w:r>
        <w:rPr>
          <w:rFonts w:cstheme="minorHAnsi"/>
        </w:rPr>
        <w:t xml:space="preserve"> taken from the August 22</w:t>
      </w:r>
      <w:r w:rsidRPr="000A0D3F">
        <w:rPr>
          <w:rFonts w:cstheme="minorHAnsi"/>
          <w:vertAlign w:val="superscript"/>
        </w:rPr>
        <w:t>nd</w:t>
      </w:r>
      <w:r>
        <w:rPr>
          <w:rFonts w:cstheme="minorHAnsi"/>
        </w:rPr>
        <w:t xml:space="preserve">  </w:t>
      </w:r>
      <w:r w:rsidRPr="000A0D3F">
        <w:rPr>
          <w:lang w:eastAsia="en-GB"/>
        </w:rPr>
        <w:t>FDA News Release</w:t>
      </w:r>
      <w:r>
        <w:rPr>
          <w:lang w:eastAsia="en-GB"/>
        </w:rPr>
        <w:br/>
      </w:r>
      <w:r w:rsidRPr="000A0D3F">
        <w:rPr>
          <w:i/>
          <w:iCs/>
          <w:sz w:val="20"/>
          <w:szCs w:val="20"/>
          <w:lang w:eastAsia="en-GB"/>
        </w:rPr>
        <w:t>FDA Approves and Authorizes Updated mRNA COVID-19 Vaccines to Better Protect Against Currently Circulating Variants</w:t>
      </w:r>
      <w:r>
        <w:rPr>
          <w:rStyle w:val="FootnoteReference"/>
          <w:rFonts w:cstheme="minorHAnsi"/>
        </w:rPr>
        <w:footnoteReference w:id="7"/>
      </w:r>
      <w:r>
        <w:rPr>
          <w:rFonts w:cstheme="minorHAnsi"/>
        </w:rPr>
        <w:t xml:space="preserve"> </w:t>
      </w:r>
    </w:p>
    <w:p w14:paraId="32EAAC2D" w14:textId="5E470DF6" w:rsidR="00083E9E" w:rsidRDefault="000A0D3F">
      <w:pPr>
        <w:rPr>
          <w:rFonts w:cstheme="minorHAnsi"/>
        </w:rPr>
      </w:pPr>
      <w:r>
        <w:rPr>
          <w:rFonts w:cstheme="minorHAnsi"/>
        </w:rPr>
        <w:t>The leaflet de</w:t>
      </w:r>
      <w:r w:rsidR="00033768">
        <w:rPr>
          <w:rFonts w:cstheme="minorHAnsi"/>
        </w:rPr>
        <w:t xml:space="preserve">scribes </w:t>
      </w:r>
      <w:r>
        <w:rPr>
          <w:rFonts w:cstheme="minorHAnsi"/>
        </w:rPr>
        <w:t>various</w:t>
      </w:r>
      <w:r w:rsidR="005C5102">
        <w:rPr>
          <w:rFonts w:cstheme="minorHAnsi"/>
        </w:rPr>
        <w:t xml:space="preserve"> Pfizer clinical</w:t>
      </w:r>
      <w:r>
        <w:rPr>
          <w:rFonts w:cstheme="minorHAnsi"/>
        </w:rPr>
        <w:t xml:space="preserve"> trials. It notes </w:t>
      </w:r>
      <w:r w:rsidR="00083E9E">
        <w:rPr>
          <w:rFonts w:cstheme="minorHAnsi"/>
        </w:rPr>
        <w:t>(</w:t>
      </w:r>
      <w:r w:rsidR="00083E9E" w:rsidRPr="00083E9E">
        <w:rPr>
          <w:rFonts w:cstheme="minorHAnsi"/>
          <w:b/>
          <w:bCs/>
          <w:sz w:val="18"/>
          <w:szCs w:val="18"/>
        </w:rPr>
        <w:t>p</w:t>
      </w:r>
      <w:r w:rsidR="00083E9E">
        <w:rPr>
          <w:rFonts w:cstheme="minorHAnsi"/>
          <w:b/>
          <w:bCs/>
          <w:sz w:val="18"/>
          <w:szCs w:val="18"/>
        </w:rPr>
        <w:t>12</w:t>
      </w:r>
      <w:r w:rsidR="00083E9E" w:rsidRPr="00083E9E">
        <w:rPr>
          <w:rFonts w:cstheme="minorHAnsi"/>
          <w:b/>
          <w:bCs/>
          <w:sz w:val="18"/>
          <w:szCs w:val="18"/>
        </w:rPr>
        <w:t>)</w:t>
      </w:r>
      <w:r w:rsidR="00083E9E">
        <w:rPr>
          <w:rFonts w:cstheme="minorHAnsi"/>
          <w:b/>
          <w:bCs/>
          <w:sz w:val="18"/>
          <w:szCs w:val="18"/>
        </w:rPr>
        <w:t xml:space="preserve"> </w:t>
      </w:r>
      <w:r>
        <w:rPr>
          <w:rFonts w:cstheme="minorHAnsi"/>
        </w:rPr>
        <w:t>that</w:t>
      </w:r>
      <w:r w:rsidR="00083E9E">
        <w:rPr>
          <w:rFonts w:cstheme="minorHAnsi"/>
        </w:rPr>
        <w:t xml:space="preserve"> in the pivotal C4591001 trial  </w:t>
      </w:r>
      <w:r w:rsidR="00A74B5C">
        <w:rPr>
          <w:rFonts w:cstheme="minorHAnsi"/>
        </w:rPr>
        <w:t xml:space="preserve">involving 21,900 people taking 2 doses of product - 43,800 doses </w:t>
      </w:r>
      <w:r w:rsidR="005C5102">
        <w:rPr>
          <w:rFonts w:cstheme="minorHAnsi"/>
        </w:rPr>
        <w:t>– there were significant unsolicited adverse events</w:t>
      </w:r>
      <w:r w:rsidR="00E21F02">
        <w:rPr>
          <w:rFonts w:cstheme="minorHAnsi"/>
        </w:rPr>
        <w:t xml:space="preserve"> – non serious</w:t>
      </w:r>
    </w:p>
    <w:p w14:paraId="6810B1D7" w14:textId="399B972D" w:rsidR="00083E9E" w:rsidRPr="00083E9E" w:rsidRDefault="00A74B5C">
      <w:pPr>
        <w:rPr>
          <w:rFonts w:cstheme="minorHAnsi"/>
          <w:i/>
          <w:iCs/>
          <w:sz w:val="20"/>
          <w:szCs w:val="20"/>
        </w:rPr>
      </w:pPr>
      <w:r>
        <w:rPr>
          <w:rFonts w:cstheme="minorHAnsi"/>
          <w:i/>
          <w:iCs/>
          <w:sz w:val="20"/>
          <w:szCs w:val="20"/>
        </w:rPr>
        <w:t>“</w:t>
      </w:r>
      <w:r w:rsidR="00083E9E" w:rsidRPr="00083E9E">
        <w:rPr>
          <w:rFonts w:cstheme="minorHAnsi"/>
          <w:i/>
          <w:iCs/>
          <w:sz w:val="20"/>
          <w:szCs w:val="20"/>
        </w:rPr>
        <w:t xml:space="preserve">The higher frequency of reported unsolicited non-serious adverse events among Pfizer-BioNTech COVID-19 Vaccine recipients compared to placebo recipients was primarily attributed to local and systemic adverse events reported during the first 7 days following vaccination that are consistent with adverse reactions solicited among participants in the reactogenicity subset. </w:t>
      </w:r>
      <w:r w:rsidR="00083E9E" w:rsidRPr="00A74B5C">
        <w:rPr>
          <w:rFonts w:cstheme="minorHAnsi"/>
          <w:i/>
          <w:iCs/>
          <w:sz w:val="20"/>
          <w:szCs w:val="20"/>
          <w:highlight w:val="yellow"/>
        </w:rPr>
        <w:t>From Dose 1 through 30 days after Dose 2, reports of lymphadenopathy were imbalanced</w:t>
      </w:r>
      <w:r w:rsidR="00083E9E" w:rsidRPr="00083E9E">
        <w:rPr>
          <w:rFonts w:cstheme="minorHAnsi"/>
          <w:i/>
          <w:iCs/>
          <w:sz w:val="20"/>
          <w:szCs w:val="20"/>
        </w:rPr>
        <w:t xml:space="preserve"> with notably more cases in the </w:t>
      </w:r>
      <w:r w:rsidR="00083E9E" w:rsidRPr="00A74B5C">
        <w:rPr>
          <w:rFonts w:cstheme="minorHAnsi"/>
          <w:i/>
          <w:iCs/>
          <w:sz w:val="20"/>
          <w:szCs w:val="20"/>
          <w:highlight w:val="yellow"/>
        </w:rPr>
        <w:t>Pfizer-BioNTech COVID-19 Vaccine group (64)</w:t>
      </w:r>
      <w:r w:rsidR="00083E9E" w:rsidRPr="00083E9E">
        <w:rPr>
          <w:rFonts w:cstheme="minorHAnsi"/>
          <w:i/>
          <w:iCs/>
          <w:sz w:val="20"/>
          <w:szCs w:val="20"/>
        </w:rPr>
        <w:t xml:space="preserve"> vs. the placebo group (6), which is plausibly related to vaccination.</w:t>
      </w:r>
      <w:r>
        <w:rPr>
          <w:rFonts w:cstheme="minorHAnsi"/>
          <w:i/>
          <w:iCs/>
          <w:sz w:val="20"/>
          <w:szCs w:val="20"/>
        </w:rPr>
        <w:t>”</w:t>
      </w:r>
    </w:p>
    <w:p w14:paraId="4713FF94" w14:textId="767A1B08" w:rsidR="00083E9E" w:rsidRDefault="00083E9E">
      <w:pPr>
        <w:rPr>
          <w:rFonts w:cstheme="minorHAnsi"/>
        </w:rPr>
      </w:pPr>
      <w:r>
        <w:rPr>
          <w:rFonts w:cstheme="minorHAnsi"/>
        </w:rPr>
        <w:t>Lymphadenopathy was an AESI at that time. Due to this frequency – 0.3% in vaccinated and 0.1% in placebo – it was graded “uncommon”.</w:t>
      </w:r>
    </w:p>
    <w:p w14:paraId="5D7CB627" w14:textId="60C5AB91" w:rsidR="000A0D3F" w:rsidRPr="00083E9E" w:rsidRDefault="00DA5155">
      <w:pPr>
        <w:rPr>
          <w:rFonts w:cstheme="minorHAnsi"/>
        </w:rPr>
      </w:pPr>
      <w:r>
        <w:rPr>
          <w:rFonts w:cstheme="minorHAnsi"/>
        </w:rPr>
        <w:t>However,</w:t>
      </w:r>
      <w:r w:rsidR="00083E9E">
        <w:rPr>
          <w:rFonts w:cstheme="minorHAnsi"/>
        </w:rPr>
        <w:t xml:space="preserve"> </w:t>
      </w:r>
      <w:r w:rsidR="005602DA">
        <w:rPr>
          <w:rFonts w:cstheme="minorHAnsi"/>
        </w:rPr>
        <w:t xml:space="preserve">the </w:t>
      </w:r>
      <w:r w:rsidR="000A0D3F">
        <w:rPr>
          <w:rFonts w:cstheme="minorHAnsi"/>
        </w:rPr>
        <w:t xml:space="preserve">booster trial </w:t>
      </w:r>
      <w:r w:rsidR="00083E9E">
        <w:rPr>
          <w:rFonts w:cstheme="minorHAnsi"/>
        </w:rPr>
        <w:t xml:space="preserve">reported on </w:t>
      </w:r>
      <w:r w:rsidR="00083E9E" w:rsidRPr="00083E9E">
        <w:rPr>
          <w:rFonts w:cstheme="minorHAnsi"/>
          <w:b/>
          <w:bCs/>
          <w:sz w:val="18"/>
          <w:szCs w:val="18"/>
        </w:rPr>
        <w:t>p24</w:t>
      </w:r>
      <w:r w:rsidR="00083E9E">
        <w:rPr>
          <w:rFonts w:cstheme="minorHAnsi"/>
          <w:b/>
          <w:bCs/>
          <w:sz w:val="18"/>
          <w:szCs w:val="18"/>
        </w:rPr>
        <w:t xml:space="preserve"> </w:t>
      </w:r>
      <w:r w:rsidR="00083E9E" w:rsidRPr="00083E9E">
        <w:rPr>
          <w:rFonts w:cstheme="minorHAnsi"/>
        </w:rPr>
        <w:t xml:space="preserve">shows a wholly different </w:t>
      </w:r>
      <w:r w:rsidR="007D7250" w:rsidRPr="00083E9E">
        <w:rPr>
          <w:rFonts w:cstheme="minorHAnsi"/>
        </w:rPr>
        <w:t>reactogenicity</w:t>
      </w:r>
      <w:r w:rsidR="00083E9E" w:rsidRPr="00083E9E">
        <w:rPr>
          <w:rFonts w:cstheme="minorHAnsi"/>
        </w:rPr>
        <w:t xml:space="preserve"> </w:t>
      </w:r>
      <w:r w:rsidR="00083E9E">
        <w:rPr>
          <w:rFonts w:cstheme="minorHAnsi"/>
        </w:rPr>
        <w:t>1700</w:t>
      </w:r>
      <w:r w:rsidR="005602DA">
        <w:rPr>
          <w:rFonts w:cstheme="minorHAnsi"/>
        </w:rPr>
        <w:t>% greater</w:t>
      </w:r>
      <w:r w:rsidR="00083E9E">
        <w:rPr>
          <w:rFonts w:cstheme="minorHAnsi"/>
        </w:rPr>
        <w:t xml:space="preserve"> than the </w:t>
      </w:r>
      <w:r w:rsidR="005602DA">
        <w:rPr>
          <w:rFonts w:cstheme="minorHAnsi"/>
        </w:rPr>
        <w:t>pivotal trial</w:t>
      </w:r>
    </w:p>
    <w:p w14:paraId="0D7C92E2" w14:textId="1B775D6B" w:rsidR="000A0D3F" w:rsidRPr="000A0D3F" w:rsidRDefault="007D7250">
      <w:pPr>
        <w:rPr>
          <w:rFonts w:cstheme="minorHAnsi"/>
          <w:i/>
          <w:iCs/>
          <w:sz w:val="20"/>
          <w:szCs w:val="20"/>
        </w:rPr>
      </w:pPr>
      <w:r>
        <w:rPr>
          <w:rFonts w:cstheme="minorHAnsi"/>
          <w:i/>
          <w:iCs/>
          <w:sz w:val="20"/>
          <w:szCs w:val="20"/>
        </w:rPr>
        <w:t>“</w:t>
      </w:r>
      <w:r w:rsidR="000A0D3F" w:rsidRPr="007D7250">
        <w:rPr>
          <w:rFonts w:cstheme="minorHAnsi"/>
          <w:i/>
          <w:iCs/>
          <w:sz w:val="20"/>
          <w:szCs w:val="20"/>
          <w:u w:val="single"/>
        </w:rPr>
        <w:t>Unsolicited Adverse Events</w:t>
      </w:r>
      <w:r w:rsidR="000A0D3F" w:rsidRPr="000A0D3F">
        <w:rPr>
          <w:rFonts w:cstheme="minorHAnsi"/>
          <w:i/>
          <w:iCs/>
          <w:sz w:val="20"/>
          <w:szCs w:val="20"/>
        </w:rPr>
        <w:t xml:space="preserve"> </w:t>
      </w:r>
      <w:r>
        <w:rPr>
          <w:rFonts w:cstheme="minorHAnsi"/>
          <w:i/>
          <w:iCs/>
          <w:sz w:val="20"/>
          <w:szCs w:val="20"/>
        </w:rPr>
        <w:br/>
      </w:r>
      <w:r w:rsidR="000A0D3F" w:rsidRPr="000A0D3F">
        <w:rPr>
          <w:rFonts w:cstheme="minorHAnsi"/>
          <w:i/>
          <w:iCs/>
          <w:sz w:val="20"/>
          <w:szCs w:val="20"/>
        </w:rPr>
        <w:t xml:space="preserve">Overall, the 306 participants who received a first booster dose, had a median follow-up time of 2.6 months after the booster dose to the cutoff date (June 17, 2021).  In an analysis of all unsolicited adverse events reported following the first booster dose, through 1 month after the booster dose, in participants 18 through 55 years of age (N=306), those assessed as adverse reactions not already captured by solicited local and systemic reactions were </w:t>
      </w:r>
      <w:r w:rsidR="000A0D3F" w:rsidRPr="005602DA">
        <w:rPr>
          <w:rFonts w:cstheme="minorHAnsi"/>
          <w:i/>
          <w:iCs/>
          <w:sz w:val="20"/>
          <w:szCs w:val="20"/>
          <w:highlight w:val="yellow"/>
        </w:rPr>
        <w:t>lymphadenopathy (n=16, 5.2%),</w:t>
      </w:r>
      <w:r w:rsidR="000A0D3F" w:rsidRPr="000A0D3F">
        <w:rPr>
          <w:rFonts w:cstheme="minorHAnsi"/>
          <w:i/>
          <w:iCs/>
          <w:sz w:val="20"/>
          <w:szCs w:val="20"/>
        </w:rPr>
        <w:t xml:space="preserve"> nausea (n=2, 0.7%), decreased appetite (n=1, 0.3%), rash (n=1, 0.3%), and pain in extremity (n=1, 0.3%).</w:t>
      </w:r>
      <w:r>
        <w:rPr>
          <w:rFonts w:cstheme="minorHAnsi"/>
          <w:i/>
          <w:iCs/>
          <w:sz w:val="20"/>
          <w:szCs w:val="20"/>
        </w:rPr>
        <w:t>”</w:t>
      </w:r>
    </w:p>
    <w:p w14:paraId="1B026E1E" w14:textId="5DB38068" w:rsidR="005602DA" w:rsidRDefault="005602DA" w:rsidP="005602DA">
      <w:pPr>
        <w:rPr>
          <w:lang w:eastAsia="en-GB"/>
        </w:rPr>
      </w:pPr>
      <w:r>
        <w:rPr>
          <w:lang w:eastAsia="en-GB"/>
        </w:rPr>
        <w:t>Such a</w:t>
      </w:r>
      <w:r w:rsidR="00A74B5C">
        <w:rPr>
          <w:lang w:eastAsia="en-GB"/>
        </w:rPr>
        <w:t xml:space="preserve"> substantial rate</w:t>
      </w:r>
      <w:r>
        <w:rPr>
          <w:lang w:eastAsia="en-GB"/>
        </w:rPr>
        <w:t xml:space="preserve"> uplift is not easily explained by the same product</w:t>
      </w:r>
      <w:r w:rsidR="00033768">
        <w:rPr>
          <w:lang w:eastAsia="en-GB"/>
        </w:rPr>
        <w:t xml:space="preserve"> absent a cumulative increase between dos</w:t>
      </w:r>
      <w:r w:rsidR="007D7250">
        <w:rPr>
          <w:lang w:eastAsia="en-GB"/>
        </w:rPr>
        <w:t>es</w:t>
      </w:r>
      <w:r w:rsidR="00033768">
        <w:rPr>
          <w:lang w:eastAsia="en-GB"/>
        </w:rPr>
        <w:t xml:space="preserve"> 1 and 2</w:t>
      </w:r>
      <w:r w:rsidR="007D7250">
        <w:rPr>
          <w:lang w:eastAsia="en-GB"/>
        </w:rPr>
        <w:t>,</w:t>
      </w:r>
      <w:r w:rsidR="00033768">
        <w:rPr>
          <w:lang w:eastAsia="en-GB"/>
        </w:rPr>
        <w:t xml:space="preserve"> which is not </w:t>
      </w:r>
      <w:r w:rsidR="007D7250">
        <w:rPr>
          <w:lang w:eastAsia="en-GB"/>
        </w:rPr>
        <w:t>present</w:t>
      </w:r>
      <w:r w:rsidR="00ED4505">
        <w:rPr>
          <w:lang w:eastAsia="en-GB"/>
        </w:rPr>
        <w:t>. I</w:t>
      </w:r>
      <w:r>
        <w:rPr>
          <w:lang w:eastAsia="en-GB"/>
        </w:rPr>
        <w:t>t was</w:t>
      </w:r>
      <w:r w:rsidR="007D7250">
        <w:rPr>
          <w:lang w:eastAsia="en-GB"/>
        </w:rPr>
        <w:t xml:space="preserve"> </w:t>
      </w:r>
      <w:r w:rsidR="00ED4505">
        <w:rPr>
          <w:lang w:eastAsia="en-GB"/>
        </w:rPr>
        <w:t>verifiably</w:t>
      </w:r>
      <w:r w:rsidR="007D7250">
        <w:rPr>
          <w:lang w:eastAsia="en-GB"/>
        </w:rPr>
        <w:t xml:space="preserve"> a different </w:t>
      </w:r>
      <w:r>
        <w:rPr>
          <w:lang w:eastAsia="en-GB"/>
        </w:rPr>
        <w:t>product</w:t>
      </w:r>
      <w:r w:rsidR="007D7250">
        <w:rPr>
          <w:lang w:eastAsia="en-GB"/>
        </w:rPr>
        <w:t>; p</w:t>
      </w:r>
      <w:r>
        <w:rPr>
          <w:lang w:eastAsia="en-GB"/>
        </w:rPr>
        <w:t xml:space="preserve">roduct used in </w:t>
      </w:r>
      <w:r w:rsidR="009B2021">
        <w:rPr>
          <w:lang w:eastAsia="en-GB"/>
        </w:rPr>
        <w:t>booster</w:t>
      </w:r>
      <w:r>
        <w:rPr>
          <w:lang w:eastAsia="en-GB"/>
        </w:rPr>
        <w:t xml:space="preserve"> trial was solely</w:t>
      </w:r>
      <w:r w:rsidR="009B2021">
        <w:rPr>
          <w:lang w:eastAsia="en-GB"/>
        </w:rPr>
        <w:t xml:space="preserve"> </w:t>
      </w:r>
      <w:r>
        <w:rPr>
          <w:lang w:eastAsia="en-GB"/>
        </w:rPr>
        <w:t>P</w:t>
      </w:r>
      <w:r w:rsidR="00ED4505">
        <w:rPr>
          <w:lang w:eastAsia="en-GB"/>
        </w:rPr>
        <w:t xml:space="preserve">rocess </w:t>
      </w:r>
      <w:r>
        <w:rPr>
          <w:lang w:eastAsia="en-GB"/>
        </w:rPr>
        <w:t>2 not P</w:t>
      </w:r>
      <w:r w:rsidR="00ED4505">
        <w:rPr>
          <w:lang w:eastAsia="en-GB"/>
        </w:rPr>
        <w:t xml:space="preserve">rocess </w:t>
      </w:r>
      <w:r>
        <w:rPr>
          <w:lang w:eastAsia="en-GB"/>
        </w:rPr>
        <w:t>1.</w:t>
      </w:r>
      <w:r w:rsidR="009B2021">
        <w:rPr>
          <w:lang w:eastAsia="en-GB"/>
        </w:rPr>
        <w:t xml:space="preserve"> </w:t>
      </w:r>
      <w:r w:rsidR="00ED4505">
        <w:rPr>
          <w:lang w:eastAsia="en-GB"/>
        </w:rPr>
        <w:t>I</w:t>
      </w:r>
      <w:r w:rsidR="009B2021">
        <w:rPr>
          <w:lang w:eastAsia="en-GB"/>
        </w:rPr>
        <w:t>n</w:t>
      </w:r>
      <w:r w:rsidR="00ED4505">
        <w:rPr>
          <w:lang w:eastAsia="en-GB"/>
        </w:rPr>
        <w:t xml:space="preserve"> the report on</w:t>
      </w:r>
      <w:r w:rsidR="009B2021">
        <w:rPr>
          <w:lang w:eastAsia="en-GB"/>
        </w:rPr>
        <w:br/>
      </w:r>
      <w:r>
        <w:rPr>
          <w:lang w:eastAsia="en-GB"/>
        </w:rPr>
        <w:t>“</w:t>
      </w:r>
      <w:r w:rsidRPr="00B71498">
        <w:rPr>
          <w:i/>
          <w:iCs/>
          <w:lang w:eastAsia="en-GB"/>
        </w:rPr>
        <w:t>Vaccines and Related Biological Products Advisory Committee Meeting September 17, 2021</w:t>
      </w:r>
      <w:r>
        <w:rPr>
          <w:lang w:eastAsia="en-GB"/>
        </w:rPr>
        <w:t>”</w:t>
      </w:r>
      <w:r w:rsidRPr="00B71498">
        <w:rPr>
          <w:lang w:eastAsia="en-GB"/>
        </w:rPr>
        <w:t xml:space="preserve"> </w:t>
      </w:r>
      <w:r>
        <w:rPr>
          <w:rStyle w:val="FootnoteReference"/>
          <w:lang w:eastAsia="en-GB"/>
        </w:rPr>
        <w:footnoteReference w:id="8"/>
      </w:r>
    </w:p>
    <w:p w14:paraId="70492E71" w14:textId="2D5C0909" w:rsidR="005602DA" w:rsidRDefault="00ED4505">
      <w:pPr>
        <w:rPr>
          <w:lang w:eastAsia="en-GB"/>
        </w:rPr>
      </w:pPr>
      <w:r>
        <w:rPr>
          <w:lang w:eastAsia="en-GB"/>
        </w:rPr>
        <w:lastRenderedPageBreak/>
        <w:t xml:space="preserve">A cohort of </w:t>
      </w:r>
      <w:r w:rsidR="005602DA">
        <w:rPr>
          <w:lang w:eastAsia="en-GB"/>
        </w:rPr>
        <w:t xml:space="preserve">306 </w:t>
      </w:r>
      <w:r w:rsidR="009B2021">
        <w:rPr>
          <w:lang w:eastAsia="en-GB"/>
        </w:rPr>
        <w:t>people, f</w:t>
      </w:r>
      <w:r w:rsidR="005F4089">
        <w:rPr>
          <w:lang w:eastAsia="en-GB"/>
        </w:rPr>
        <w:t>ro</w:t>
      </w:r>
      <w:r w:rsidR="009B2021">
        <w:rPr>
          <w:lang w:eastAsia="en-GB"/>
        </w:rPr>
        <w:t xml:space="preserve">m pivotal main trial </w:t>
      </w:r>
      <w:r w:rsidR="005F4089">
        <w:rPr>
          <w:lang w:eastAsia="en-GB"/>
        </w:rPr>
        <w:t xml:space="preserve">C4591001 </w:t>
      </w:r>
      <w:r w:rsidR="005602DA">
        <w:rPr>
          <w:lang w:eastAsia="en-GB"/>
        </w:rPr>
        <w:t xml:space="preserve">received their first dose of </w:t>
      </w:r>
      <w:r>
        <w:rPr>
          <w:lang w:eastAsia="en-GB"/>
        </w:rPr>
        <w:t xml:space="preserve">Process </w:t>
      </w:r>
      <w:r w:rsidR="005602DA">
        <w:rPr>
          <w:lang w:eastAsia="en-GB"/>
        </w:rPr>
        <w:t xml:space="preserve">2 </w:t>
      </w:r>
      <w:r w:rsidR="007D7250">
        <w:rPr>
          <w:lang w:eastAsia="en-GB"/>
        </w:rPr>
        <w:t>as described on page 5 below:</w:t>
      </w:r>
    </w:p>
    <w:p w14:paraId="0C8FEF70" w14:textId="08E15AB5" w:rsidR="005602DA" w:rsidRDefault="005602DA">
      <w:pPr>
        <w:rPr>
          <w:lang w:eastAsia="en-GB"/>
        </w:rPr>
      </w:pPr>
      <w:r>
        <w:rPr>
          <w:noProof/>
        </w:rPr>
        <w:drawing>
          <wp:inline distT="0" distB="0" distL="0" distR="0" wp14:anchorId="48617C03" wp14:editId="62053AB4">
            <wp:extent cx="5731510" cy="3223895"/>
            <wp:effectExtent l="0" t="0" r="2540" b="0"/>
            <wp:docPr id="1305148143" name="Picture 1" descr="Screenshot of FDA meeting to authrised Pfizer booster injection Septembe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48143" name="Picture 1" descr="Screenshot of FDA meeting to authrised Pfizer booster injection September 2021"/>
                    <pic:cNvPicPr/>
                  </pic:nvPicPr>
                  <pic:blipFill>
                    <a:blip r:embed="rId12"/>
                    <a:stretch>
                      <a:fillRect/>
                    </a:stretch>
                  </pic:blipFill>
                  <pic:spPr>
                    <a:xfrm>
                      <a:off x="0" y="0"/>
                      <a:ext cx="5731510" cy="3223895"/>
                    </a:xfrm>
                    <a:prstGeom prst="rect">
                      <a:avLst/>
                    </a:prstGeom>
                  </pic:spPr>
                </pic:pic>
              </a:graphicData>
            </a:graphic>
          </wp:inline>
        </w:drawing>
      </w:r>
    </w:p>
    <w:p w14:paraId="0633B786" w14:textId="3D3DE22E" w:rsidR="005602DA" w:rsidRPr="00ED4505" w:rsidRDefault="005602DA">
      <w:pPr>
        <w:rPr>
          <w:u w:val="single"/>
          <w:lang w:eastAsia="en-GB"/>
        </w:rPr>
      </w:pPr>
      <w:r>
        <w:rPr>
          <w:lang w:eastAsia="en-GB"/>
        </w:rPr>
        <w:t>This</w:t>
      </w:r>
      <w:r w:rsidR="005F4089">
        <w:rPr>
          <w:lang w:eastAsia="en-GB"/>
        </w:rPr>
        <w:t xml:space="preserve"> booster report</w:t>
      </w:r>
      <w:r>
        <w:rPr>
          <w:lang w:eastAsia="en-GB"/>
        </w:rPr>
        <w:t xml:space="preserve"> also mentions </w:t>
      </w:r>
      <w:r w:rsidR="005F4089">
        <w:rPr>
          <w:lang w:eastAsia="en-GB"/>
        </w:rPr>
        <w:t>a</w:t>
      </w:r>
      <w:r>
        <w:rPr>
          <w:lang w:eastAsia="en-GB"/>
        </w:rPr>
        <w:t xml:space="preserve"> myocardial infarction deemed not to be</w:t>
      </w:r>
      <w:r w:rsidR="00ED4505">
        <w:rPr>
          <w:lang w:eastAsia="en-GB"/>
        </w:rPr>
        <w:t xml:space="preserve"> product</w:t>
      </w:r>
      <w:r>
        <w:rPr>
          <w:lang w:eastAsia="en-GB"/>
        </w:rPr>
        <w:t xml:space="preserve"> related. </w:t>
      </w:r>
      <w:r w:rsidR="00A85686">
        <w:rPr>
          <w:lang w:eastAsia="en-GB"/>
        </w:rPr>
        <w:t>Furthermore</w:t>
      </w:r>
      <w:r w:rsidR="005F4089">
        <w:rPr>
          <w:lang w:eastAsia="en-GB"/>
        </w:rPr>
        <w:t xml:space="preserve">, </w:t>
      </w:r>
      <w:r w:rsidR="00ED4505">
        <w:rPr>
          <w:lang w:eastAsia="en-GB"/>
        </w:rPr>
        <w:t>t</w:t>
      </w:r>
      <w:r w:rsidR="00726303">
        <w:rPr>
          <w:lang w:eastAsia="en-GB"/>
        </w:rPr>
        <w:t xml:space="preserve">his booster </w:t>
      </w:r>
      <w:r w:rsidR="00ED4505">
        <w:rPr>
          <w:lang w:eastAsia="en-GB"/>
        </w:rPr>
        <w:t xml:space="preserve">product which </w:t>
      </w:r>
      <w:r w:rsidR="00A74B5C">
        <w:rPr>
          <w:lang w:eastAsia="en-GB"/>
        </w:rPr>
        <w:t xml:space="preserve">is Process 2 “upscale” product - </w:t>
      </w:r>
      <w:r w:rsidR="00726303" w:rsidRPr="00A85686">
        <w:rPr>
          <w:highlight w:val="yellow"/>
          <w:lang w:eastAsia="en-GB"/>
        </w:rPr>
        <w:t xml:space="preserve">was not evaluated for </w:t>
      </w:r>
      <w:r w:rsidR="00726303" w:rsidRPr="00ED4505">
        <w:rPr>
          <w:highlight w:val="yellow"/>
          <w:lang w:eastAsia="en-GB"/>
        </w:rPr>
        <w:t>efficacy as shown on p4</w:t>
      </w:r>
      <w:r w:rsidR="00A74B5C">
        <w:rPr>
          <w:lang w:eastAsia="en-GB"/>
        </w:rPr>
        <w:t xml:space="preserve">. </w:t>
      </w:r>
      <w:r w:rsidR="00ED4505">
        <w:rPr>
          <w:lang w:eastAsia="en-GB"/>
        </w:rPr>
        <w:br/>
      </w:r>
      <w:r w:rsidR="00ED4505">
        <w:rPr>
          <w:lang w:eastAsia="en-GB"/>
        </w:rPr>
        <w:br/>
      </w:r>
      <w:r w:rsidR="00C066E7">
        <w:rPr>
          <w:lang w:eastAsia="en-GB"/>
        </w:rPr>
        <w:t>On</w:t>
      </w:r>
      <w:r w:rsidR="00ED4505">
        <w:rPr>
          <w:lang w:eastAsia="en-GB"/>
        </w:rPr>
        <w:t xml:space="preserve"> page 4</w:t>
      </w:r>
      <w:r w:rsidR="00726303">
        <w:rPr>
          <w:lang w:eastAsia="en-GB"/>
        </w:rPr>
        <w:t xml:space="preserve"> </w:t>
      </w:r>
      <w:r w:rsidR="006372B5">
        <w:rPr>
          <w:lang w:eastAsia="en-GB"/>
        </w:rPr>
        <w:t>the report states that</w:t>
      </w:r>
      <w:r w:rsidR="00726303">
        <w:rPr>
          <w:lang w:eastAsia="en-GB"/>
        </w:rPr>
        <w:t xml:space="preserve"> booster </w:t>
      </w:r>
      <w:r w:rsidR="004F54E7">
        <w:rPr>
          <w:lang w:eastAsia="en-GB"/>
        </w:rPr>
        <w:t xml:space="preserve">Process 2 product type, </w:t>
      </w:r>
      <w:r w:rsidR="00845A29">
        <w:rPr>
          <w:lang w:eastAsia="en-GB"/>
        </w:rPr>
        <w:t>which had now bee</w:t>
      </w:r>
      <w:r w:rsidR="004F54E7">
        <w:rPr>
          <w:lang w:eastAsia="en-GB"/>
        </w:rPr>
        <w:t xml:space="preserve">n in distribution for over 10 months, </w:t>
      </w:r>
      <w:r w:rsidR="00726303">
        <w:rPr>
          <w:lang w:eastAsia="en-GB"/>
        </w:rPr>
        <w:t>was compared with a small group that had</w:t>
      </w:r>
      <w:r w:rsidR="006372B5">
        <w:rPr>
          <w:lang w:eastAsia="en-GB"/>
        </w:rPr>
        <w:t xml:space="preserve"> also with the </w:t>
      </w:r>
      <w:r w:rsidR="009956AD">
        <w:rPr>
          <w:lang w:eastAsia="en-GB"/>
        </w:rPr>
        <w:t>306</w:t>
      </w:r>
      <w:r w:rsidR="00726303">
        <w:rPr>
          <w:lang w:eastAsia="en-GB"/>
        </w:rPr>
        <w:t xml:space="preserve"> received 2 doses of the </w:t>
      </w:r>
      <w:r w:rsidR="00ED4505">
        <w:rPr>
          <w:lang w:eastAsia="en-GB"/>
        </w:rPr>
        <w:t>“</w:t>
      </w:r>
      <w:r w:rsidR="00726303" w:rsidRPr="00ED4505">
        <w:rPr>
          <w:u w:val="single"/>
          <w:lang w:eastAsia="en-GB"/>
        </w:rPr>
        <w:t>prototype</w:t>
      </w:r>
      <w:r w:rsidR="00ED4505">
        <w:rPr>
          <w:u w:val="single"/>
          <w:lang w:eastAsia="en-GB"/>
        </w:rPr>
        <w:t xml:space="preserve">” - </w:t>
      </w:r>
      <w:r w:rsidR="00A74B5C">
        <w:rPr>
          <w:lang w:eastAsia="en-GB"/>
        </w:rPr>
        <w:t xml:space="preserve"> Process 1</w:t>
      </w:r>
      <w:r w:rsidR="00ED4505">
        <w:rPr>
          <w:lang w:eastAsia="en-GB"/>
        </w:rPr>
        <w:t xml:space="preserve"> - </w:t>
      </w:r>
      <w:r w:rsidR="001C6C55">
        <w:rPr>
          <w:lang w:eastAsia="en-GB"/>
        </w:rPr>
        <w:t>but</w:t>
      </w:r>
      <w:r w:rsidR="00A74B5C">
        <w:rPr>
          <w:lang w:eastAsia="en-GB"/>
        </w:rPr>
        <w:t xml:space="preserve"> </w:t>
      </w:r>
      <w:r w:rsidR="00A74B5C" w:rsidRPr="00ED4505">
        <w:rPr>
          <w:u w:val="single"/>
          <w:lang w:eastAsia="en-GB"/>
        </w:rPr>
        <w:t xml:space="preserve">then received a </w:t>
      </w:r>
      <w:r w:rsidR="001C6C55">
        <w:rPr>
          <w:u w:val="single"/>
          <w:lang w:eastAsia="en-GB"/>
        </w:rPr>
        <w:t>third</w:t>
      </w:r>
      <w:r w:rsidR="00A74B5C" w:rsidRPr="00ED4505">
        <w:rPr>
          <w:u w:val="single"/>
          <w:lang w:eastAsia="en-GB"/>
        </w:rPr>
        <w:t xml:space="preserve"> booster dose of the same Process 1 “prototype”</w:t>
      </w:r>
      <w:r w:rsidR="001C6C55">
        <w:rPr>
          <w:u w:val="single"/>
          <w:lang w:eastAsia="en-GB"/>
        </w:rPr>
        <w:t xml:space="preserve"> not the upscale Process 2</w:t>
      </w:r>
      <w:r w:rsidR="00A74B5C" w:rsidRPr="00ED4505">
        <w:rPr>
          <w:u w:val="single"/>
          <w:lang w:eastAsia="en-GB"/>
        </w:rPr>
        <w:t>.</w:t>
      </w:r>
    </w:p>
    <w:p w14:paraId="1EA0FD14" w14:textId="34EC8535" w:rsidR="00726303" w:rsidRDefault="00726303">
      <w:pPr>
        <w:rPr>
          <w:lang w:eastAsia="en-GB"/>
        </w:rPr>
      </w:pPr>
      <w:r>
        <w:rPr>
          <w:noProof/>
        </w:rPr>
        <w:drawing>
          <wp:inline distT="0" distB="0" distL="0" distR="0" wp14:anchorId="70BF21A3" wp14:editId="3071B70E">
            <wp:extent cx="5731510" cy="3223895"/>
            <wp:effectExtent l="0" t="0" r="2540" b="0"/>
            <wp:docPr id="184310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03350" name=""/>
                    <pic:cNvPicPr/>
                  </pic:nvPicPr>
                  <pic:blipFill>
                    <a:blip r:embed="rId13"/>
                    <a:stretch>
                      <a:fillRect/>
                    </a:stretch>
                  </pic:blipFill>
                  <pic:spPr>
                    <a:xfrm>
                      <a:off x="0" y="0"/>
                      <a:ext cx="5731510" cy="3223895"/>
                    </a:xfrm>
                    <a:prstGeom prst="rect">
                      <a:avLst/>
                    </a:prstGeom>
                  </pic:spPr>
                </pic:pic>
              </a:graphicData>
            </a:graphic>
          </wp:inline>
        </w:drawing>
      </w:r>
    </w:p>
    <w:p w14:paraId="6FBA8B35" w14:textId="2FAE2CA2" w:rsidR="00726303" w:rsidRDefault="00726303">
      <w:pPr>
        <w:rPr>
          <w:lang w:eastAsia="en-GB"/>
        </w:rPr>
      </w:pPr>
      <w:r>
        <w:rPr>
          <w:lang w:eastAsia="en-GB"/>
        </w:rPr>
        <w:lastRenderedPageBreak/>
        <w:t>The E</w:t>
      </w:r>
      <w:r w:rsidR="00A74B5C">
        <w:rPr>
          <w:lang w:eastAsia="en-GB"/>
        </w:rPr>
        <w:t xml:space="preserve">uropean </w:t>
      </w:r>
      <w:r>
        <w:rPr>
          <w:lang w:eastAsia="en-GB"/>
        </w:rPr>
        <w:t>M</w:t>
      </w:r>
      <w:r w:rsidR="00A74B5C">
        <w:rPr>
          <w:lang w:eastAsia="en-GB"/>
        </w:rPr>
        <w:t xml:space="preserve">edical </w:t>
      </w:r>
      <w:r>
        <w:rPr>
          <w:lang w:eastAsia="en-GB"/>
        </w:rPr>
        <w:t>A</w:t>
      </w:r>
      <w:r w:rsidR="00A74B5C">
        <w:rPr>
          <w:lang w:eastAsia="en-GB"/>
        </w:rPr>
        <w:t>gency Comirnaty Booster Variation</w:t>
      </w:r>
      <w:r>
        <w:rPr>
          <w:lang w:eastAsia="en-GB"/>
        </w:rPr>
        <w:t xml:space="preserve"> lists the </w:t>
      </w:r>
      <w:r w:rsidR="009B2021">
        <w:rPr>
          <w:lang w:eastAsia="en-GB"/>
        </w:rPr>
        <w:t xml:space="preserve">three </w:t>
      </w:r>
      <w:r>
        <w:rPr>
          <w:lang w:eastAsia="en-GB"/>
        </w:rPr>
        <w:t xml:space="preserve">batches used for the Booster trial and they are all </w:t>
      </w:r>
      <w:r w:rsidR="009B2021">
        <w:rPr>
          <w:lang w:eastAsia="en-GB"/>
        </w:rPr>
        <w:t>P</w:t>
      </w:r>
      <w:r>
        <w:rPr>
          <w:lang w:eastAsia="en-GB"/>
        </w:rPr>
        <w:t>rocess 2 Batches</w:t>
      </w:r>
      <w:r w:rsidR="00ED4505">
        <w:rPr>
          <w:lang w:eastAsia="en-GB"/>
        </w:rPr>
        <w:br/>
      </w:r>
      <w:r w:rsidRPr="00726303">
        <w:rPr>
          <w:i/>
          <w:iCs/>
          <w:sz w:val="20"/>
          <w:szCs w:val="20"/>
          <w:lang w:eastAsia="en-GB"/>
        </w:rPr>
        <w:t xml:space="preserve">EMA/497785/2021 Committee for Medicinal Products for Human Use (CHMP) Assessment report COMIRNATY Common </w:t>
      </w:r>
      <w:r w:rsidR="00ED4505">
        <w:rPr>
          <w:i/>
          <w:iCs/>
          <w:sz w:val="20"/>
          <w:szCs w:val="20"/>
          <w:lang w:eastAsia="en-GB"/>
        </w:rPr>
        <w:t>N</w:t>
      </w:r>
      <w:r w:rsidRPr="00726303">
        <w:rPr>
          <w:i/>
          <w:iCs/>
          <w:sz w:val="20"/>
          <w:szCs w:val="20"/>
          <w:lang w:eastAsia="en-GB"/>
        </w:rPr>
        <w:t>ame: COVID-19 mRNA vaccine (nucleoside-modified) Procedure No. EMEA/H/C/005735/II/0067 Marketing authorisation holder (MAH): BioNTech Manufacturing GmbH</w:t>
      </w:r>
      <w:r>
        <w:rPr>
          <w:lang w:eastAsia="en-GB"/>
        </w:rPr>
        <w:t xml:space="preserve"> </w:t>
      </w:r>
      <w:r>
        <w:rPr>
          <w:rStyle w:val="FootnoteReference"/>
          <w:lang w:eastAsia="en-GB"/>
        </w:rPr>
        <w:footnoteReference w:id="9"/>
      </w:r>
    </w:p>
    <w:p w14:paraId="723F1CDA" w14:textId="7C02306B" w:rsidR="00726303" w:rsidRDefault="009B2021">
      <w:pPr>
        <w:rPr>
          <w:lang w:eastAsia="en-GB"/>
        </w:rPr>
      </w:pPr>
      <w:r w:rsidRPr="009B2021">
        <w:rPr>
          <w:sz w:val="18"/>
          <w:szCs w:val="18"/>
          <w:lang w:eastAsia="en-GB"/>
        </w:rPr>
        <w:t>P27 of the EMA report</w:t>
      </w:r>
      <w:r w:rsidR="00726303">
        <w:rPr>
          <w:noProof/>
        </w:rPr>
        <w:drawing>
          <wp:inline distT="0" distB="0" distL="0" distR="0" wp14:anchorId="731A6BD8" wp14:editId="01727226">
            <wp:extent cx="5731510" cy="3223895"/>
            <wp:effectExtent l="0" t="0" r="2540" b="0"/>
            <wp:docPr id="712138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38744" name="Picture 1" descr="A screenshot of a computer&#10;&#10;AI-generated content may be incorrect."/>
                    <pic:cNvPicPr/>
                  </pic:nvPicPr>
                  <pic:blipFill>
                    <a:blip r:embed="rId14"/>
                    <a:stretch>
                      <a:fillRect/>
                    </a:stretch>
                  </pic:blipFill>
                  <pic:spPr>
                    <a:xfrm>
                      <a:off x="0" y="0"/>
                      <a:ext cx="5731510" cy="3223895"/>
                    </a:xfrm>
                    <a:prstGeom prst="rect">
                      <a:avLst/>
                    </a:prstGeom>
                  </pic:spPr>
                </pic:pic>
              </a:graphicData>
            </a:graphic>
          </wp:inline>
        </w:drawing>
      </w:r>
      <w:r w:rsidR="00726303">
        <w:rPr>
          <w:lang w:eastAsia="en-GB"/>
        </w:rPr>
        <w:t xml:space="preserve">All </w:t>
      </w:r>
      <w:r w:rsidR="00ED4505">
        <w:rPr>
          <w:lang w:eastAsia="en-GB"/>
        </w:rPr>
        <w:t xml:space="preserve">These </w:t>
      </w:r>
      <w:r w:rsidR="00726303">
        <w:rPr>
          <w:lang w:eastAsia="en-GB"/>
        </w:rPr>
        <w:t>three batches EJ0553, EE8593 and E</w:t>
      </w:r>
      <w:r w:rsidR="00944EA2">
        <w:rPr>
          <w:lang w:eastAsia="en-GB"/>
        </w:rPr>
        <w:t>R</w:t>
      </w:r>
      <w:r w:rsidR="00726303">
        <w:rPr>
          <w:lang w:eastAsia="en-GB"/>
        </w:rPr>
        <w:t xml:space="preserve">9449 were authorized </w:t>
      </w:r>
      <w:r w:rsidR="00944EA2">
        <w:rPr>
          <w:lang w:eastAsia="en-GB"/>
        </w:rPr>
        <w:t>by UK</w:t>
      </w:r>
      <w:r w:rsidR="00726303">
        <w:rPr>
          <w:lang w:eastAsia="en-GB"/>
        </w:rPr>
        <w:t xml:space="preserve"> MHRA </w:t>
      </w:r>
      <w:r w:rsidR="00944EA2">
        <w:rPr>
          <w:lang w:eastAsia="en-GB"/>
        </w:rPr>
        <w:t>R</w:t>
      </w:r>
      <w:r w:rsidR="00726303">
        <w:rPr>
          <w:lang w:eastAsia="en-GB"/>
        </w:rPr>
        <w:t>egulator; EJ0553 was the first ever batch authorized in the world on 2</w:t>
      </w:r>
      <w:r w:rsidR="00726303" w:rsidRPr="00726303">
        <w:rPr>
          <w:vertAlign w:val="superscript"/>
          <w:lang w:eastAsia="en-GB"/>
        </w:rPr>
        <w:t>nd</w:t>
      </w:r>
      <w:r w:rsidR="00726303">
        <w:rPr>
          <w:lang w:eastAsia="en-GB"/>
        </w:rPr>
        <w:t xml:space="preserve"> December 2020</w:t>
      </w:r>
      <w:r w:rsidR="00726303">
        <w:rPr>
          <w:rStyle w:val="FootnoteReference"/>
          <w:lang w:eastAsia="en-GB"/>
        </w:rPr>
        <w:footnoteReference w:id="10"/>
      </w:r>
    </w:p>
    <w:p w14:paraId="6DE17D51" w14:textId="3400019E" w:rsidR="00726303" w:rsidRDefault="00726303">
      <w:pPr>
        <w:rPr>
          <w:lang w:eastAsia="en-GB"/>
        </w:rPr>
      </w:pPr>
      <w:r>
        <w:rPr>
          <w:lang w:eastAsia="en-GB"/>
        </w:rPr>
        <w:t xml:space="preserve">EJ0553 and </w:t>
      </w:r>
      <w:r w:rsidR="00C263E5">
        <w:rPr>
          <w:lang w:eastAsia="en-GB"/>
        </w:rPr>
        <w:t>EE8493</w:t>
      </w:r>
      <w:r w:rsidR="00ED4505">
        <w:rPr>
          <w:lang w:eastAsia="en-GB"/>
        </w:rPr>
        <w:t xml:space="preserve"> drug substance</w:t>
      </w:r>
      <w:r w:rsidR="00C263E5">
        <w:rPr>
          <w:lang w:eastAsia="en-GB"/>
        </w:rPr>
        <w:t xml:space="preserve"> </w:t>
      </w:r>
      <w:r w:rsidR="00AD2533">
        <w:rPr>
          <w:lang w:eastAsia="en-GB"/>
        </w:rPr>
        <w:t>was cultured</w:t>
      </w:r>
      <w:r w:rsidR="00C263E5">
        <w:rPr>
          <w:lang w:eastAsia="en-GB"/>
        </w:rPr>
        <w:t xml:space="preserve"> in Andover, Mass. </w:t>
      </w:r>
      <w:r w:rsidR="00ED4505">
        <w:rPr>
          <w:lang w:eastAsia="en-GB"/>
        </w:rPr>
        <w:t>T</w:t>
      </w:r>
      <w:r w:rsidR="00C263E5">
        <w:rPr>
          <w:lang w:eastAsia="en-GB"/>
        </w:rPr>
        <w:t>he</w:t>
      </w:r>
      <w:r w:rsidR="00AD2533">
        <w:rPr>
          <w:lang w:eastAsia="en-GB"/>
        </w:rPr>
        <w:t xml:space="preserve"> batches</w:t>
      </w:r>
      <w:r w:rsidR="00C263E5">
        <w:rPr>
          <w:lang w:eastAsia="en-GB"/>
        </w:rPr>
        <w:t xml:space="preserve"> are representative of the </w:t>
      </w:r>
      <w:r w:rsidR="00AD2533">
        <w:rPr>
          <w:lang w:eastAsia="en-GB"/>
        </w:rPr>
        <w:t xml:space="preserve">commercial </w:t>
      </w:r>
      <w:r w:rsidR="00C263E5">
        <w:rPr>
          <w:lang w:eastAsia="en-GB"/>
        </w:rPr>
        <w:t>product deployed in the USA</w:t>
      </w:r>
      <w:r w:rsidR="00AD2533">
        <w:rPr>
          <w:lang w:eastAsia="en-GB"/>
        </w:rPr>
        <w:t xml:space="preserve"> under EUA</w:t>
      </w:r>
      <w:r w:rsidR="00C263E5">
        <w:rPr>
          <w:lang w:eastAsia="en-GB"/>
        </w:rPr>
        <w:t>.</w:t>
      </w:r>
      <w:r w:rsidR="009B2021">
        <w:rPr>
          <w:lang w:eastAsia="en-GB"/>
        </w:rPr>
        <w:t xml:space="preserve"> </w:t>
      </w:r>
      <w:r w:rsidR="009B2021" w:rsidRPr="009B2021">
        <w:rPr>
          <w:highlight w:val="yellow"/>
          <w:lang w:eastAsia="en-GB"/>
        </w:rPr>
        <w:t xml:space="preserve">The 5.2% </w:t>
      </w:r>
      <w:r w:rsidR="00C263E5" w:rsidRPr="009B2021">
        <w:rPr>
          <w:highlight w:val="yellow"/>
          <w:lang w:eastAsia="en-GB"/>
        </w:rPr>
        <w:t xml:space="preserve"> Lymphadenopathy reactogenicity</w:t>
      </w:r>
      <w:r w:rsidR="009B2021" w:rsidRPr="009B2021">
        <w:rPr>
          <w:highlight w:val="yellow"/>
          <w:lang w:eastAsia="en-GB"/>
        </w:rPr>
        <w:t xml:space="preserve"> rate</w:t>
      </w:r>
      <w:r w:rsidR="00C263E5" w:rsidRPr="009B2021">
        <w:rPr>
          <w:highlight w:val="yellow"/>
          <w:lang w:eastAsia="en-GB"/>
        </w:rPr>
        <w:t xml:space="preserve"> derives therefore from the first dose</w:t>
      </w:r>
      <w:r w:rsidR="009B2021" w:rsidRPr="009B2021">
        <w:rPr>
          <w:highlight w:val="yellow"/>
          <w:lang w:eastAsia="en-GB"/>
        </w:rPr>
        <w:t xml:space="preserve"> of upscale /commercial product</w:t>
      </w:r>
      <w:r w:rsidR="00C263E5" w:rsidRPr="009B2021">
        <w:rPr>
          <w:highlight w:val="yellow"/>
          <w:lang w:eastAsia="en-GB"/>
        </w:rPr>
        <w:t xml:space="preserve"> not the third dose, as misleadingly set out in the Booster report</w:t>
      </w:r>
      <w:r w:rsidR="00C263E5">
        <w:rPr>
          <w:lang w:eastAsia="en-GB"/>
        </w:rPr>
        <w:t xml:space="preserve">. </w:t>
      </w:r>
    </w:p>
    <w:p w14:paraId="386AD9F3" w14:textId="5182D3AD" w:rsidR="00C263E5" w:rsidRDefault="00C263E5">
      <w:pPr>
        <w:rPr>
          <w:lang w:eastAsia="en-GB"/>
        </w:rPr>
      </w:pPr>
      <w:r>
        <w:rPr>
          <w:lang w:eastAsia="en-GB"/>
        </w:rPr>
        <w:t>If th</w:t>
      </w:r>
      <w:r w:rsidR="001C6C55">
        <w:rPr>
          <w:lang w:eastAsia="en-GB"/>
        </w:rPr>
        <w:t>is</w:t>
      </w:r>
      <w:r>
        <w:rPr>
          <w:lang w:eastAsia="en-GB"/>
        </w:rPr>
        <w:t xml:space="preserve"> same </w:t>
      </w:r>
      <w:r w:rsidR="001C6C55">
        <w:rPr>
          <w:lang w:eastAsia="en-GB"/>
        </w:rPr>
        <w:t xml:space="preserve">higher </w:t>
      </w:r>
      <w:r>
        <w:rPr>
          <w:lang w:eastAsia="en-GB"/>
        </w:rPr>
        <w:t>rate</w:t>
      </w:r>
      <w:r w:rsidR="001C6C55">
        <w:rPr>
          <w:lang w:eastAsia="en-GB"/>
        </w:rPr>
        <w:t xml:space="preserve"> 5.2%</w:t>
      </w:r>
      <w:r>
        <w:rPr>
          <w:lang w:eastAsia="en-GB"/>
        </w:rPr>
        <w:t xml:space="preserve"> had applied to the</w:t>
      </w:r>
      <w:r w:rsidR="00AD2533">
        <w:rPr>
          <w:lang w:eastAsia="en-GB"/>
        </w:rPr>
        <w:t xml:space="preserve"> prototype product used in</w:t>
      </w:r>
      <w:r>
        <w:rPr>
          <w:lang w:eastAsia="en-GB"/>
        </w:rPr>
        <w:t xml:space="preserve"> pivotal trial C4591001 doses 1 and 2 , there would have been</w:t>
      </w:r>
      <w:r w:rsidR="00516AE3">
        <w:rPr>
          <w:lang w:eastAsia="en-GB"/>
        </w:rPr>
        <w:t xml:space="preserve"> between </w:t>
      </w:r>
      <w:r w:rsidR="0094686B">
        <w:rPr>
          <w:lang w:eastAsia="en-GB"/>
        </w:rPr>
        <w:t xml:space="preserve">1021 and </w:t>
      </w:r>
      <w:r>
        <w:rPr>
          <w:lang w:eastAsia="en-GB"/>
        </w:rPr>
        <w:t xml:space="preserve"> </w:t>
      </w:r>
      <w:r w:rsidR="0094686B">
        <w:rPr>
          <w:lang w:eastAsia="en-GB"/>
        </w:rPr>
        <w:t>(</w:t>
      </w:r>
      <w:r>
        <w:rPr>
          <w:lang w:eastAsia="en-GB"/>
        </w:rPr>
        <w:t>63 x 17</w:t>
      </w:r>
      <w:r w:rsidR="0094686B">
        <w:rPr>
          <w:lang w:eastAsia="en-GB"/>
        </w:rPr>
        <w:t>)</w:t>
      </w:r>
      <w:r>
        <w:rPr>
          <w:lang w:eastAsia="en-GB"/>
        </w:rPr>
        <w:t xml:space="preserve"> =1071 lymphadenopathy reactions</w:t>
      </w:r>
      <w:r w:rsidR="009B2021">
        <w:rPr>
          <w:lang w:eastAsia="en-GB"/>
        </w:rPr>
        <w:t xml:space="preserve"> in the vaccine cohort, </w:t>
      </w:r>
      <w:r>
        <w:rPr>
          <w:lang w:eastAsia="en-GB"/>
        </w:rPr>
        <w:t xml:space="preserve"> and the trial would have had to be halted.</w:t>
      </w:r>
    </w:p>
    <w:p w14:paraId="6A134C2A" w14:textId="3AD27D0E" w:rsidR="00623B07" w:rsidRPr="00623B07" w:rsidRDefault="00C263E5" w:rsidP="00623B07">
      <w:r>
        <w:rPr>
          <w:lang w:eastAsia="en-GB"/>
        </w:rPr>
        <w:t>There is a plausible reason for this</w:t>
      </w:r>
      <w:r w:rsidR="009B2021">
        <w:rPr>
          <w:lang w:eastAsia="en-GB"/>
        </w:rPr>
        <w:t xml:space="preserve"> increased reactogenicity</w:t>
      </w:r>
      <w:r>
        <w:rPr>
          <w:lang w:eastAsia="en-GB"/>
        </w:rPr>
        <w:t xml:space="preserve"> – endotoxin. The P2 type was manufactured in Escherichia coli</w:t>
      </w:r>
      <w:r w:rsidR="00E604FB">
        <w:rPr>
          <w:lang w:eastAsia="en-GB"/>
        </w:rPr>
        <w:t xml:space="preserve"> </w:t>
      </w:r>
      <w:r w:rsidR="007F081E">
        <w:rPr>
          <w:lang w:eastAsia="en-GB"/>
        </w:rPr>
        <w:t xml:space="preserve">as described in the UK Public Assessment </w:t>
      </w:r>
      <w:r w:rsidR="00A040F4">
        <w:rPr>
          <w:lang w:eastAsia="en-GB"/>
        </w:rPr>
        <w:t>R</w:t>
      </w:r>
      <w:r w:rsidR="007F081E">
        <w:rPr>
          <w:lang w:eastAsia="en-GB"/>
        </w:rPr>
        <w:t>eport</w:t>
      </w:r>
      <w:r w:rsidR="00E604FB">
        <w:rPr>
          <w:lang w:eastAsia="en-GB"/>
        </w:rPr>
        <w:t xml:space="preserve"> </w:t>
      </w:r>
      <w:r w:rsidR="00E604FB">
        <w:rPr>
          <w:rStyle w:val="FootnoteReference"/>
          <w:lang w:eastAsia="en-GB"/>
        </w:rPr>
        <w:footnoteReference w:id="11"/>
      </w:r>
      <w:r w:rsidR="009B2021">
        <w:rPr>
          <w:lang w:eastAsia="en-GB"/>
        </w:rPr>
        <w:t xml:space="preserve">. </w:t>
      </w:r>
      <w:r w:rsidR="00A040F4">
        <w:rPr>
          <w:lang w:eastAsia="en-GB"/>
        </w:rPr>
        <w:br/>
      </w:r>
      <w:r w:rsidR="0071469F">
        <w:rPr>
          <w:rFonts w:cstheme="minorHAnsi"/>
          <w:i/>
          <w:iCs/>
          <w:color w:val="0B0C0C"/>
          <w:sz w:val="20"/>
          <w:szCs w:val="20"/>
          <w:shd w:val="clear" w:color="auto" w:fill="FFFFFF"/>
        </w:rPr>
        <w:t>“</w:t>
      </w:r>
      <w:r w:rsidR="0071469F" w:rsidRPr="0071469F">
        <w:rPr>
          <w:rFonts w:cstheme="minorHAnsi"/>
          <w:i/>
          <w:iCs/>
          <w:color w:val="0B0C0C"/>
          <w:sz w:val="20"/>
          <w:szCs w:val="20"/>
          <w:shd w:val="clear" w:color="auto" w:fill="FFFFFF"/>
        </w:rPr>
        <w:t>The DNA template from which the RNA is transcribed is critical for the fidelity of the </w:t>
      </w:r>
      <w:r w:rsidR="0071469F" w:rsidRPr="0071469F">
        <w:rPr>
          <w:rFonts w:cstheme="minorHAnsi"/>
          <w:i/>
          <w:iCs/>
          <w:sz w:val="20"/>
          <w:szCs w:val="20"/>
        </w:rPr>
        <w:t>mRNA</w:t>
      </w:r>
      <w:r w:rsidR="0071469F" w:rsidRPr="0071469F">
        <w:rPr>
          <w:rFonts w:cstheme="minorHAnsi"/>
          <w:i/>
          <w:iCs/>
          <w:color w:val="0B0C0C"/>
          <w:sz w:val="20"/>
          <w:szCs w:val="20"/>
          <w:shd w:val="clear" w:color="auto" w:fill="FFFFFF"/>
        </w:rPr>
        <w:t>. The manufacture of the DNA template has been described. It is manufactured through fermentation in an established and well-controlled Escherichia coli cell line, extracted and purified.</w:t>
      </w:r>
      <w:r w:rsidR="0071469F">
        <w:rPr>
          <w:rFonts w:cstheme="minorHAnsi"/>
          <w:i/>
          <w:iCs/>
          <w:color w:val="0B0C0C"/>
          <w:sz w:val="20"/>
          <w:szCs w:val="20"/>
          <w:shd w:val="clear" w:color="auto" w:fill="FFFFFF"/>
        </w:rPr>
        <w:t>”</w:t>
      </w:r>
      <w:r w:rsidR="0071469F">
        <w:rPr>
          <w:rFonts w:cstheme="minorHAnsi"/>
          <w:i/>
          <w:iCs/>
          <w:color w:val="0B0C0C"/>
          <w:sz w:val="20"/>
          <w:szCs w:val="20"/>
          <w:shd w:val="clear" w:color="auto" w:fill="FFFFFF"/>
        </w:rPr>
        <w:br/>
      </w:r>
      <w:r w:rsidR="00A040F4">
        <w:rPr>
          <w:lang w:eastAsia="en-GB"/>
        </w:rPr>
        <w:br/>
      </w:r>
      <w:r w:rsidR="009B2021">
        <w:rPr>
          <w:lang w:eastAsia="en-GB"/>
        </w:rPr>
        <w:t>T</w:t>
      </w:r>
      <w:r>
        <w:rPr>
          <w:lang w:eastAsia="en-GB"/>
        </w:rPr>
        <w:t>he problems of cleaning and filtering</w:t>
      </w:r>
      <w:r w:rsidR="0094686B" w:rsidRPr="0094686B">
        <w:rPr>
          <w:lang w:eastAsia="en-GB"/>
        </w:rPr>
        <w:t xml:space="preserve"> </w:t>
      </w:r>
      <w:r w:rsidR="0094686B">
        <w:rPr>
          <w:lang w:eastAsia="en-GB"/>
        </w:rPr>
        <w:t>active substance for</w:t>
      </w:r>
      <w:r>
        <w:rPr>
          <w:lang w:eastAsia="en-GB"/>
        </w:rPr>
        <w:t xml:space="preserve"> endotoxins are</w:t>
      </w:r>
      <w:r w:rsidR="009B2021">
        <w:rPr>
          <w:lang w:eastAsia="en-GB"/>
        </w:rPr>
        <w:t xml:space="preserve"> long recognised and</w:t>
      </w:r>
      <w:r>
        <w:rPr>
          <w:lang w:eastAsia="en-GB"/>
        </w:rPr>
        <w:t xml:space="preserve"> w</w:t>
      </w:r>
      <w:r w:rsidR="0094686B">
        <w:rPr>
          <w:lang w:eastAsia="en-GB"/>
        </w:rPr>
        <w:t xml:space="preserve">ell </w:t>
      </w:r>
      <w:r w:rsidRPr="00623B07">
        <w:rPr>
          <w:lang w:eastAsia="en-GB"/>
        </w:rPr>
        <w:t>kno</w:t>
      </w:r>
      <w:r w:rsidR="0094686B">
        <w:rPr>
          <w:lang w:eastAsia="en-GB"/>
        </w:rPr>
        <w:t>wn-</w:t>
      </w:r>
    </w:p>
    <w:p w14:paraId="3AD1CD3F" w14:textId="476CFA7E" w:rsidR="00C263E5" w:rsidRPr="0094686B" w:rsidRDefault="00623B07">
      <w:pPr>
        <w:rPr>
          <w:i/>
          <w:iCs/>
          <w:sz w:val="20"/>
          <w:szCs w:val="20"/>
          <w:lang w:eastAsia="en-GB"/>
        </w:rPr>
      </w:pPr>
      <w:r w:rsidRPr="0094686B">
        <w:rPr>
          <w:i/>
          <w:iCs/>
          <w:sz w:val="20"/>
          <w:szCs w:val="20"/>
        </w:rPr>
        <w:lastRenderedPageBreak/>
        <w:t xml:space="preserve"> </w:t>
      </w:r>
      <w:r w:rsidRPr="00823268">
        <w:rPr>
          <w:i/>
          <w:iCs/>
          <w:sz w:val="20"/>
          <w:szCs w:val="20"/>
          <w:highlight w:val="yellow"/>
          <w:lang w:eastAsia="en-GB"/>
        </w:rPr>
        <w:t>DEPT. OF HEALTH, EDUCATION, AND WELFARE PUBLIC HEALTH SERVICE</w:t>
      </w:r>
      <w:r w:rsidR="009B2021" w:rsidRPr="00823268">
        <w:rPr>
          <w:i/>
          <w:iCs/>
          <w:sz w:val="20"/>
          <w:szCs w:val="20"/>
          <w:highlight w:val="yellow"/>
          <w:lang w:eastAsia="en-GB"/>
        </w:rPr>
        <w:t xml:space="preserve"> </w:t>
      </w:r>
      <w:r w:rsidRPr="00823268">
        <w:rPr>
          <w:i/>
          <w:iCs/>
          <w:sz w:val="20"/>
          <w:szCs w:val="20"/>
          <w:highlight w:val="yellow"/>
          <w:lang w:eastAsia="en-GB"/>
        </w:rPr>
        <w:t>FOOD AND DRUG ADMINISTRATION *ORA/ORO/DEIO/IB*Date: 3/20/85 Number: 40</w:t>
      </w:r>
      <w:r w:rsidR="009B2021" w:rsidRPr="00823268">
        <w:rPr>
          <w:i/>
          <w:iCs/>
          <w:sz w:val="20"/>
          <w:szCs w:val="20"/>
          <w:highlight w:val="yellow"/>
          <w:lang w:eastAsia="en-GB"/>
        </w:rPr>
        <w:t xml:space="preserve"> </w:t>
      </w:r>
      <w:r w:rsidRPr="00823268">
        <w:rPr>
          <w:i/>
          <w:iCs/>
          <w:sz w:val="20"/>
          <w:szCs w:val="20"/>
          <w:highlight w:val="yellow"/>
          <w:lang w:eastAsia="en-GB"/>
        </w:rPr>
        <w:t>Related Program Areas: Drugs and Devices</w:t>
      </w:r>
      <w:r w:rsidR="009B2021" w:rsidRPr="00823268">
        <w:rPr>
          <w:i/>
          <w:iCs/>
          <w:sz w:val="20"/>
          <w:szCs w:val="20"/>
          <w:highlight w:val="yellow"/>
          <w:lang w:eastAsia="en-GB"/>
        </w:rPr>
        <w:br/>
      </w:r>
      <w:r w:rsidRPr="00823268">
        <w:rPr>
          <w:i/>
          <w:iCs/>
          <w:sz w:val="20"/>
          <w:szCs w:val="20"/>
          <w:highlight w:val="yellow"/>
          <w:lang w:eastAsia="en-GB"/>
        </w:rPr>
        <w:t xml:space="preserve">ITG SUBJECT: BACTERIAL ENDOTOXINS/PYROGENS </w:t>
      </w:r>
      <w:r w:rsidRPr="00823268">
        <w:rPr>
          <w:rStyle w:val="FootnoteReference"/>
          <w:i/>
          <w:iCs/>
          <w:sz w:val="20"/>
          <w:szCs w:val="20"/>
          <w:highlight w:val="yellow"/>
          <w:lang w:eastAsia="en-GB"/>
        </w:rPr>
        <w:footnoteReference w:id="12"/>
      </w:r>
    </w:p>
    <w:p w14:paraId="6EE92848" w14:textId="11291175" w:rsidR="00623B07" w:rsidRDefault="00835165">
      <w:pPr>
        <w:rPr>
          <w:b/>
          <w:bCs/>
          <w:u w:val="single"/>
          <w:lang w:eastAsia="en-GB"/>
        </w:rPr>
      </w:pPr>
      <w:r>
        <w:rPr>
          <w:b/>
          <w:bCs/>
          <w:u w:val="single"/>
          <w:lang w:eastAsia="en-GB"/>
        </w:rPr>
        <w:t xml:space="preserve">SECOND MISCALCULATION – </w:t>
      </w:r>
      <w:r w:rsidR="00623B07" w:rsidRPr="00623B07">
        <w:rPr>
          <w:b/>
          <w:bCs/>
          <w:u w:val="single"/>
          <w:lang w:eastAsia="en-GB"/>
        </w:rPr>
        <w:t>BIODISTRIBUTION</w:t>
      </w:r>
    </w:p>
    <w:p w14:paraId="0F5D190C" w14:textId="1B25F6FA" w:rsidR="000A0CB5" w:rsidRDefault="00835165">
      <w:pPr>
        <w:rPr>
          <w:lang w:eastAsia="en-GB"/>
        </w:rPr>
      </w:pPr>
      <w:r>
        <w:rPr>
          <w:lang w:eastAsia="en-GB"/>
        </w:rPr>
        <w:t>The Aus</w:t>
      </w:r>
      <w:r w:rsidR="003A2DE3">
        <w:rPr>
          <w:lang w:eastAsia="en-GB"/>
        </w:rPr>
        <w:t>tralian</w:t>
      </w:r>
      <w:r>
        <w:rPr>
          <w:lang w:eastAsia="en-GB"/>
        </w:rPr>
        <w:t xml:space="preserve"> Therapeutic Goods Agency</w:t>
      </w:r>
      <w:r w:rsidR="003A2DE3">
        <w:rPr>
          <w:lang w:eastAsia="en-GB"/>
        </w:rPr>
        <w:t xml:space="preserve"> published a report in which Pfizer set out a table of </w:t>
      </w:r>
      <w:r w:rsidR="0055722C">
        <w:rPr>
          <w:lang w:eastAsia="en-GB"/>
        </w:rPr>
        <w:t>LNP bodily distribution</w:t>
      </w:r>
      <w:r w:rsidR="00B93AA7">
        <w:rPr>
          <w:lang w:eastAsia="en-GB"/>
        </w:rPr>
        <w:t xml:space="preserve"> in rats</w:t>
      </w:r>
      <w:r w:rsidR="0055722C">
        <w:rPr>
          <w:lang w:eastAsia="en-GB"/>
        </w:rPr>
        <w:t xml:space="preserve"> after </w:t>
      </w:r>
      <w:r w:rsidR="00DA5155">
        <w:rPr>
          <w:lang w:eastAsia="en-GB"/>
        </w:rPr>
        <w:t>intramuscular</w:t>
      </w:r>
      <w:r w:rsidR="0055722C">
        <w:rPr>
          <w:lang w:eastAsia="en-GB"/>
        </w:rPr>
        <w:t xml:space="preserve"> injection,</w:t>
      </w:r>
      <w:r w:rsidR="009749A4">
        <w:rPr>
          <w:lang w:eastAsia="en-GB"/>
        </w:rPr>
        <w:t xml:space="preserve">  </w:t>
      </w:r>
      <w:r w:rsidR="000A0CB5">
        <w:rPr>
          <w:lang w:eastAsia="en-GB"/>
        </w:rPr>
        <w:t xml:space="preserve">noting that Pfizer has </w:t>
      </w:r>
      <w:r w:rsidR="00CA7A7B">
        <w:rPr>
          <w:lang w:eastAsia="en-GB"/>
        </w:rPr>
        <w:t xml:space="preserve">erroneously </w:t>
      </w:r>
      <w:r w:rsidR="000A0CB5">
        <w:rPr>
          <w:lang w:eastAsia="en-GB"/>
        </w:rPr>
        <w:t>equated mass with volume in the measure</w:t>
      </w:r>
      <w:r w:rsidR="00CA7A7B">
        <w:rPr>
          <w:lang w:eastAsia="en-GB"/>
        </w:rPr>
        <w:t xml:space="preserve"> </w:t>
      </w:r>
      <w:r w:rsidR="000A0CB5">
        <w:rPr>
          <w:lang w:eastAsia="en-GB"/>
        </w:rPr>
        <w:t xml:space="preserve">and they are entirely </w:t>
      </w:r>
      <w:r w:rsidR="00CA7A7B">
        <w:rPr>
          <w:lang w:eastAsia="en-GB"/>
        </w:rPr>
        <w:t>different</w:t>
      </w:r>
      <w:r w:rsidR="00B93AA7">
        <w:rPr>
          <w:lang w:eastAsia="en-GB"/>
        </w:rPr>
        <w:t xml:space="preserve"> p45</w:t>
      </w:r>
      <w:r w:rsidR="00AD43DF">
        <w:rPr>
          <w:lang w:eastAsia="en-GB"/>
        </w:rPr>
        <w:t xml:space="preserve">. These </w:t>
      </w:r>
      <w:r w:rsidR="00891E6C">
        <w:rPr>
          <w:lang w:eastAsia="en-GB"/>
        </w:rPr>
        <w:t xml:space="preserve">findings bear on the lymphadenopathy </w:t>
      </w:r>
      <w:r w:rsidR="00811789">
        <w:rPr>
          <w:lang w:eastAsia="en-GB"/>
        </w:rPr>
        <w:t>results from the clinical tri</w:t>
      </w:r>
      <w:r w:rsidR="008760DE">
        <w:rPr>
          <w:lang w:eastAsia="en-GB"/>
        </w:rPr>
        <w:t>a</w:t>
      </w:r>
      <w:r w:rsidR="00811789">
        <w:rPr>
          <w:lang w:eastAsia="en-GB"/>
        </w:rPr>
        <w:t xml:space="preserve">l using endotoxin </w:t>
      </w:r>
      <w:r w:rsidR="008760DE">
        <w:rPr>
          <w:lang w:eastAsia="en-GB"/>
        </w:rPr>
        <w:t xml:space="preserve">cultured product. The </w:t>
      </w:r>
      <w:r w:rsidR="00A91904">
        <w:rPr>
          <w:lang w:eastAsia="en-GB"/>
        </w:rPr>
        <w:t>table</w:t>
      </w:r>
      <w:r w:rsidR="008760DE">
        <w:rPr>
          <w:lang w:eastAsia="en-GB"/>
        </w:rPr>
        <w:t xml:space="preserve"> presented  </w:t>
      </w:r>
      <w:r w:rsidR="00A91904">
        <w:rPr>
          <w:lang w:eastAsia="en-GB"/>
        </w:rPr>
        <w:t>below states</w:t>
      </w:r>
    </w:p>
    <w:p w14:paraId="0465F6D4" w14:textId="37A549B2" w:rsidR="00A91904" w:rsidRDefault="00A91904">
      <w:pPr>
        <w:rPr>
          <w:lang w:eastAsia="en-GB"/>
        </w:rPr>
      </w:pPr>
      <w:r w:rsidRPr="00A91904">
        <w:rPr>
          <w:i/>
          <w:iCs/>
          <w:sz w:val="16"/>
          <w:szCs w:val="16"/>
          <w:lang w:eastAsia="en-GB"/>
        </w:rPr>
        <w:t>Draining lymph nodes to the site of injection should have been collected and analysed for radioactivity, given the increased size of draining lymph nodes seen in other nonclinical studies after dosing</w:t>
      </w:r>
      <w:r w:rsidRPr="00A91904">
        <w:rPr>
          <w:lang w:eastAsia="en-GB"/>
        </w:rPr>
        <w:t>.</w:t>
      </w:r>
    </w:p>
    <w:p w14:paraId="3D1E9384" w14:textId="14ACD3F5" w:rsidR="00FE166D" w:rsidRDefault="00FE166D">
      <w:pPr>
        <w:rPr>
          <w:lang w:eastAsia="en-GB"/>
        </w:rPr>
      </w:pPr>
      <w:r>
        <w:rPr>
          <w:lang w:eastAsia="en-GB"/>
        </w:rPr>
        <w:t>V9 the authorised active substance was tested in rats</w:t>
      </w:r>
      <w:r w:rsidR="00A9042E">
        <w:rPr>
          <w:lang w:eastAsia="en-GB"/>
        </w:rPr>
        <w:t>.</w:t>
      </w:r>
    </w:p>
    <w:p w14:paraId="164F5EEE" w14:textId="257F64D3" w:rsidR="00A9042E" w:rsidRDefault="00A9042E">
      <w:pPr>
        <w:rPr>
          <w:lang w:eastAsia="en-GB"/>
        </w:rPr>
      </w:pPr>
      <w:r>
        <w:rPr>
          <w:lang w:eastAsia="en-GB"/>
        </w:rPr>
        <w:t>The narrative also tells us that</w:t>
      </w:r>
      <w:r w:rsidR="007626E9">
        <w:rPr>
          <w:lang w:eastAsia="en-GB"/>
        </w:rPr>
        <w:t xml:space="preserve"> biodistribution was significant</w:t>
      </w:r>
    </w:p>
    <w:p w14:paraId="3AC63552" w14:textId="09B6C015" w:rsidR="007626E9" w:rsidRPr="007626E9" w:rsidRDefault="007626E9">
      <w:pPr>
        <w:rPr>
          <w:i/>
          <w:iCs/>
          <w:sz w:val="20"/>
          <w:szCs w:val="20"/>
          <w:lang w:eastAsia="en-GB"/>
        </w:rPr>
      </w:pPr>
      <w:r w:rsidRPr="007626E9">
        <w:rPr>
          <w:i/>
          <w:iCs/>
          <w:sz w:val="20"/>
          <w:szCs w:val="20"/>
          <w:lang w:eastAsia="en-GB"/>
        </w:rPr>
        <w:t xml:space="preserve">Slow but significant distribution of lipid nanoparticles from the site of injection with major uptake into liver. </w:t>
      </w:r>
      <w:r w:rsidRPr="007626E9">
        <w:rPr>
          <w:i/>
          <w:iCs/>
          <w:sz w:val="20"/>
          <w:szCs w:val="20"/>
          <w:lang w:eastAsia="en-GB"/>
        </w:rPr>
        <w:t xml:space="preserve"> Minor distribution in spleen, adrenal glands and ovaries over 48 h. </w:t>
      </w:r>
      <w:r w:rsidRPr="007626E9">
        <w:rPr>
          <w:i/>
          <w:iCs/>
          <w:sz w:val="20"/>
          <w:szCs w:val="20"/>
          <w:lang w:eastAsia="en-GB"/>
        </w:rPr>
        <w:t xml:space="preserve"> </w:t>
      </w:r>
      <w:r w:rsidRPr="007626E9">
        <w:rPr>
          <w:i/>
          <w:iCs/>
          <w:sz w:val="20"/>
          <w:szCs w:val="20"/>
          <w:lang w:eastAsia="en-GB"/>
        </w:rPr>
        <w:br/>
        <w:t>Mean blood:plasma ratios of 0.5-0.6 indicating nanoparticles mainly present in plasma fraction of blood with peak concentrations in plasma at approx. 2 h post-dose.</w:t>
      </w:r>
    </w:p>
    <w:p w14:paraId="3E7900EE" w14:textId="0B45C9D8" w:rsidR="00835165" w:rsidRPr="00835165" w:rsidRDefault="00F83AD9" w:rsidP="000A0CB5">
      <w:pPr>
        <w:jc w:val="center"/>
        <w:rPr>
          <w:lang w:eastAsia="en-GB"/>
        </w:rPr>
      </w:pPr>
      <w:r w:rsidRPr="000A0CB5">
        <w:rPr>
          <w:highlight w:val="yellow"/>
          <w:lang w:eastAsia="en-GB"/>
        </w:rPr>
        <w:t>Total Lipid Concentration (µg lipid equiv/g (or mL)</w:t>
      </w:r>
      <w:r w:rsidR="00FE2364">
        <w:rPr>
          <w:lang w:eastAsia="en-GB"/>
        </w:rPr>
        <w:br/>
      </w:r>
      <w:r w:rsidR="00841F2C">
        <w:rPr>
          <w:noProof/>
        </w:rPr>
        <w:drawing>
          <wp:inline distT="0" distB="0" distL="0" distR="0" wp14:anchorId="13A657A0" wp14:editId="77F11940">
            <wp:extent cx="6188710" cy="3481070"/>
            <wp:effectExtent l="0" t="0" r="2540" b="5080"/>
            <wp:docPr id="38840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2105" name=""/>
                    <pic:cNvPicPr/>
                  </pic:nvPicPr>
                  <pic:blipFill>
                    <a:blip r:embed="rId15"/>
                    <a:stretch>
                      <a:fillRect/>
                    </a:stretch>
                  </pic:blipFill>
                  <pic:spPr>
                    <a:xfrm>
                      <a:off x="0" y="0"/>
                      <a:ext cx="6188710" cy="3481070"/>
                    </a:xfrm>
                    <a:prstGeom prst="rect">
                      <a:avLst/>
                    </a:prstGeom>
                  </pic:spPr>
                </pic:pic>
              </a:graphicData>
            </a:graphic>
          </wp:inline>
        </w:drawing>
      </w:r>
    </w:p>
    <w:p w14:paraId="1643EFFB" w14:textId="77777777" w:rsidR="00FD472A" w:rsidRDefault="00FD472A"/>
    <w:p w14:paraId="671CC751" w14:textId="02674906" w:rsidR="00FD472A" w:rsidRDefault="00FD472A">
      <w:pPr>
        <w:rPr>
          <w:b/>
          <w:bCs/>
        </w:rPr>
      </w:pPr>
      <w:r>
        <w:rPr>
          <w:b/>
          <w:bCs/>
        </w:rPr>
        <w:t xml:space="preserve">THIRD MISCALCULATION </w:t>
      </w:r>
      <w:r w:rsidR="005C6003">
        <w:rPr>
          <w:b/>
          <w:bCs/>
        </w:rPr>
        <w:t>–</w:t>
      </w:r>
      <w:r>
        <w:rPr>
          <w:b/>
          <w:bCs/>
        </w:rPr>
        <w:t xml:space="preserve"> </w:t>
      </w:r>
      <w:r w:rsidR="005C6003">
        <w:rPr>
          <w:b/>
          <w:bCs/>
        </w:rPr>
        <w:t>LYMHADENOPATHY SIGNAL IN ENDOTOXIN BASED PRODUCT WITH UNCERTAIN BIOD</w:t>
      </w:r>
      <w:r w:rsidR="00160DC1">
        <w:rPr>
          <w:b/>
          <w:bCs/>
        </w:rPr>
        <w:t>I</w:t>
      </w:r>
      <w:r w:rsidR="005C6003">
        <w:rPr>
          <w:b/>
          <w:bCs/>
        </w:rPr>
        <w:t>STRIB</w:t>
      </w:r>
      <w:r w:rsidR="00160DC1">
        <w:rPr>
          <w:b/>
          <w:bCs/>
        </w:rPr>
        <w:t>U</w:t>
      </w:r>
      <w:r w:rsidR="005C6003">
        <w:rPr>
          <w:b/>
          <w:bCs/>
        </w:rPr>
        <w:t>TION</w:t>
      </w:r>
    </w:p>
    <w:p w14:paraId="721D6864" w14:textId="40E7DCBA" w:rsidR="00160DC1" w:rsidRDefault="00914BC1">
      <w:r>
        <w:lastRenderedPageBreak/>
        <w:t>The Pfizer bio</w:t>
      </w:r>
      <w:r w:rsidR="00400CD2">
        <w:t xml:space="preserve">distribution study shows that LNPs travel widely, but that study was passive as it </w:t>
      </w:r>
      <w:r w:rsidR="00207FCE">
        <w:t xml:space="preserve">did not include the active substance </w:t>
      </w:r>
      <w:r w:rsidR="005B6387">
        <w:t>encased</w:t>
      </w:r>
      <w:r w:rsidR="00207FCE">
        <w:t xml:space="preserve"> in the LNP. Th</w:t>
      </w:r>
      <w:r w:rsidR="00342746">
        <w:t xml:space="preserve">e distribution </w:t>
      </w:r>
      <w:r w:rsidR="008A717E">
        <w:t>pattern shows</w:t>
      </w:r>
      <w:r w:rsidR="00207FCE">
        <w:t xml:space="preserve"> the product can potentially act </w:t>
      </w:r>
      <w:r w:rsidR="009337A9">
        <w:t>as if it were an</w:t>
      </w:r>
      <w:r w:rsidR="005B6387">
        <w:t xml:space="preserve"> intrathecal or epidural </w:t>
      </w:r>
      <w:r w:rsidR="009337A9">
        <w:t>administration.</w:t>
      </w:r>
    </w:p>
    <w:p w14:paraId="76372B85" w14:textId="4FF3DD8A" w:rsidR="00B719A9" w:rsidRDefault="00B719A9">
      <w:r>
        <w:t xml:space="preserve">The TGA Australia </w:t>
      </w:r>
      <w:r w:rsidR="009F1B31">
        <w:t>studied Pfizer Moderna and Astra Zeneca doses and concluded that their endotoxin content was within internationally safe limits</w:t>
      </w:r>
      <w:r w:rsidR="00191498">
        <w:rPr>
          <w:rStyle w:val="FootnoteReference"/>
        </w:rPr>
        <w:footnoteReference w:id="13"/>
      </w:r>
      <w:r w:rsidR="00191498">
        <w:t xml:space="preserve">. </w:t>
      </w:r>
      <w:r w:rsidR="00814405">
        <w:t xml:space="preserve">All being under 5EU/ml . This is a false flag. The </w:t>
      </w:r>
      <w:r w:rsidR="00B523D9">
        <w:t xml:space="preserve">part table is shown </w:t>
      </w:r>
      <w:r w:rsidR="00DA5155">
        <w:t>below;</w:t>
      </w:r>
      <w:r w:rsidR="00B523D9">
        <w:t xml:space="preserve"> this applies to intramuscular product that does not stray from the local </w:t>
      </w:r>
      <w:r w:rsidR="002C0E3A">
        <w:t xml:space="preserve">draining lymph node. However as shown the product does travel widely throughout the body and </w:t>
      </w:r>
      <w:r w:rsidR="0062008D">
        <w:t xml:space="preserve">the masked endotoxin behaved more like </w:t>
      </w:r>
      <w:r w:rsidR="00890C7B">
        <w:t>these other much more sensitive measurements.</w:t>
      </w:r>
    </w:p>
    <w:p w14:paraId="5F825D23" w14:textId="146A4190" w:rsidR="00191498" w:rsidRDefault="00814405">
      <w:r>
        <w:rPr>
          <w:noProof/>
        </w:rPr>
        <w:drawing>
          <wp:inline distT="0" distB="0" distL="0" distR="0" wp14:anchorId="4B61E7C9" wp14:editId="29646C2E">
            <wp:extent cx="6188710" cy="3481070"/>
            <wp:effectExtent l="0" t="0" r="2540" b="5080"/>
            <wp:docPr id="1098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5432" name="Picture 1" descr="A screenshot of a computer&#10;&#10;AI-generated content may be incorrect."/>
                    <pic:cNvPicPr/>
                  </pic:nvPicPr>
                  <pic:blipFill>
                    <a:blip r:embed="rId16"/>
                    <a:stretch>
                      <a:fillRect/>
                    </a:stretch>
                  </pic:blipFill>
                  <pic:spPr>
                    <a:xfrm>
                      <a:off x="0" y="0"/>
                      <a:ext cx="6188710" cy="3481070"/>
                    </a:xfrm>
                    <a:prstGeom prst="rect">
                      <a:avLst/>
                    </a:prstGeom>
                  </pic:spPr>
                </pic:pic>
              </a:graphicData>
            </a:graphic>
          </wp:inline>
        </w:drawing>
      </w:r>
    </w:p>
    <w:p w14:paraId="42DDCD01" w14:textId="77777777" w:rsidR="00191498" w:rsidRDefault="00191498"/>
    <w:p w14:paraId="08416B63" w14:textId="3D8C2C1F" w:rsidR="009337A9" w:rsidRPr="00160DC1" w:rsidRDefault="009337A9">
      <w:r>
        <w:t xml:space="preserve">The FDA has published extensive </w:t>
      </w:r>
      <w:r w:rsidR="00B719A9">
        <w:t>data about the safe limits for endotoxin</w:t>
      </w:r>
      <w:r w:rsidR="00814405">
        <w:rPr>
          <w:rStyle w:val="FootnoteReference"/>
        </w:rPr>
        <w:footnoteReference w:id="14"/>
      </w:r>
      <w:r w:rsidR="00890C7B">
        <w:t>. The limits in cases of contact with lymphatic system, the cardiovascular s</w:t>
      </w:r>
      <w:r w:rsidR="00510A0F">
        <w:t>ystem the intraocular environment</w:t>
      </w:r>
      <w:r w:rsidR="008950E1">
        <w:t xml:space="preserve">, </w:t>
      </w:r>
      <w:r w:rsidR="00014CDC">
        <w:t xml:space="preserve">the cerebrospinal region all require much lower levels for safe </w:t>
      </w:r>
      <w:r w:rsidR="002B3E0A">
        <w:t>administration, all of which advice refers to devices but is directly applicable to these products and their operation.</w:t>
      </w:r>
    </w:p>
    <w:p w14:paraId="2D612CA6"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bookmarkStart w:id="0" w:name="_Toc315937935"/>
      <w:r w:rsidRPr="00890C7B">
        <w:rPr>
          <w:rFonts w:eastAsia="Times New Roman" w:cstheme="minorHAnsi"/>
          <w:b/>
          <w:bCs/>
          <w:i/>
          <w:iCs/>
          <w:color w:val="1A57AD"/>
          <w:kern w:val="0"/>
          <w:sz w:val="20"/>
          <w:szCs w:val="20"/>
          <w:u w:val="single"/>
          <w:lang w:eastAsia="en-GB"/>
          <w14:ligatures w14:val="none"/>
        </w:rPr>
        <w:t>11.      What are the endotoxins limits for medical devices?</w:t>
      </w:r>
      <w:bookmarkEnd w:id="0"/>
    </w:p>
    <w:p w14:paraId="03FAA391"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 </w:t>
      </w:r>
    </w:p>
    <w:p w14:paraId="41619B30"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The Center for Devices and Radiological Health (CDRH) has adopted the USP Endotoxin Reference Standard and limits for medical device extracts expressed in EU/mL. USP Chapter &lt;161&gt; Transfusion and Infusion Assemblies and Similar Medical Devices provides the limits for medical devices within its scope.  The endotoxins limit for a medical device is dependent on the intended use of the device and what the device contacts (e.g., blood, the cardiovascular system, cerebrospinal fluid, intrathecal routes of administration, permanently implanted devices, and devices implanted subcutaneously).</w:t>
      </w:r>
      <w:bookmarkStart w:id="1" w:name="_ftnref27"/>
      <w:r w:rsidRPr="00890C7B">
        <w:rPr>
          <w:rFonts w:eastAsia="Times New Roman" w:cstheme="minorHAnsi"/>
          <w:i/>
          <w:iCs/>
          <w:color w:val="333333"/>
          <w:kern w:val="0"/>
          <w:sz w:val="20"/>
          <w:szCs w:val="20"/>
          <w:lang w:eastAsia="en-GB"/>
          <w14:ligatures w14:val="none"/>
        </w:rPr>
        <w:fldChar w:fldCharType="begin"/>
      </w:r>
      <w:r w:rsidRPr="00890C7B">
        <w:rPr>
          <w:rFonts w:eastAsia="Times New Roman" w:cstheme="minorHAnsi"/>
          <w:i/>
          <w:iCs/>
          <w:color w:val="333333"/>
          <w:kern w:val="0"/>
          <w:sz w:val="20"/>
          <w:szCs w:val="20"/>
          <w:lang w:eastAsia="en-GB"/>
          <w14:ligatures w14:val="none"/>
        </w:rPr>
        <w:instrText>HYPERLINK "https://www.fda.gov/regulatory-information/search-fda-guidance-documents/guidance-industry-pyrogen-and-endotoxins-testing-questions-and-answers" \l "_ftn27"</w:instrText>
      </w:r>
      <w:r w:rsidRPr="00890C7B">
        <w:rPr>
          <w:rFonts w:eastAsia="Times New Roman" w:cstheme="minorHAnsi"/>
          <w:i/>
          <w:iCs/>
          <w:color w:val="333333"/>
          <w:kern w:val="0"/>
          <w:sz w:val="20"/>
          <w:szCs w:val="20"/>
          <w:lang w:eastAsia="en-GB"/>
          <w14:ligatures w14:val="none"/>
        </w:rPr>
      </w:r>
      <w:r w:rsidRPr="00890C7B">
        <w:rPr>
          <w:rFonts w:eastAsia="Times New Roman" w:cstheme="minorHAnsi"/>
          <w:i/>
          <w:iCs/>
          <w:color w:val="333333"/>
          <w:kern w:val="0"/>
          <w:sz w:val="20"/>
          <w:szCs w:val="20"/>
          <w:lang w:eastAsia="en-GB"/>
          <w14:ligatures w14:val="none"/>
        </w:rPr>
        <w:fldChar w:fldCharType="separate"/>
      </w:r>
      <w:r w:rsidRPr="00890C7B">
        <w:rPr>
          <w:rFonts w:eastAsia="Times New Roman" w:cstheme="minorHAnsi"/>
          <w:i/>
          <w:iCs/>
          <w:color w:val="1A57AD"/>
          <w:kern w:val="0"/>
          <w:sz w:val="20"/>
          <w:szCs w:val="20"/>
          <w:u w:val="single"/>
          <w:lang w:eastAsia="en-GB"/>
          <w14:ligatures w14:val="none"/>
        </w:rPr>
        <w:t>[27]</w:t>
      </w:r>
      <w:r w:rsidRPr="00890C7B">
        <w:rPr>
          <w:rFonts w:eastAsia="Times New Roman" w:cstheme="minorHAnsi"/>
          <w:i/>
          <w:iCs/>
          <w:color w:val="333333"/>
          <w:kern w:val="0"/>
          <w:sz w:val="20"/>
          <w:szCs w:val="20"/>
          <w:lang w:eastAsia="en-GB"/>
          <w14:ligatures w14:val="none"/>
        </w:rPr>
        <w:fldChar w:fldCharType="end"/>
      </w:r>
      <w:bookmarkEnd w:id="1"/>
    </w:p>
    <w:p w14:paraId="588B4C0A"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 </w:t>
      </w:r>
    </w:p>
    <w:p w14:paraId="72F10009"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highlight w:val="yellow"/>
          <w:lang w:eastAsia="en-GB"/>
          <w14:ligatures w14:val="none"/>
        </w:rPr>
        <w:lastRenderedPageBreak/>
        <w:t>For medical devices, using the extraction volume recommendations described below, the limit is 0.5 EU/mL or 20 EU/device for products that directly or indirectly contact the cardiovascular system and lymphatic system. For devices in contact with cerebrospinal fluid, the limit is 0.06 EU/mL or 2.15 EU/device. For devices that are in direct or indirect contact with the intraocular environment, a lower endotoxins limit may apply.</w:t>
      </w:r>
      <w:r w:rsidRPr="00890C7B">
        <w:rPr>
          <w:rFonts w:eastAsia="Times New Roman" w:cstheme="minorHAnsi"/>
          <w:i/>
          <w:iCs/>
          <w:color w:val="333333"/>
          <w:kern w:val="0"/>
          <w:sz w:val="20"/>
          <w:szCs w:val="20"/>
          <w:lang w:eastAsia="en-GB"/>
          <w14:ligatures w14:val="none"/>
        </w:rPr>
        <w:t xml:space="preserve"> Please contact the appropriate review division for specific recommendations.</w:t>
      </w:r>
    </w:p>
    <w:p w14:paraId="229B4265"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 </w:t>
      </w:r>
    </w:p>
    <w:p w14:paraId="394EF089"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The process of preparing an eluate/extract for testing may vary from device to device. Some medical devices can be flushed, some may have to be immersed, while others may need disassembly. Unless otherwise directed by another compendial standard, our recommended rinse volumes include the following:  (1) each of the 10 test units should be rinsed with 40 mL of non-pyrogenic water; (2) for unusually small or large devices, the surface area of the device that contacts the patient may be used as an adjustment factor in selecting the rinse or extract volume. The endotoxins limit can be adjusted accordingly. In any case, the rinse/extract procedure should not result in a greater dilution of endotoxin than recommended in USP &lt;85&gt;. For inhibition/enhancement testing, both the rinse/extract solution and the device eluate/extract should be tested.</w:t>
      </w:r>
    </w:p>
    <w:p w14:paraId="246E9B6D"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 </w:t>
      </w:r>
    </w:p>
    <w:p w14:paraId="424D6E67"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Examples of medical devices with testing or interference challenges include devices that are coated with anticoagulant, contain heavy metals, or that have particulates. In these situations, treatments for interferences can include digestion, dilution, and addition of buffers, centrifugation, or filtration.</w:t>
      </w:r>
    </w:p>
    <w:p w14:paraId="2F913C09"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 </w:t>
      </w:r>
    </w:p>
    <w:p w14:paraId="71B8FE35"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During the same surgical procedure or placement in the same surgical site, multiple units of the same device from one manufacturer should generally meet the same endotoxins limit as a single device administered during the procedure.  In instances where multiple units of the same device are known or intended for use in a single procedure, manufacturers should justify any deviation from the overall endotoxins limit identified in this guidance.</w:t>
      </w:r>
    </w:p>
    <w:p w14:paraId="60FD2865" w14:textId="77777777" w:rsidR="00875207" w:rsidRPr="00890C7B"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0C7B">
        <w:rPr>
          <w:rFonts w:eastAsia="Times New Roman" w:cstheme="minorHAnsi"/>
          <w:i/>
          <w:iCs/>
          <w:color w:val="333333"/>
          <w:kern w:val="0"/>
          <w:sz w:val="20"/>
          <w:szCs w:val="20"/>
          <w:lang w:eastAsia="en-GB"/>
          <w14:ligatures w14:val="none"/>
        </w:rPr>
        <w:t> </w:t>
      </w:r>
    </w:p>
    <w:p w14:paraId="6B038F51" w14:textId="792BE5D6" w:rsidR="00875207" w:rsidRDefault="00875207" w:rsidP="00875207">
      <w:pPr>
        <w:shd w:val="clear" w:color="auto" w:fill="FFFFFF"/>
        <w:spacing w:after="0" w:line="240" w:lineRule="auto"/>
        <w:rPr>
          <w:rFonts w:eastAsia="Times New Roman" w:cstheme="minorHAnsi"/>
          <w:i/>
          <w:iCs/>
          <w:color w:val="333333"/>
          <w:kern w:val="0"/>
          <w:sz w:val="20"/>
          <w:szCs w:val="20"/>
          <w:lang w:eastAsia="en-GB"/>
          <w14:ligatures w14:val="none"/>
        </w:rPr>
      </w:pPr>
      <w:r w:rsidRPr="008950E1">
        <w:rPr>
          <w:rFonts w:eastAsia="Times New Roman" w:cstheme="minorHAnsi"/>
          <w:i/>
          <w:iCs/>
          <w:color w:val="333333"/>
          <w:kern w:val="0"/>
          <w:sz w:val="20"/>
          <w:szCs w:val="20"/>
          <w:highlight w:val="yellow"/>
          <w:lang w:eastAsia="en-GB"/>
          <w14:ligatures w14:val="none"/>
        </w:rPr>
        <w:t>When a manufacturer of medical devices plans to use LAL testing that deviates significantly from this guidance or recognized standard, a premarket notification (510(k)) under section 510(k) of the Federal Food, Drug, and Cosmetic Act (the Act) or a premarket approval application (PMA) supplement under section 515 of the Act should be submitted.  Significant deviations include, but are not necessarily limited to: higher endotoxin concentration release criteria, sampling from fewer than three (3) lots for inhibition/enhancement testing, lesser sensitivity to endotoxins, and a device rinsing protocol resulting in greater dilution of endotoxins than that recommended in this guidance</w:t>
      </w:r>
      <w:r w:rsidRPr="00890C7B">
        <w:rPr>
          <w:rFonts w:eastAsia="Times New Roman" w:cstheme="minorHAnsi"/>
          <w:i/>
          <w:iCs/>
          <w:color w:val="333333"/>
          <w:kern w:val="0"/>
          <w:sz w:val="20"/>
          <w:szCs w:val="20"/>
          <w:lang w:eastAsia="en-GB"/>
          <w14:ligatures w14:val="none"/>
        </w:rPr>
        <w:t>.</w:t>
      </w:r>
      <w:r w:rsidR="00014CDC">
        <w:rPr>
          <w:rFonts w:eastAsia="Times New Roman" w:cstheme="minorHAnsi"/>
          <w:i/>
          <w:iCs/>
          <w:color w:val="333333"/>
          <w:kern w:val="0"/>
          <w:sz w:val="20"/>
          <w:szCs w:val="20"/>
          <w:lang w:eastAsia="en-GB"/>
          <w14:ligatures w14:val="none"/>
        </w:rPr>
        <w:t>”</w:t>
      </w:r>
    </w:p>
    <w:p w14:paraId="120B4AC0" w14:textId="77777777" w:rsidR="00014CDC" w:rsidRDefault="00014CDC" w:rsidP="00875207">
      <w:pPr>
        <w:shd w:val="clear" w:color="auto" w:fill="FFFFFF"/>
        <w:spacing w:after="0" w:line="240" w:lineRule="auto"/>
        <w:rPr>
          <w:rFonts w:eastAsia="Times New Roman" w:cstheme="minorHAnsi"/>
          <w:i/>
          <w:iCs/>
          <w:color w:val="333333"/>
          <w:kern w:val="0"/>
          <w:sz w:val="20"/>
          <w:szCs w:val="20"/>
          <w:lang w:eastAsia="en-GB"/>
          <w14:ligatures w14:val="none"/>
        </w:rPr>
      </w:pPr>
    </w:p>
    <w:p w14:paraId="581CEBEC" w14:textId="10E34F17" w:rsidR="00014CDC" w:rsidRPr="008950E1" w:rsidRDefault="00014CDC" w:rsidP="00875207">
      <w:pPr>
        <w:shd w:val="clear" w:color="auto" w:fill="FFFFFF"/>
        <w:spacing w:after="0" w:line="240" w:lineRule="auto"/>
        <w:rPr>
          <w:rFonts w:eastAsia="Times New Roman" w:cstheme="minorHAnsi"/>
          <w:color w:val="333333"/>
          <w:kern w:val="0"/>
          <w:sz w:val="20"/>
          <w:szCs w:val="20"/>
          <w:lang w:eastAsia="en-GB"/>
          <w14:ligatures w14:val="none"/>
        </w:rPr>
      </w:pPr>
    </w:p>
    <w:p w14:paraId="6BA41C4F" w14:textId="26D7EDCF" w:rsidR="00875207" w:rsidRDefault="00D95F81">
      <w:pPr>
        <w:rPr>
          <w:rFonts w:cstheme="minorHAnsi"/>
          <w:b/>
          <w:bCs/>
        </w:rPr>
      </w:pPr>
      <w:r w:rsidRPr="00D95F81">
        <w:rPr>
          <w:rFonts w:cstheme="minorHAnsi"/>
          <w:b/>
          <w:bCs/>
        </w:rPr>
        <w:t>Confirmatory signal detection for lymphadenopathy from UK and Europe</w:t>
      </w:r>
    </w:p>
    <w:p w14:paraId="3B87FC0C" w14:textId="3AC17DA3" w:rsidR="00B9276C" w:rsidRDefault="00D95F81">
      <w:pPr>
        <w:rPr>
          <w:rFonts w:cstheme="minorHAnsi"/>
        </w:rPr>
      </w:pPr>
      <w:r>
        <w:rPr>
          <w:rFonts w:cstheme="minorHAnsi"/>
        </w:rPr>
        <w:t xml:space="preserve">IN Quarter 3 of 2022 </w:t>
      </w:r>
      <w:r w:rsidR="0027258B">
        <w:rPr>
          <w:rFonts w:cstheme="minorHAnsi"/>
        </w:rPr>
        <w:t xml:space="preserve">UK MHRA published a </w:t>
      </w:r>
      <w:r w:rsidR="002807E0">
        <w:rPr>
          <w:rFonts w:cstheme="minorHAnsi"/>
        </w:rPr>
        <w:t>pa</w:t>
      </w:r>
      <w:r w:rsidR="00402F82">
        <w:rPr>
          <w:rFonts w:cstheme="minorHAnsi"/>
        </w:rPr>
        <w:t>per</w:t>
      </w:r>
      <w:r w:rsidR="0027258B">
        <w:rPr>
          <w:rFonts w:cstheme="minorHAnsi"/>
        </w:rPr>
        <w:t xml:space="preserve"> entitled </w:t>
      </w:r>
      <w:r w:rsidR="00B9276C" w:rsidRPr="00B9276C">
        <w:rPr>
          <w:rFonts w:cstheme="minorHAnsi"/>
        </w:rPr>
        <w:t xml:space="preserve"> </w:t>
      </w:r>
    </w:p>
    <w:p w14:paraId="36C04A28" w14:textId="240E8B95" w:rsidR="00D95F81" w:rsidRPr="00B9276C" w:rsidRDefault="00402F82">
      <w:pPr>
        <w:rPr>
          <w:rFonts w:cstheme="minorHAnsi"/>
          <w:i/>
          <w:iCs/>
          <w:sz w:val="20"/>
          <w:szCs w:val="20"/>
        </w:rPr>
      </w:pPr>
      <w:r>
        <w:rPr>
          <w:rFonts w:cstheme="minorHAnsi"/>
          <w:i/>
          <w:iCs/>
          <w:sz w:val="20"/>
          <w:szCs w:val="20"/>
        </w:rPr>
        <w:t>“</w:t>
      </w:r>
      <w:r w:rsidR="00B9276C" w:rsidRPr="00B9276C">
        <w:rPr>
          <w:rFonts w:cstheme="minorHAnsi"/>
          <w:i/>
          <w:iCs/>
          <w:sz w:val="20"/>
          <w:szCs w:val="20"/>
        </w:rPr>
        <w:t>Impact of COVID-19 vaccine reports on disproportionality analyses for other vaccines Type of paper:  For Advice</w:t>
      </w:r>
      <w:r>
        <w:rPr>
          <w:rFonts w:cstheme="minorHAnsi"/>
          <w:i/>
          <w:iCs/>
          <w:sz w:val="20"/>
          <w:szCs w:val="20"/>
        </w:rPr>
        <w:t>”</w:t>
      </w:r>
      <w:r w:rsidR="002807E0">
        <w:rPr>
          <w:rStyle w:val="FootnoteReference"/>
          <w:rFonts w:cstheme="minorHAnsi"/>
          <w:i/>
          <w:iCs/>
          <w:sz w:val="20"/>
          <w:szCs w:val="20"/>
        </w:rPr>
        <w:footnoteReference w:id="15"/>
      </w:r>
    </w:p>
    <w:p w14:paraId="569FA38A" w14:textId="7F681C4E" w:rsidR="00623B07" w:rsidRDefault="00402F82">
      <w:pPr>
        <w:rPr>
          <w:rFonts w:cstheme="minorHAnsi"/>
        </w:rPr>
      </w:pPr>
      <w:r>
        <w:rPr>
          <w:rFonts w:cstheme="minorHAnsi"/>
        </w:rPr>
        <w:t xml:space="preserve">The paper presented a table of signals </w:t>
      </w:r>
      <w:r w:rsidR="00982443">
        <w:rPr>
          <w:rFonts w:cstheme="minorHAnsi"/>
        </w:rPr>
        <w:t>from the covid vaccines and one of them was “necrotic lymphadenopathy”</w:t>
      </w:r>
    </w:p>
    <w:p w14:paraId="671F0664" w14:textId="66C55795" w:rsidR="00982443" w:rsidRPr="00402F82" w:rsidRDefault="00C83F41">
      <w:pPr>
        <w:rPr>
          <w:rFonts w:cstheme="minorHAnsi"/>
        </w:rPr>
      </w:pPr>
      <w:r>
        <w:rPr>
          <w:noProof/>
        </w:rPr>
        <w:lastRenderedPageBreak/>
        <w:drawing>
          <wp:inline distT="0" distB="0" distL="0" distR="0" wp14:anchorId="3BBDCA04" wp14:editId="7884E90D">
            <wp:extent cx="6188710" cy="3481070"/>
            <wp:effectExtent l="0" t="0" r="2540" b="5080"/>
            <wp:docPr id="4488891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9190" name="Picture 1" descr="A screenshot of a computer&#10;&#10;AI-generated content may be incorrect."/>
                    <pic:cNvPicPr/>
                  </pic:nvPicPr>
                  <pic:blipFill>
                    <a:blip r:embed="rId17"/>
                    <a:stretch>
                      <a:fillRect/>
                    </a:stretch>
                  </pic:blipFill>
                  <pic:spPr>
                    <a:xfrm>
                      <a:off x="0" y="0"/>
                      <a:ext cx="6188710" cy="3481070"/>
                    </a:xfrm>
                    <a:prstGeom prst="rect">
                      <a:avLst/>
                    </a:prstGeom>
                  </pic:spPr>
                </pic:pic>
              </a:graphicData>
            </a:graphic>
          </wp:inline>
        </w:drawing>
      </w:r>
    </w:p>
    <w:p w14:paraId="7053D75F" w14:textId="010106DF" w:rsidR="00623B07" w:rsidRDefault="00DD1E3E">
      <w:pPr>
        <w:rPr>
          <w:rFonts w:cstheme="minorHAnsi"/>
        </w:rPr>
      </w:pPr>
      <w:r>
        <w:rPr>
          <w:rFonts w:cstheme="minorHAnsi"/>
        </w:rPr>
        <w:t>This is a sign of malignancy and possibly cancer, The same effect was identified in Netherlands by Lareb the Signal detection Agency</w:t>
      </w:r>
      <w:r w:rsidR="00E618E8">
        <w:rPr>
          <w:rFonts w:cstheme="minorHAnsi"/>
        </w:rPr>
        <w:t>, which published 2 papers on lymphadenopathy . The second paper in 2024</w:t>
      </w:r>
      <w:r w:rsidR="007361EE">
        <w:rPr>
          <w:rFonts w:cstheme="minorHAnsi"/>
        </w:rPr>
        <w:t xml:space="preserve">, </w:t>
      </w:r>
      <w:r w:rsidR="007361EE" w:rsidRPr="007361EE">
        <w:rPr>
          <w:rFonts w:cstheme="minorHAnsi"/>
          <w:i/>
          <w:iCs/>
          <w:sz w:val="20"/>
          <w:szCs w:val="20"/>
        </w:rPr>
        <w:t>Prolonged duration of COVID-19 vaccine-induced lymphadenopathy</w:t>
      </w:r>
      <w:r w:rsidR="007361EE" w:rsidRPr="007361EE">
        <w:rPr>
          <w:rFonts w:cstheme="minorHAnsi"/>
        </w:rPr>
        <w:t xml:space="preserve"> </w:t>
      </w:r>
      <w:r w:rsidR="00851936">
        <w:rPr>
          <w:rStyle w:val="FootnoteReference"/>
          <w:rFonts w:cstheme="minorHAnsi"/>
        </w:rPr>
        <w:footnoteReference w:id="16"/>
      </w:r>
      <w:r w:rsidR="00E618E8">
        <w:rPr>
          <w:rFonts w:cstheme="minorHAnsi"/>
        </w:rPr>
        <w:t xml:space="preserve"> </w:t>
      </w:r>
      <w:r w:rsidR="007361EE">
        <w:rPr>
          <w:rFonts w:cstheme="minorHAnsi"/>
        </w:rPr>
        <w:t xml:space="preserve">, </w:t>
      </w:r>
      <w:r w:rsidR="00167EA3">
        <w:rPr>
          <w:rFonts w:cstheme="minorHAnsi"/>
        </w:rPr>
        <w:t>sets out evidence from over 17,000 reports of lymphadenopathy from the Netherlands alone, show</w:t>
      </w:r>
      <w:r w:rsidR="0070340C">
        <w:rPr>
          <w:rFonts w:cstheme="minorHAnsi"/>
        </w:rPr>
        <w:t xml:space="preserve">ing high frequency </w:t>
      </w:r>
      <w:r w:rsidR="00AC0D6F">
        <w:rPr>
          <w:rFonts w:cstheme="minorHAnsi"/>
        </w:rPr>
        <w:t xml:space="preserve">after the </w:t>
      </w:r>
      <w:r w:rsidR="0070340C">
        <w:rPr>
          <w:rFonts w:cstheme="minorHAnsi"/>
        </w:rPr>
        <w:t>first</w:t>
      </w:r>
      <w:r w:rsidR="00AC0D6F">
        <w:rPr>
          <w:rFonts w:cstheme="minorHAnsi"/>
        </w:rPr>
        <w:t xml:space="preserve"> dose </w:t>
      </w:r>
      <w:r w:rsidR="0070340C">
        <w:rPr>
          <w:rFonts w:cstheme="minorHAnsi"/>
        </w:rPr>
        <w:t xml:space="preserve">and </w:t>
      </w:r>
      <w:r w:rsidR="00851936">
        <w:rPr>
          <w:rFonts w:cstheme="minorHAnsi"/>
        </w:rPr>
        <w:t>reducing</w:t>
      </w:r>
      <w:r w:rsidR="00E60104">
        <w:rPr>
          <w:rFonts w:cstheme="minorHAnsi"/>
        </w:rPr>
        <w:t xml:space="preserve"> numbers</w:t>
      </w:r>
      <w:r w:rsidR="00AC0D6F">
        <w:rPr>
          <w:rFonts w:cstheme="minorHAnsi"/>
        </w:rPr>
        <w:t xml:space="preserve"> but </w:t>
      </w:r>
      <w:r w:rsidR="00E60104">
        <w:rPr>
          <w:rFonts w:cstheme="minorHAnsi"/>
        </w:rPr>
        <w:t>increased intensity of reaction the more doses were administered</w:t>
      </w:r>
    </w:p>
    <w:p w14:paraId="03FC595D" w14:textId="34BBFB58" w:rsidR="00151399" w:rsidRDefault="00151399">
      <w:pPr>
        <w:rPr>
          <w:rFonts w:cstheme="minorHAnsi"/>
        </w:rPr>
      </w:pPr>
      <w:r w:rsidRPr="0081794F">
        <w:rPr>
          <w:rFonts w:cstheme="minorHAnsi"/>
          <w:i/>
          <w:iCs/>
          <w:sz w:val="20"/>
          <w:szCs w:val="20"/>
        </w:rPr>
        <w:t xml:space="preserve">Within the 18,986 reports on lymphadenopathy following COVID-19 vaccination, </w:t>
      </w:r>
      <w:r w:rsidRPr="00216E6E">
        <w:rPr>
          <w:rFonts w:cstheme="minorHAnsi"/>
          <w:i/>
          <w:iCs/>
          <w:sz w:val="20"/>
          <w:szCs w:val="20"/>
          <w:highlight w:val="yellow"/>
        </w:rPr>
        <w:t>we identified 67 cases with prolonged duration of 6 months or more</w:t>
      </w:r>
      <w:r w:rsidRPr="0081794F">
        <w:rPr>
          <w:rFonts w:cstheme="minorHAnsi"/>
          <w:i/>
          <w:iCs/>
          <w:sz w:val="20"/>
          <w:szCs w:val="20"/>
        </w:rPr>
        <w:t>. These reports contained a total of 73</w:t>
      </w:r>
      <w:r w:rsidR="0081794F" w:rsidRPr="0081794F">
        <w:rPr>
          <w:rFonts w:cstheme="minorHAnsi"/>
          <w:i/>
          <w:iCs/>
          <w:sz w:val="20"/>
          <w:szCs w:val="20"/>
        </w:rPr>
        <w:t xml:space="preserve"> lymphadenopathy-related MedDRA preferred terms (PT) since some patients developed lymphadenopathy at multiple sites. All cases were reported by consumers or other non-health care professionals. </w:t>
      </w:r>
      <w:r w:rsidR="0081794F" w:rsidRPr="0081794F">
        <w:rPr>
          <w:rFonts w:cstheme="minorHAnsi"/>
          <w:i/>
          <w:iCs/>
          <w:sz w:val="20"/>
          <w:szCs w:val="20"/>
          <w:highlight w:val="yellow"/>
        </w:rPr>
        <w:t>The most frequently reported COVID-19 vaccine brand was BioNTech/Pfizer (66%),</w:t>
      </w:r>
      <w:r w:rsidR="0081794F" w:rsidRPr="0081794F">
        <w:rPr>
          <w:rFonts w:cstheme="minorHAnsi"/>
          <w:i/>
          <w:iCs/>
          <w:sz w:val="20"/>
          <w:szCs w:val="20"/>
        </w:rPr>
        <w:t xml:space="preserve"> followed by Moderna (22%), AstraZeneca (8%), Janssen (3%), and unspecified brand (2%). </w:t>
      </w:r>
      <w:r w:rsidR="0081794F" w:rsidRPr="0081794F">
        <w:rPr>
          <w:rFonts w:cstheme="minorHAnsi"/>
          <w:i/>
          <w:iCs/>
          <w:sz w:val="20"/>
          <w:szCs w:val="20"/>
          <w:highlight w:val="yellow"/>
        </w:rPr>
        <w:t>Most cases were reported for the primary series (85%; 55% for the first vaccination and 30% for the second). Only 15% of cases was reported for the booster vaccination</w:t>
      </w:r>
      <w:r w:rsidR="0081794F" w:rsidRPr="0081794F">
        <w:rPr>
          <w:rFonts w:cstheme="minorHAnsi"/>
          <w:highlight w:val="yellow"/>
        </w:rPr>
        <w:t>.</w:t>
      </w:r>
    </w:p>
    <w:p w14:paraId="6EFF22D3" w14:textId="56372E1E" w:rsidR="006B45CF" w:rsidRDefault="006B45CF">
      <w:pPr>
        <w:rPr>
          <w:rFonts w:cstheme="minorHAnsi"/>
        </w:rPr>
      </w:pPr>
      <w:r>
        <w:rPr>
          <w:rFonts w:cstheme="minorHAnsi"/>
        </w:rPr>
        <w:t xml:space="preserve">IN </w:t>
      </w:r>
      <w:r w:rsidR="00776DC7">
        <w:rPr>
          <w:rFonts w:cstheme="minorHAnsi"/>
        </w:rPr>
        <w:t>61 of 67 case cases the cause of the prolonged lymphadenopathy was unknown,</w:t>
      </w:r>
      <w:r w:rsidR="00216E6E">
        <w:rPr>
          <w:rFonts w:cstheme="minorHAnsi"/>
        </w:rPr>
        <w:t xml:space="preserve"> but the signal again is one linked with malignancy.</w:t>
      </w:r>
    </w:p>
    <w:p w14:paraId="47EB5676" w14:textId="3C587A02" w:rsidR="00216E6E" w:rsidRDefault="00DA5155">
      <w:pPr>
        <w:rPr>
          <w:rFonts w:cstheme="minorHAnsi"/>
        </w:rPr>
      </w:pPr>
      <w:r>
        <w:rPr>
          <w:rFonts w:cstheme="minorHAnsi"/>
        </w:rPr>
        <w:t>So,</w:t>
      </w:r>
      <w:r w:rsidR="006027A2">
        <w:rPr>
          <w:rFonts w:cstheme="minorHAnsi"/>
        </w:rPr>
        <w:t xml:space="preserve"> this confirms the position that the process 2 product begins reacting in an excessively potent manner form the first dose, and that </w:t>
      </w:r>
      <w:r>
        <w:rPr>
          <w:rFonts w:cstheme="minorHAnsi"/>
        </w:rPr>
        <w:t>reactogenicity</w:t>
      </w:r>
      <w:r w:rsidR="006027A2">
        <w:rPr>
          <w:rFonts w:cstheme="minorHAnsi"/>
        </w:rPr>
        <w:t xml:space="preserve"> is plausibly linked with and cause by endotoxin contamination from the product manufacture </w:t>
      </w:r>
      <w:r w:rsidR="00FD3C1F">
        <w:rPr>
          <w:rFonts w:cstheme="minorHAnsi"/>
        </w:rPr>
        <w:t>; and that potency was never properly evaluated for its effects on safety.</w:t>
      </w:r>
    </w:p>
    <w:p w14:paraId="3DBFA1F7" w14:textId="37324B66" w:rsidR="00FD3C1F" w:rsidRDefault="00781EE6">
      <w:pPr>
        <w:rPr>
          <w:rFonts w:cstheme="minorHAnsi"/>
          <w:b/>
          <w:bCs/>
        </w:rPr>
      </w:pPr>
      <w:r>
        <w:rPr>
          <w:rFonts w:cstheme="minorHAnsi"/>
          <w:b/>
          <w:bCs/>
        </w:rPr>
        <w:t>CONCLUSION</w:t>
      </w:r>
    </w:p>
    <w:p w14:paraId="0C86546E" w14:textId="3594F26B" w:rsidR="00781EE6" w:rsidRPr="00781EE6" w:rsidRDefault="00781EE6">
      <w:pPr>
        <w:rPr>
          <w:rFonts w:cstheme="minorHAnsi"/>
        </w:rPr>
      </w:pPr>
      <w:r>
        <w:rPr>
          <w:rFonts w:cstheme="minorHAnsi"/>
        </w:rPr>
        <w:t>The evidence presented</w:t>
      </w:r>
      <w:r w:rsidR="00787655">
        <w:rPr>
          <w:rFonts w:cstheme="minorHAnsi"/>
        </w:rPr>
        <w:t xml:space="preserve"> </w:t>
      </w:r>
      <w:r w:rsidR="007530AC">
        <w:rPr>
          <w:rFonts w:cstheme="minorHAnsi"/>
        </w:rPr>
        <w:t xml:space="preserve"> makes the case to pause the mRNA vaccines while </w:t>
      </w:r>
      <w:r w:rsidR="00E20368">
        <w:rPr>
          <w:rFonts w:cstheme="minorHAnsi"/>
        </w:rPr>
        <w:t>regulatory error is rectified and proper rigour applied to testing the product potency for safe</w:t>
      </w:r>
      <w:r w:rsidR="00601F7A">
        <w:rPr>
          <w:rFonts w:cstheme="minorHAnsi"/>
        </w:rPr>
        <w:t xml:space="preserve">ty and efficacy, as the historical record shows possible connections between </w:t>
      </w:r>
      <w:r w:rsidR="002E5E5C">
        <w:rPr>
          <w:rFonts w:cstheme="minorHAnsi"/>
        </w:rPr>
        <w:t>contamination</w:t>
      </w:r>
      <w:r w:rsidR="00601F7A">
        <w:rPr>
          <w:rFonts w:cstheme="minorHAnsi"/>
        </w:rPr>
        <w:t xml:space="preserve"> and several areas of the </w:t>
      </w:r>
      <w:r w:rsidR="002E5E5C">
        <w:rPr>
          <w:rFonts w:cstheme="minorHAnsi"/>
        </w:rPr>
        <w:t>body disproportionately affected  by the products/</w:t>
      </w:r>
    </w:p>
    <w:p w14:paraId="52EE1BAF" w14:textId="77777777" w:rsidR="00851936" w:rsidRDefault="00851936">
      <w:pPr>
        <w:rPr>
          <w:rFonts w:cstheme="minorHAnsi"/>
        </w:rPr>
      </w:pPr>
    </w:p>
    <w:p w14:paraId="5161A9E9" w14:textId="77777777" w:rsidR="00851936" w:rsidRPr="00875207" w:rsidRDefault="00851936">
      <w:pPr>
        <w:rPr>
          <w:rFonts w:cstheme="minorHAnsi"/>
        </w:rPr>
      </w:pPr>
    </w:p>
    <w:sectPr w:rsidR="00851936" w:rsidRPr="00875207" w:rsidSect="00F03858">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9B483C" w14:textId="77777777" w:rsidR="006D3010" w:rsidRDefault="006D3010" w:rsidP="004C7D1A">
      <w:pPr>
        <w:spacing w:after="0" w:line="240" w:lineRule="auto"/>
      </w:pPr>
      <w:r>
        <w:separator/>
      </w:r>
    </w:p>
  </w:endnote>
  <w:endnote w:type="continuationSeparator" w:id="0">
    <w:p w14:paraId="7A143F39" w14:textId="77777777" w:rsidR="006D3010" w:rsidRDefault="006D3010" w:rsidP="004C7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89883E" w14:textId="77777777" w:rsidR="006D3010" w:rsidRDefault="006D3010" w:rsidP="004C7D1A">
      <w:pPr>
        <w:spacing w:after="0" w:line="240" w:lineRule="auto"/>
      </w:pPr>
      <w:r>
        <w:separator/>
      </w:r>
    </w:p>
  </w:footnote>
  <w:footnote w:type="continuationSeparator" w:id="0">
    <w:p w14:paraId="34B701EE" w14:textId="77777777" w:rsidR="006D3010" w:rsidRDefault="006D3010" w:rsidP="004C7D1A">
      <w:pPr>
        <w:spacing w:after="0" w:line="240" w:lineRule="auto"/>
      </w:pPr>
      <w:r>
        <w:continuationSeparator/>
      </w:r>
    </w:p>
  </w:footnote>
  <w:footnote w:id="1">
    <w:p w14:paraId="401F1F6F" w14:textId="59A917CE" w:rsidR="00C809B5" w:rsidRPr="00C809B5" w:rsidRDefault="00C809B5">
      <w:pPr>
        <w:pStyle w:val="FootnoteText"/>
        <w:rPr>
          <w:sz w:val="16"/>
          <w:szCs w:val="16"/>
        </w:rPr>
      </w:pPr>
      <w:r w:rsidRPr="00C809B5">
        <w:rPr>
          <w:rStyle w:val="FootnoteReference"/>
          <w:sz w:val="16"/>
          <w:szCs w:val="16"/>
        </w:rPr>
        <w:footnoteRef/>
      </w:r>
      <w:r w:rsidRPr="00C809B5">
        <w:rPr>
          <w:sz w:val="16"/>
          <w:szCs w:val="16"/>
        </w:rPr>
        <w:t xml:space="preserve"> https://www.sec.gov/Archives/edgar/data/1682852/000168285221000006/mrna-20201231.htm</w:t>
      </w:r>
    </w:p>
  </w:footnote>
  <w:footnote w:id="2">
    <w:p w14:paraId="79B013FF" w14:textId="77777777" w:rsidR="0094686B" w:rsidRPr="00944EA2" w:rsidRDefault="0094686B" w:rsidP="0094686B">
      <w:pPr>
        <w:pStyle w:val="FootnoteText"/>
        <w:rPr>
          <w:sz w:val="16"/>
          <w:szCs w:val="16"/>
        </w:rPr>
      </w:pPr>
      <w:r>
        <w:rPr>
          <w:rStyle w:val="FootnoteReference"/>
        </w:rPr>
        <w:footnoteRef/>
      </w:r>
      <w:r>
        <w:t xml:space="preserve"> </w:t>
      </w:r>
      <w:r w:rsidRPr="00944EA2">
        <w:rPr>
          <w:sz w:val="16"/>
          <w:szCs w:val="16"/>
        </w:rPr>
        <w:t>https://www.tga.gov.au/sites/default/files/foi-2389-06.pdf</w:t>
      </w:r>
    </w:p>
  </w:footnote>
  <w:footnote w:id="3">
    <w:p w14:paraId="65A3D113" w14:textId="77777777" w:rsidR="003A4EB0" w:rsidRPr="0014662B" w:rsidRDefault="003A4EB0" w:rsidP="003A4EB0">
      <w:pPr>
        <w:pStyle w:val="FootnoteText"/>
        <w:rPr>
          <w:sz w:val="16"/>
          <w:szCs w:val="16"/>
        </w:rPr>
      </w:pPr>
      <w:r w:rsidRPr="00944EA2">
        <w:rPr>
          <w:rStyle w:val="FootnoteReference"/>
          <w:sz w:val="16"/>
          <w:szCs w:val="16"/>
        </w:rPr>
        <w:footnoteRef/>
      </w:r>
      <w:r w:rsidRPr="00944EA2">
        <w:rPr>
          <w:sz w:val="16"/>
          <w:szCs w:val="16"/>
        </w:rPr>
        <w:t xml:space="preserve"> </w:t>
      </w:r>
      <w:r w:rsidRPr="0014662B">
        <w:rPr>
          <w:sz w:val="16"/>
          <w:szCs w:val="16"/>
        </w:rPr>
        <w:t>https://www.fda.gov/media/144416/download</w:t>
      </w:r>
    </w:p>
  </w:footnote>
  <w:footnote w:id="4">
    <w:p w14:paraId="66A50F3D" w14:textId="77777777" w:rsidR="0014662B" w:rsidRPr="0014662B" w:rsidRDefault="0014662B" w:rsidP="0014662B">
      <w:pPr>
        <w:pStyle w:val="FootnoteText"/>
        <w:rPr>
          <w:sz w:val="16"/>
          <w:szCs w:val="16"/>
        </w:rPr>
      </w:pPr>
      <w:r w:rsidRPr="0014662B">
        <w:rPr>
          <w:rStyle w:val="FootnoteReference"/>
          <w:sz w:val="16"/>
          <w:szCs w:val="16"/>
        </w:rPr>
        <w:footnoteRef/>
      </w:r>
      <w:r w:rsidRPr="0014662B">
        <w:rPr>
          <w:sz w:val="16"/>
          <w:szCs w:val="16"/>
        </w:rPr>
        <w:t xml:space="preserve"> https://www.mdpi.com/2076-393X/9/10/1063</w:t>
      </w:r>
    </w:p>
  </w:footnote>
  <w:footnote w:id="5">
    <w:p w14:paraId="1D595434" w14:textId="6BF2CDF6" w:rsidR="004C7D1A" w:rsidRPr="0014662B" w:rsidRDefault="004C7D1A">
      <w:pPr>
        <w:pStyle w:val="FootnoteText"/>
        <w:rPr>
          <w:sz w:val="16"/>
          <w:szCs w:val="16"/>
        </w:rPr>
      </w:pPr>
      <w:r w:rsidRPr="0014662B">
        <w:rPr>
          <w:rStyle w:val="FootnoteReference"/>
          <w:sz w:val="16"/>
          <w:szCs w:val="16"/>
        </w:rPr>
        <w:footnoteRef/>
      </w:r>
      <w:r w:rsidRPr="0014662B">
        <w:rPr>
          <w:sz w:val="16"/>
          <w:szCs w:val="16"/>
        </w:rPr>
        <w:t xml:space="preserve"> https://pmc.ncbi.nlm.nih.gov/articles/PMC4947948/</w:t>
      </w:r>
    </w:p>
  </w:footnote>
  <w:footnote w:id="6">
    <w:p w14:paraId="142D10C1" w14:textId="77777777" w:rsidR="000A0D3F" w:rsidRPr="000A0D3F" w:rsidRDefault="000A0D3F" w:rsidP="000A0D3F">
      <w:pPr>
        <w:pStyle w:val="FootnoteText"/>
        <w:rPr>
          <w:sz w:val="16"/>
          <w:szCs w:val="16"/>
        </w:rPr>
      </w:pPr>
      <w:r w:rsidRPr="000A0D3F">
        <w:rPr>
          <w:rStyle w:val="FootnoteReference"/>
          <w:sz w:val="16"/>
          <w:szCs w:val="16"/>
        </w:rPr>
        <w:footnoteRef/>
      </w:r>
      <w:r w:rsidRPr="000A0D3F">
        <w:rPr>
          <w:sz w:val="16"/>
          <w:szCs w:val="16"/>
        </w:rPr>
        <w:t xml:space="preserve"> https://www.fda.gov/media/167211/download?attachment</w:t>
      </w:r>
    </w:p>
  </w:footnote>
  <w:footnote w:id="7">
    <w:p w14:paraId="7C929915" w14:textId="75AC0E9B" w:rsidR="000A0D3F" w:rsidRPr="000A0D3F" w:rsidRDefault="000A0D3F">
      <w:pPr>
        <w:pStyle w:val="FootnoteText"/>
        <w:rPr>
          <w:sz w:val="16"/>
          <w:szCs w:val="16"/>
        </w:rPr>
      </w:pPr>
      <w:r w:rsidRPr="000A0D3F">
        <w:rPr>
          <w:rStyle w:val="FootnoteReference"/>
          <w:sz w:val="16"/>
          <w:szCs w:val="16"/>
        </w:rPr>
        <w:footnoteRef/>
      </w:r>
      <w:r w:rsidRPr="000A0D3F">
        <w:rPr>
          <w:sz w:val="16"/>
          <w:szCs w:val="16"/>
        </w:rPr>
        <w:t xml:space="preserve"> https://www.fda.gov/news-events/press-announcements/fda-approves-and-authorizes-updated-mrna-covid-19-vaccines-better-protect-against-currently</w:t>
      </w:r>
    </w:p>
  </w:footnote>
  <w:footnote w:id="8">
    <w:p w14:paraId="11744A93" w14:textId="77777777" w:rsidR="005602DA" w:rsidRPr="00B71498" w:rsidRDefault="005602DA" w:rsidP="005602DA">
      <w:pPr>
        <w:pStyle w:val="FootnoteText"/>
        <w:rPr>
          <w:sz w:val="16"/>
          <w:szCs w:val="16"/>
        </w:rPr>
      </w:pPr>
      <w:r>
        <w:rPr>
          <w:rStyle w:val="FootnoteReference"/>
        </w:rPr>
        <w:footnoteRef/>
      </w:r>
      <w:r>
        <w:t xml:space="preserve"> </w:t>
      </w:r>
      <w:r w:rsidRPr="00B71498">
        <w:rPr>
          <w:sz w:val="16"/>
          <w:szCs w:val="16"/>
        </w:rPr>
        <w:t>https://www.fda.gov/media/152176/download</w:t>
      </w:r>
    </w:p>
  </w:footnote>
  <w:footnote w:id="9">
    <w:p w14:paraId="50642FDE" w14:textId="71662F86" w:rsidR="00726303" w:rsidRPr="00726303" w:rsidRDefault="00726303">
      <w:pPr>
        <w:pStyle w:val="FootnoteText"/>
        <w:rPr>
          <w:sz w:val="16"/>
          <w:szCs w:val="16"/>
        </w:rPr>
      </w:pPr>
      <w:r w:rsidRPr="00726303">
        <w:rPr>
          <w:rStyle w:val="FootnoteReference"/>
          <w:sz w:val="16"/>
          <w:szCs w:val="16"/>
        </w:rPr>
        <w:footnoteRef/>
      </w:r>
      <w:r w:rsidRPr="00726303">
        <w:rPr>
          <w:sz w:val="16"/>
          <w:szCs w:val="16"/>
        </w:rPr>
        <w:t xml:space="preserve"> https://www.ema.europa.eu/en/documents/variation-report/comirnaty-h-c-5735-ii-0067-epar-assessment-report-variation_en.pdf</w:t>
      </w:r>
    </w:p>
  </w:footnote>
  <w:footnote w:id="10">
    <w:p w14:paraId="0E75D3A6" w14:textId="08218D47" w:rsidR="00726303" w:rsidRPr="00623B07" w:rsidRDefault="00726303">
      <w:pPr>
        <w:pStyle w:val="FootnoteText"/>
        <w:rPr>
          <w:sz w:val="16"/>
          <w:szCs w:val="16"/>
        </w:rPr>
      </w:pPr>
      <w:r>
        <w:rPr>
          <w:rStyle w:val="FootnoteReference"/>
        </w:rPr>
        <w:footnoteRef/>
      </w:r>
      <w:r>
        <w:t xml:space="preserve"> </w:t>
      </w:r>
      <w:r w:rsidRPr="00623B07">
        <w:rPr>
          <w:sz w:val="16"/>
          <w:szCs w:val="16"/>
        </w:rPr>
        <w:t>https://web.archive.org/web/20201203150911/https://www.gov.uk/government/publications/regulatory-approval-of-pfizer-biontech-vaccine-for-covid-19/conditions-of-authorisation-for-pfizerbiontech-covid-19-vaccine</w:t>
      </w:r>
    </w:p>
  </w:footnote>
  <w:footnote w:id="11">
    <w:p w14:paraId="398651D2" w14:textId="5C8DD7FF" w:rsidR="00E604FB" w:rsidRPr="00E604FB" w:rsidRDefault="00E604FB">
      <w:pPr>
        <w:pStyle w:val="FootnoteText"/>
        <w:rPr>
          <w:sz w:val="16"/>
          <w:szCs w:val="16"/>
        </w:rPr>
      </w:pPr>
      <w:r>
        <w:rPr>
          <w:rStyle w:val="FootnoteReference"/>
        </w:rPr>
        <w:footnoteRef/>
      </w:r>
      <w:r>
        <w:t xml:space="preserve"> </w:t>
      </w:r>
      <w:r w:rsidRPr="00E604FB">
        <w:rPr>
          <w:sz w:val="16"/>
          <w:szCs w:val="16"/>
        </w:rPr>
        <w:t>https://web.archive.org/web/20201216233459/https://www.gov.uk/government/publications/regulatory-approval-of-pfizer-biontech-vaccine-for-covid-19/summary-public-assessment-report-for-pfizerbiontech-covid-19-vaccine</w:t>
      </w:r>
    </w:p>
  </w:footnote>
  <w:footnote w:id="12">
    <w:p w14:paraId="4F392E17" w14:textId="20146A9B" w:rsidR="00623B07" w:rsidRPr="00623B07" w:rsidRDefault="00623B07">
      <w:pPr>
        <w:pStyle w:val="FootnoteText"/>
        <w:rPr>
          <w:sz w:val="16"/>
          <w:szCs w:val="16"/>
        </w:rPr>
      </w:pPr>
      <w:r w:rsidRPr="00E604FB">
        <w:rPr>
          <w:rStyle w:val="FootnoteReference"/>
          <w:sz w:val="16"/>
          <w:szCs w:val="16"/>
        </w:rPr>
        <w:footnoteRef/>
      </w:r>
      <w:r w:rsidRPr="00E604FB">
        <w:rPr>
          <w:sz w:val="16"/>
          <w:szCs w:val="16"/>
        </w:rPr>
        <w:t xml:space="preserve"> https://www.fda.gov/inspections-compliance-enforcement-and-criminal-investigations/inspection-technical-guides/bacterial-endotoxinspyrogens</w:t>
      </w:r>
    </w:p>
  </w:footnote>
  <w:footnote w:id="13">
    <w:p w14:paraId="032754D1" w14:textId="0D7EB1C4" w:rsidR="00191498" w:rsidRDefault="00191498">
      <w:pPr>
        <w:pStyle w:val="FootnoteText"/>
      </w:pPr>
      <w:r>
        <w:rPr>
          <w:rStyle w:val="FootnoteReference"/>
        </w:rPr>
        <w:footnoteRef/>
      </w:r>
      <w:r>
        <w:t xml:space="preserve"> </w:t>
      </w:r>
      <w:r w:rsidRPr="00191498">
        <w:rPr>
          <w:sz w:val="16"/>
          <w:szCs w:val="16"/>
        </w:rPr>
        <w:t>https://www.tga.gov.au/resources/publication/tga-laboratory-testing-reports/summary-report-residual-dna-and-endotoxin-covid-19-mrna-vaccines-conducted-tga-laboratories</w:t>
      </w:r>
    </w:p>
  </w:footnote>
  <w:footnote w:id="14">
    <w:p w14:paraId="70303086" w14:textId="77777777" w:rsidR="00814405" w:rsidRPr="00814405" w:rsidRDefault="00814405" w:rsidP="00814405">
      <w:pPr>
        <w:rPr>
          <w:rFonts w:cstheme="minorHAnsi"/>
          <w:sz w:val="16"/>
          <w:szCs w:val="16"/>
        </w:rPr>
      </w:pPr>
      <w:r w:rsidRPr="00814405">
        <w:rPr>
          <w:rStyle w:val="FootnoteReference"/>
          <w:sz w:val="16"/>
          <w:szCs w:val="16"/>
        </w:rPr>
        <w:footnoteRef/>
      </w:r>
      <w:r w:rsidRPr="00814405">
        <w:rPr>
          <w:sz w:val="16"/>
          <w:szCs w:val="16"/>
        </w:rPr>
        <w:t xml:space="preserve"> </w:t>
      </w:r>
      <w:hyperlink r:id="rId1" w:anchor="_Toc315937931" w:history="1">
        <w:r w:rsidRPr="00814405">
          <w:rPr>
            <w:rStyle w:val="Hyperlink"/>
            <w:rFonts w:cstheme="minorHAnsi"/>
            <w:sz w:val="16"/>
            <w:szCs w:val="16"/>
          </w:rPr>
          <w:t>https://www.fda.gov/regulatory-information/search-fda-guidance-documents/guidance-industry-pyrogen-and-endotoxins-testing-questions-and-answers#_Toc315937931</w:t>
        </w:r>
      </w:hyperlink>
    </w:p>
    <w:p w14:paraId="5188D728" w14:textId="03C26EC8" w:rsidR="00814405" w:rsidRDefault="00814405">
      <w:pPr>
        <w:pStyle w:val="FootnoteText"/>
      </w:pPr>
    </w:p>
  </w:footnote>
  <w:footnote w:id="15">
    <w:p w14:paraId="66586D51" w14:textId="517CF0EE" w:rsidR="002807E0" w:rsidRDefault="002807E0">
      <w:pPr>
        <w:pStyle w:val="FootnoteText"/>
      </w:pPr>
      <w:r>
        <w:rPr>
          <w:rStyle w:val="FootnoteReference"/>
        </w:rPr>
        <w:footnoteRef/>
      </w:r>
      <w:r>
        <w:t xml:space="preserve"> </w:t>
      </w:r>
      <w:r w:rsidRPr="002807E0">
        <w:rPr>
          <w:sz w:val="16"/>
          <w:szCs w:val="16"/>
        </w:rPr>
        <w:t>https://assets.publishing.service.gov.uk/media/65f06d57133c220011cd38ce/FOI_22-1232_PDF_attachment__2_.pdf</w:t>
      </w:r>
    </w:p>
  </w:footnote>
  <w:footnote w:id="16">
    <w:p w14:paraId="7CB07BC5" w14:textId="620944D6" w:rsidR="00851936" w:rsidRPr="00851936" w:rsidRDefault="00851936">
      <w:pPr>
        <w:pStyle w:val="FootnoteText"/>
        <w:rPr>
          <w:sz w:val="16"/>
          <w:szCs w:val="16"/>
        </w:rPr>
      </w:pPr>
      <w:r>
        <w:rPr>
          <w:rStyle w:val="FootnoteReference"/>
        </w:rPr>
        <w:footnoteRef/>
      </w:r>
      <w:r>
        <w:t xml:space="preserve"> </w:t>
      </w:r>
      <w:r w:rsidRPr="00851936">
        <w:rPr>
          <w:sz w:val="16"/>
          <w:szCs w:val="16"/>
        </w:rPr>
        <w:t>https://www.lareb.nl/Knowledge/FilePreview?id=50729&amp;p=33578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B96CB6"/>
    <w:multiLevelType w:val="multilevel"/>
    <w:tmpl w:val="B6BE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3314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207"/>
    <w:rsid w:val="00014CDC"/>
    <w:rsid w:val="00025C10"/>
    <w:rsid w:val="00033768"/>
    <w:rsid w:val="00083E9E"/>
    <w:rsid w:val="000A0CB5"/>
    <w:rsid w:val="000A0D3F"/>
    <w:rsid w:val="000D7E91"/>
    <w:rsid w:val="000F3004"/>
    <w:rsid w:val="00123524"/>
    <w:rsid w:val="0014662B"/>
    <w:rsid w:val="00151399"/>
    <w:rsid w:val="00157171"/>
    <w:rsid w:val="00160DC1"/>
    <w:rsid w:val="00167EA3"/>
    <w:rsid w:val="00191498"/>
    <w:rsid w:val="001A10F6"/>
    <w:rsid w:val="001A35D5"/>
    <w:rsid w:val="001B2551"/>
    <w:rsid w:val="001C6C55"/>
    <w:rsid w:val="001D2168"/>
    <w:rsid w:val="00207FCE"/>
    <w:rsid w:val="00216E6E"/>
    <w:rsid w:val="002548A0"/>
    <w:rsid w:val="0027258B"/>
    <w:rsid w:val="0027786E"/>
    <w:rsid w:val="002807E0"/>
    <w:rsid w:val="002A62BE"/>
    <w:rsid w:val="002B2160"/>
    <w:rsid w:val="002B3E0A"/>
    <w:rsid w:val="002C0E3A"/>
    <w:rsid w:val="002E5E5C"/>
    <w:rsid w:val="002E6C61"/>
    <w:rsid w:val="00342746"/>
    <w:rsid w:val="003A2DE3"/>
    <w:rsid w:val="003A4EB0"/>
    <w:rsid w:val="00400CD2"/>
    <w:rsid w:val="00402F82"/>
    <w:rsid w:val="004134B9"/>
    <w:rsid w:val="00480FAF"/>
    <w:rsid w:val="004A1FE3"/>
    <w:rsid w:val="004C7D1A"/>
    <w:rsid w:val="004F54E7"/>
    <w:rsid w:val="00510A0F"/>
    <w:rsid w:val="00516AE3"/>
    <w:rsid w:val="0055722C"/>
    <w:rsid w:val="005602DA"/>
    <w:rsid w:val="005B6387"/>
    <w:rsid w:val="005C095B"/>
    <w:rsid w:val="005C5102"/>
    <w:rsid w:val="005C6003"/>
    <w:rsid w:val="005F4089"/>
    <w:rsid w:val="00601F7A"/>
    <w:rsid w:val="006027A2"/>
    <w:rsid w:val="00612573"/>
    <w:rsid w:val="0062008D"/>
    <w:rsid w:val="00620FBF"/>
    <w:rsid w:val="00623B07"/>
    <w:rsid w:val="006372B5"/>
    <w:rsid w:val="00691681"/>
    <w:rsid w:val="006B3C35"/>
    <w:rsid w:val="006B45CF"/>
    <w:rsid w:val="006D3010"/>
    <w:rsid w:val="0070340C"/>
    <w:rsid w:val="0071469F"/>
    <w:rsid w:val="00726303"/>
    <w:rsid w:val="007361EE"/>
    <w:rsid w:val="007530AC"/>
    <w:rsid w:val="007626E9"/>
    <w:rsid w:val="007664C2"/>
    <w:rsid w:val="00766821"/>
    <w:rsid w:val="00776DC7"/>
    <w:rsid w:val="00781EE6"/>
    <w:rsid w:val="00787655"/>
    <w:rsid w:val="007D7250"/>
    <w:rsid w:val="007F081E"/>
    <w:rsid w:val="00811789"/>
    <w:rsid w:val="00814405"/>
    <w:rsid w:val="0081794F"/>
    <w:rsid w:val="00823268"/>
    <w:rsid w:val="00835165"/>
    <w:rsid w:val="00841F2C"/>
    <w:rsid w:val="00845A29"/>
    <w:rsid w:val="00851936"/>
    <w:rsid w:val="00875207"/>
    <w:rsid w:val="008760DE"/>
    <w:rsid w:val="00890C7B"/>
    <w:rsid w:val="00891E6C"/>
    <w:rsid w:val="008950E1"/>
    <w:rsid w:val="008A717E"/>
    <w:rsid w:val="009035BA"/>
    <w:rsid w:val="00914BC1"/>
    <w:rsid w:val="0092472B"/>
    <w:rsid w:val="009337A9"/>
    <w:rsid w:val="00944EA2"/>
    <w:rsid w:val="0094686B"/>
    <w:rsid w:val="00971649"/>
    <w:rsid w:val="009749A4"/>
    <w:rsid w:val="00982443"/>
    <w:rsid w:val="009956AD"/>
    <w:rsid w:val="009B2021"/>
    <w:rsid w:val="009D0698"/>
    <w:rsid w:val="009F1B31"/>
    <w:rsid w:val="009F4186"/>
    <w:rsid w:val="00A040F4"/>
    <w:rsid w:val="00A74B5C"/>
    <w:rsid w:val="00A85686"/>
    <w:rsid w:val="00A9042E"/>
    <w:rsid w:val="00A91904"/>
    <w:rsid w:val="00A96109"/>
    <w:rsid w:val="00AB1B72"/>
    <w:rsid w:val="00AC0D6F"/>
    <w:rsid w:val="00AD2533"/>
    <w:rsid w:val="00AD43DF"/>
    <w:rsid w:val="00B013CA"/>
    <w:rsid w:val="00B20B5E"/>
    <w:rsid w:val="00B32A52"/>
    <w:rsid w:val="00B523D9"/>
    <w:rsid w:val="00B71975"/>
    <w:rsid w:val="00B719A9"/>
    <w:rsid w:val="00B9276C"/>
    <w:rsid w:val="00B93AA7"/>
    <w:rsid w:val="00BC57C6"/>
    <w:rsid w:val="00C04243"/>
    <w:rsid w:val="00C066E7"/>
    <w:rsid w:val="00C263E5"/>
    <w:rsid w:val="00C809B5"/>
    <w:rsid w:val="00C83F41"/>
    <w:rsid w:val="00CA7A7B"/>
    <w:rsid w:val="00CB0F74"/>
    <w:rsid w:val="00CD78F1"/>
    <w:rsid w:val="00D5752E"/>
    <w:rsid w:val="00D604AC"/>
    <w:rsid w:val="00D63AD3"/>
    <w:rsid w:val="00D95F81"/>
    <w:rsid w:val="00DA5155"/>
    <w:rsid w:val="00DD1E3E"/>
    <w:rsid w:val="00DF08DC"/>
    <w:rsid w:val="00E20368"/>
    <w:rsid w:val="00E21F02"/>
    <w:rsid w:val="00E25D8E"/>
    <w:rsid w:val="00E518CA"/>
    <w:rsid w:val="00E60104"/>
    <w:rsid w:val="00E604FB"/>
    <w:rsid w:val="00E6097D"/>
    <w:rsid w:val="00E618E8"/>
    <w:rsid w:val="00E77DBB"/>
    <w:rsid w:val="00ED4505"/>
    <w:rsid w:val="00F03858"/>
    <w:rsid w:val="00F332FE"/>
    <w:rsid w:val="00F378F5"/>
    <w:rsid w:val="00F83AD9"/>
    <w:rsid w:val="00FB2D32"/>
    <w:rsid w:val="00FD3C1F"/>
    <w:rsid w:val="00FD472A"/>
    <w:rsid w:val="00FE166D"/>
    <w:rsid w:val="00FE23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0DE4C"/>
  <w15:chartTrackingRefBased/>
  <w15:docId w15:val="{2925C259-C708-40CB-A8C4-2510F4776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2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752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7520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520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520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52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2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2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2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20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752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7520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520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520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52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2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2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207"/>
    <w:rPr>
      <w:rFonts w:eastAsiaTheme="majorEastAsia" w:cstheme="majorBidi"/>
      <w:color w:val="272727" w:themeColor="text1" w:themeTint="D8"/>
    </w:rPr>
  </w:style>
  <w:style w:type="paragraph" w:styleId="Title">
    <w:name w:val="Title"/>
    <w:basedOn w:val="Normal"/>
    <w:next w:val="Normal"/>
    <w:link w:val="TitleChar"/>
    <w:uiPriority w:val="10"/>
    <w:qFormat/>
    <w:rsid w:val="008752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2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2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2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207"/>
    <w:pPr>
      <w:spacing w:before="160"/>
      <w:jc w:val="center"/>
    </w:pPr>
    <w:rPr>
      <w:i/>
      <w:iCs/>
      <w:color w:val="404040" w:themeColor="text1" w:themeTint="BF"/>
    </w:rPr>
  </w:style>
  <w:style w:type="character" w:customStyle="1" w:styleId="QuoteChar">
    <w:name w:val="Quote Char"/>
    <w:basedOn w:val="DefaultParagraphFont"/>
    <w:link w:val="Quote"/>
    <w:uiPriority w:val="29"/>
    <w:rsid w:val="00875207"/>
    <w:rPr>
      <w:i/>
      <w:iCs/>
      <w:color w:val="404040" w:themeColor="text1" w:themeTint="BF"/>
    </w:rPr>
  </w:style>
  <w:style w:type="paragraph" w:styleId="ListParagraph">
    <w:name w:val="List Paragraph"/>
    <w:basedOn w:val="Normal"/>
    <w:uiPriority w:val="34"/>
    <w:qFormat/>
    <w:rsid w:val="00875207"/>
    <w:pPr>
      <w:ind w:left="720"/>
      <w:contextualSpacing/>
    </w:pPr>
  </w:style>
  <w:style w:type="character" w:styleId="IntenseEmphasis">
    <w:name w:val="Intense Emphasis"/>
    <w:basedOn w:val="DefaultParagraphFont"/>
    <w:uiPriority w:val="21"/>
    <w:qFormat/>
    <w:rsid w:val="00875207"/>
    <w:rPr>
      <w:i/>
      <w:iCs/>
      <w:color w:val="2F5496" w:themeColor="accent1" w:themeShade="BF"/>
    </w:rPr>
  </w:style>
  <w:style w:type="paragraph" w:styleId="IntenseQuote">
    <w:name w:val="Intense Quote"/>
    <w:basedOn w:val="Normal"/>
    <w:next w:val="Normal"/>
    <w:link w:val="IntenseQuoteChar"/>
    <w:uiPriority w:val="30"/>
    <w:qFormat/>
    <w:rsid w:val="008752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5207"/>
    <w:rPr>
      <w:i/>
      <w:iCs/>
      <w:color w:val="2F5496" w:themeColor="accent1" w:themeShade="BF"/>
    </w:rPr>
  </w:style>
  <w:style w:type="character" w:styleId="IntenseReference">
    <w:name w:val="Intense Reference"/>
    <w:basedOn w:val="DefaultParagraphFont"/>
    <w:uiPriority w:val="32"/>
    <w:qFormat/>
    <w:rsid w:val="00875207"/>
    <w:rPr>
      <w:b/>
      <w:bCs/>
      <w:smallCaps/>
      <w:color w:val="2F5496" w:themeColor="accent1" w:themeShade="BF"/>
      <w:spacing w:val="5"/>
    </w:rPr>
  </w:style>
  <w:style w:type="character" w:styleId="Hyperlink">
    <w:name w:val="Hyperlink"/>
    <w:basedOn w:val="DefaultParagraphFont"/>
    <w:uiPriority w:val="99"/>
    <w:unhideWhenUsed/>
    <w:rsid w:val="00875207"/>
    <w:rPr>
      <w:color w:val="0563C1" w:themeColor="hyperlink"/>
      <w:u w:val="single"/>
    </w:rPr>
  </w:style>
  <w:style w:type="character" w:styleId="UnresolvedMention">
    <w:name w:val="Unresolved Mention"/>
    <w:basedOn w:val="DefaultParagraphFont"/>
    <w:uiPriority w:val="99"/>
    <w:semiHidden/>
    <w:unhideWhenUsed/>
    <w:rsid w:val="00875207"/>
    <w:rPr>
      <w:color w:val="605E5C"/>
      <w:shd w:val="clear" w:color="auto" w:fill="E1DFDD"/>
    </w:rPr>
  </w:style>
  <w:style w:type="paragraph" w:styleId="FootnoteText">
    <w:name w:val="footnote text"/>
    <w:basedOn w:val="Normal"/>
    <w:link w:val="FootnoteTextChar"/>
    <w:uiPriority w:val="99"/>
    <w:semiHidden/>
    <w:unhideWhenUsed/>
    <w:rsid w:val="004C7D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7D1A"/>
    <w:rPr>
      <w:sz w:val="20"/>
      <w:szCs w:val="20"/>
    </w:rPr>
  </w:style>
  <w:style w:type="character" w:styleId="FootnoteReference">
    <w:name w:val="footnote reference"/>
    <w:basedOn w:val="DefaultParagraphFont"/>
    <w:uiPriority w:val="99"/>
    <w:semiHidden/>
    <w:unhideWhenUsed/>
    <w:rsid w:val="004C7D1A"/>
    <w:rPr>
      <w:vertAlign w:val="superscript"/>
    </w:rPr>
  </w:style>
  <w:style w:type="character" w:customStyle="1" w:styleId="uv3um">
    <w:name w:val="uv3um"/>
    <w:basedOn w:val="DefaultParagraphFont"/>
    <w:rsid w:val="003A4EB0"/>
  </w:style>
  <w:style w:type="paragraph" w:customStyle="1" w:styleId="content-type-label">
    <w:name w:val="content-type-label"/>
    <w:basedOn w:val="Normal"/>
    <w:rsid w:val="000A0D3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NoSpacing">
    <w:name w:val="No Spacing"/>
    <w:link w:val="NoSpacingChar"/>
    <w:uiPriority w:val="1"/>
    <w:qFormat/>
    <w:rsid w:val="00F0385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03858"/>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82235">
      <w:bodyDiv w:val="1"/>
      <w:marLeft w:val="0"/>
      <w:marRight w:val="0"/>
      <w:marTop w:val="0"/>
      <w:marBottom w:val="0"/>
      <w:divBdr>
        <w:top w:val="none" w:sz="0" w:space="0" w:color="auto"/>
        <w:left w:val="none" w:sz="0" w:space="0" w:color="auto"/>
        <w:bottom w:val="none" w:sz="0" w:space="0" w:color="auto"/>
        <w:right w:val="none" w:sz="0" w:space="0" w:color="auto"/>
      </w:divBdr>
    </w:div>
    <w:div w:id="308941740">
      <w:bodyDiv w:val="1"/>
      <w:marLeft w:val="0"/>
      <w:marRight w:val="0"/>
      <w:marTop w:val="0"/>
      <w:marBottom w:val="0"/>
      <w:divBdr>
        <w:top w:val="none" w:sz="0" w:space="0" w:color="auto"/>
        <w:left w:val="none" w:sz="0" w:space="0" w:color="auto"/>
        <w:bottom w:val="none" w:sz="0" w:space="0" w:color="auto"/>
        <w:right w:val="none" w:sz="0" w:space="0" w:color="auto"/>
      </w:divBdr>
    </w:div>
    <w:div w:id="1052848249">
      <w:bodyDiv w:val="1"/>
      <w:marLeft w:val="0"/>
      <w:marRight w:val="0"/>
      <w:marTop w:val="0"/>
      <w:marBottom w:val="0"/>
      <w:divBdr>
        <w:top w:val="none" w:sz="0" w:space="0" w:color="auto"/>
        <w:left w:val="none" w:sz="0" w:space="0" w:color="auto"/>
        <w:bottom w:val="none" w:sz="0" w:space="0" w:color="auto"/>
        <w:right w:val="none" w:sz="0" w:space="0" w:color="auto"/>
      </w:divBdr>
      <w:divsChild>
        <w:div w:id="6911363">
          <w:marLeft w:val="0"/>
          <w:marRight w:val="0"/>
          <w:marTop w:val="68"/>
          <w:marBottom w:val="0"/>
          <w:divBdr>
            <w:top w:val="none" w:sz="0" w:space="0" w:color="auto"/>
            <w:left w:val="none" w:sz="0" w:space="0" w:color="auto"/>
            <w:bottom w:val="none" w:sz="0" w:space="0" w:color="auto"/>
            <w:right w:val="none" w:sz="0" w:space="0" w:color="auto"/>
          </w:divBdr>
        </w:div>
        <w:div w:id="1624923653">
          <w:marLeft w:val="0"/>
          <w:marRight w:val="0"/>
          <w:marTop w:val="5"/>
          <w:marBottom w:val="0"/>
          <w:divBdr>
            <w:top w:val="none" w:sz="0" w:space="0" w:color="auto"/>
            <w:left w:val="none" w:sz="0" w:space="0" w:color="auto"/>
            <w:bottom w:val="none" w:sz="0" w:space="0" w:color="auto"/>
            <w:right w:val="none" w:sz="0" w:space="0" w:color="auto"/>
          </w:divBdr>
        </w:div>
        <w:div w:id="39207744">
          <w:marLeft w:val="0"/>
          <w:marRight w:val="0"/>
          <w:marTop w:val="7"/>
          <w:marBottom w:val="0"/>
          <w:divBdr>
            <w:top w:val="none" w:sz="0" w:space="0" w:color="auto"/>
            <w:left w:val="none" w:sz="0" w:space="0" w:color="auto"/>
            <w:bottom w:val="none" w:sz="0" w:space="0" w:color="auto"/>
            <w:right w:val="none" w:sz="0" w:space="0" w:color="auto"/>
          </w:divBdr>
        </w:div>
        <w:div w:id="243926619">
          <w:marLeft w:val="0"/>
          <w:marRight w:val="0"/>
          <w:marTop w:val="7"/>
          <w:marBottom w:val="120"/>
          <w:divBdr>
            <w:top w:val="none" w:sz="0" w:space="0" w:color="auto"/>
            <w:left w:val="none" w:sz="0" w:space="0" w:color="auto"/>
            <w:bottom w:val="none" w:sz="0" w:space="0" w:color="auto"/>
            <w:right w:val="none" w:sz="0" w:space="0" w:color="auto"/>
          </w:divBdr>
        </w:div>
        <w:div w:id="1431388252">
          <w:marLeft w:val="0"/>
          <w:marRight w:val="0"/>
          <w:marTop w:val="31"/>
          <w:marBottom w:val="70"/>
          <w:divBdr>
            <w:top w:val="none" w:sz="0" w:space="0" w:color="auto"/>
            <w:left w:val="none" w:sz="0" w:space="0" w:color="auto"/>
            <w:bottom w:val="none" w:sz="0" w:space="0" w:color="auto"/>
            <w:right w:val="none" w:sz="0" w:space="0" w:color="auto"/>
          </w:divBdr>
        </w:div>
        <w:div w:id="895775283">
          <w:marLeft w:val="0"/>
          <w:marRight w:val="0"/>
          <w:marTop w:val="0"/>
          <w:marBottom w:val="0"/>
          <w:divBdr>
            <w:top w:val="none" w:sz="0" w:space="0" w:color="auto"/>
            <w:left w:val="none" w:sz="0" w:space="0" w:color="auto"/>
            <w:bottom w:val="none" w:sz="0" w:space="0" w:color="auto"/>
            <w:right w:val="none" w:sz="0" w:space="0" w:color="auto"/>
          </w:divBdr>
        </w:div>
        <w:div w:id="723601262">
          <w:marLeft w:val="0"/>
          <w:marRight w:val="0"/>
          <w:marTop w:val="14"/>
          <w:marBottom w:val="0"/>
          <w:divBdr>
            <w:top w:val="none" w:sz="0" w:space="0" w:color="auto"/>
            <w:left w:val="none" w:sz="0" w:space="0" w:color="auto"/>
            <w:bottom w:val="none" w:sz="0" w:space="0" w:color="auto"/>
            <w:right w:val="none" w:sz="0" w:space="0" w:color="auto"/>
          </w:divBdr>
        </w:div>
        <w:div w:id="1506625364">
          <w:marLeft w:val="0"/>
          <w:marRight w:val="0"/>
          <w:marTop w:val="68"/>
          <w:marBottom w:val="0"/>
          <w:divBdr>
            <w:top w:val="none" w:sz="0" w:space="0" w:color="auto"/>
            <w:left w:val="none" w:sz="0" w:space="0" w:color="auto"/>
            <w:bottom w:val="none" w:sz="0" w:space="0" w:color="auto"/>
            <w:right w:val="none" w:sz="0" w:space="0" w:color="auto"/>
          </w:divBdr>
        </w:div>
        <w:div w:id="195973888">
          <w:marLeft w:val="0"/>
          <w:marRight w:val="0"/>
          <w:marTop w:val="0"/>
          <w:marBottom w:val="0"/>
          <w:divBdr>
            <w:top w:val="none" w:sz="0" w:space="0" w:color="auto"/>
            <w:left w:val="none" w:sz="0" w:space="0" w:color="auto"/>
            <w:bottom w:val="none" w:sz="0" w:space="0" w:color="auto"/>
            <w:right w:val="none" w:sz="0" w:space="0" w:color="auto"/>
          </w:divBdr>
        </w:div>
      </w:divsChild>
    </w:div>
    <w:div w:id="1901550743">
      <w:bodyDiv w:val="1"/>
      <w:marLeft w:val="0"/>
      <w:marRight w:val="0"/>
      <w:marTop w:val="0"/>
      <w:marBottom w:val="0"/>
      <w:divBdr>
        <w:top w:val="none" w:sz="0" w:space="0" w:color="auto"/>
        <w:left w:val="none" w:sz="0" w:space="0" w:color="auto"/>
        <w:bottom w:val="none" w:sz="0" w:space="0" w:color="auto"/>
        <w:right w:val="none" w:sz="0" w:space="0" w:color="auto"/>
      </w:divBdr>
      <w:divsChild>
        <w:div w:id="1419864938">
          <w:marLeft w:val="0"/>
          <w:marRight w:val="0"/>
          <w:marTop w:val="0"/>
          <w:marBottom w:val="0"/>
          <w:divBdr>
            <w:top w:val="none" w:sz="0" w:space="0" w:color="auto"/>
            <w:left w:val="none" w:sz="0" w:space="0" w:color="auto"/>
            <w:bottom w:val="none" w:sz="0" w:space="0" w:color="auto"/>
            <w:right w:val="none" w:sz="0" w:space="0" w:color="auto"/>
          </w:divBdr>
        </w:div>
        <w:div w:id="1586646510">
          <w:marLeft w:val="0"/>
          <w:marRight w:val="0"/>
          <w:marTop w:val="0"/>
          <w:marBottom w:val="0"/>
          <w:divBdr>
            <w:top w:val="none" w:sz="0" w:space="0" w:color="auto"/>
            <w:left w:val="none" w:sz="0" w:space="0" w:color="auto"/>
            <w:bottom w:val="none" w:sz="0" w:space="0" w:color="auto"/>
            <w:right w:val="none" w:sz="0" w:space="0" w:color="auto"/>
          </w:divBdr>
        </w:div>
        <w:div w:id="1292318761">
          <w:marLeft w:val="0"/>
          <w:marRight w:val="0"/>
          <w:marTop w:val="0"/>
          <w:marBottom w:val="0"/>
          <w:divBdr>
            <w:top w:val="none" w:sz="0" w:space="0" w:color="auto"/>
            <w:left w:val="none" w:sz="0" w:space="0" w:color="auto"/>
            <w:bottom w:val="none" w:sz="0" w:space="0" w:color="auto"/>
            <w:right w:val="none" w:sz="0" w:space="0" w:color="auto"/>
          </w:divBdr>
        </w:div>
        <w:div w:id="323827669">
          <w:marLeft w:val="0"/>
          <w:marRight w:val="0"/>
          <w:marTop w:val="0"/>
          <w:marBottom w:val="0"/>
          <w:divBdr>
            <w:top w:val="none" w:sz="0" w:space="0" w:color="auto"/>
            <w:left w:val="none" w:sz="0" w:space="0" w:color="auto"/>
            <w:bottom w:val="none" w:sz="0" w:space="0" w:color="auto"/>
            <w:right w:val="none" w:sz="0" w:space="0" w:color="auto"/>
          </w:divBdr>
        </w:div>
        <w:div w:id="1994673187">
          <w:marLeft w:val="0"/>
          <w:marRight w:val="0"/>
          <w:marTop w:val="0"/>
          <w:marBottom w:val="0"/>
          <w:divBdr>
            <w:top w:val="none" w:sz="0" w:space="0" w:color="auto"/>
            <w:left w:val="none" w:sz="0" w:space="0" w:color="auto"/>
            <w:bottom w:val="none" w:sz="0" w:space="0" w:color="auto"/>
            <w:right w:val="none" w:sz="0" w:space="0" w:color="auto"/>
          </w:divBdr>
        </w:div>
        <w:div w:id="2080007759">
          <w:marLeft w:val="0"/>
          <w:marRight w:val="0"/>
          <w:marTop w:val="0"/>
          <w:marBottom w:val="0"/>
          <w:divBdr>
            <w:top w:val="none" w:sz="0" w:space="0" w:color="auto"/>
            <w:left w:val="none" w:sz="0" w:space="0" w:color="auto"/>
            <w:bottom w:val="none" w:sz="0" w:space="0" w:color="auto"/>
            <w:right w:val="none" w:sz="0" w:space="0" w:color="auto"/>
          </w:divBdr>
        </w:div>
        <w:div w:id="2044094311">
          <w:marLeft w:val="0"/>
          <w:marRight w:val="0"/>
          <w:marTop w:val="0"/>
          <w:marBottom w:val="0"/>
          <w:divBdr>
            <w:top w:val="none" w:sz="0" w:space="0" w:color="auto"/>
            <w:left w:val="none" w:sz="0" w:space="0" w:color="auto"/>
            <w:bottom w:val="none" w:sz="0" w:space="0" w:color="auto"/>
            <w:right w:val="none" w:sz="0" w:space="0" w:color="auto"/>
          </w:divBdr>
        </w:div>
        <w:div w:id="233860557">
          <w:marLeft w:val="0"/>
          <w:marRight w:val="0"/>
          <w:marTop w:val="0"/>
          <w:marBottom w:val="0"/>
          <w:divBdr>
            <w:top w:val="none" w:sz="0" w:space="0" w:color="auto"/>
            <w:left w:val="none" w:sz="0" w:space="0" w:color="auto"/>
            <w:bottom w:val="none" w:sz="0" w:space="0" w:color="auto"/>
            <w:right w:val="none" w:sz="0" w:space="0" w:color="auto"/>
          </w:divBdr>
        </w:div>
        <w:div w:id="1771272175">
          <w:marLeft w:val="0"/>
          <w:marRight w:val="0"/>
          <w:marTop w:val="0"/>
          <w:marBottom w:val="0"/>
          <w:divBdr>
            <w:top w:val="none" w:sz="0" w:space="0" w:color="auto"/>
            <w:left w:val="none" w:sz="0" w:space="0" w:color="auto"/>
            <w:bottom w:val="none" w:sz="0" w:space="0" w:color="auto"/>
            <w:right w:val="none" w:sz="0" w:space="0" w:color="auto"/>
          </w:divBdr>
        </w:div>
        <w:div w:id="1172447923">
          <w:marLeft w:val="0"/>
          <w:marRight w:val="0"/>
          <w:marTop w:val="0"/>
          <w:marBottom w:val="0"/>
          <w:divBdr>
            <w:top w:val="none" w:sz="0" w:space="0" w:color="auto"/>
            <w:left w:val="none" w:sz="0" w:space="0" w:color="auto"/>
            <w:bottom w:val="none" w:sz="0" w:space="0" w:color="auto"/>
            <w:right w:val="none" w:sz="0" w:space="0" w:color="auto"/>
          </w:divBdr>
        </w:div>
        <w:div w:id="1165899532">
          <w:marLeft w:val="0"/>
          <w:marRight w:val="0"/>
          <w:marTop w:val="0"/>
          <w:marBottom w:val="0"/>
          <w:divBdr>
            <w:top w:val="none" w:sz="0" w:space="0" w:color="auto"/>
            <w:left w:val="none" w:sz="0" w:space="0" w:color="auto"/>
            <w:bottom w:val="none" w:sz="0" w:space="0" w:color="auto"/>
            <w:right w:val="none" w:sz="0" w:space="0" w:color="auto"/>
          </w:divBdr>
        </w:div>
        <w:div w:id="1324164975">
          <w:marLeft w:val="0"/>
          <w:marRight w:val="0"/>
          <w:marTop w:val="0"/>
          <w:marBottom w:val="0"/>
          <w:divBdr>
            <w:top w:val="none" w:sz="0" w:space="0" w:color="auto"/>
            <w:left w:val="none" w:sz="0" w:space="0" w:color="auto"/>
            <w:bottom w:val="none" w:sz="0" w:space="0" w:color="auto"/>
            <w:right w:val="none" w:sz="0" w:space="0" w:color="auto"/>
          </w:divBdr>
        </w:div>
        <w:div w:id="1422986737">
          <w:marLeft w:val="0"/>
          <w:marRight w:val="0"/>
          <w:marTop w:val="0"/>
          <w:marBottom w:val="0"/>
          <w:divBdr>
            <w:top w:val="none" w:sz="0" w:space="0" w:color="auto"/>
            <w:left w:val="none" w:sz="0" w:space="0" w:color="auto"/>
            <w:bottom w:val="none" w:sz="0" w:space="0" w:color="auto"/>
            <w:right w:val="none" w:sz="0" w:space="0" w:color="auto"/>
          </w:divBdr>
        </w:div>
      </w:divsChild>
    </w:div>
    <w:div w:id="2106992450">
      <w:bodyDiv w:val="1"/>
      <w:marLeft w:val="0"/>
      <w:marRight w:val="0"/>
      <w:marTop w:val="0"/>
      <w:marBottom w:val="0"/>
      <w:divBdr>
        <w:top w:val="none" w:sz="0" w:space="0" w:color="auto"/>
        <w:left w:val="none" w:sz="0" w:space="0" w:color="auto"/>
        <w:bottom w:val="none" w:sz="0" w:space="0" w:color="auto"/>
        <w:right w:val="none" w:sz="0" w:space="0" w:color="auto"/>
      </w:divBdr>
      <w:divsChild>
        <w:div w:id="188614142">
          <w:marLeft w:val="3500"/>
          <w:marRight w:val="0"/>
          <w:marTop w:val="0"/>
          <w:marBottom w:val="0"/>
          <w:divBdr>
            <w:top w:val="none" w:sz="0" w:space="0" w:color="auto"/>
            <w:left w:val="none" w:sz="0" w:space="0" w:color="auto"/>
            <w:bottom w:val="none" w:sz="0" w:space="0" w:color="auto"/>
            <w:right w:val="none" w:sz="0" w:space="0" w:color="auto"/>
          </w:divBdr>
        </w:div>
        <w:div w:id="91972753">
          <w:marLeft w:val="0"/>
          <w:marRight w:val="0"/>
          <w:marTop w:val="0"/>
          <w:marBottom w:val="0"/>
          <w:divBdr>
            <w:top w:val="none" w:sz="0" w:space="0" w:color="auto"/>
            <w:left w:val="none" w:sz="0" w:space="0" w:color="auto"/>
            <w:bottom w:val="none" w:sz="0" w:space="0" w:color="auto"/>
            <w:right w:val="none" w:sz="0" w:space="0" w:color="auto"/>
          </w:divBdr>
        </w:div>
        <w:div w:id="1589656513">
          <w:marLeft w:val="0"/>
          <w:marRight w:val="0"/>
          <w:marTop w:val="0"/>
          <w:marBottom w:val="0"/>
          <w:divBdr>
            <w:top w:val="none" w:sz="0" w:space="0" w:color="auto"/>
            <w:left w:val="none" w:sz="0" w:space="0" w:color="auto"/>
            <w:bottom w:val="none" w:sz="0" w:space="0" w:color="auto"/>
            <w:right w:val="none" w:sz="0" w:space="0" w:color="auto"/>
          </w:divBdr>
          <w:divsChild>
            <w:div w:id="683746630">
              <w:marLeft w:val="0"/>
              <w:marRight w:val="0"/>
              <w:marTop w:val="0"/>
              <w:marBottom w:val="0"/>
              <w:divBdr>
                <w:top w:val="none" w:sz="0" w:space="0" w:color="auto"/>
                <w:left w:val="none" w:sz="0" w:space="0" w:color="auto"/>
                <w:bottom w:val="none" w:sz="0" w:space="0" w:color="auto"/>
                <w:right w:val="none" w:sz="0" w:space="0" w:color="auto"/>
              </w:divBdr>
            </w:div>
            <w:div w:id="647979334">
              <w:marLeft w:val="-225"/>
              <w:marRight w:val="-225"/>
              <w:marTop w:val="0"/>
              <w:marBottom w:val="0"/>
              <w:divBdr>
                <w:top w:val="none" w:sz="0" w:space="0" w:color="auto"/>
                <w:left w:val="none" w:sz="0" w:space="0" w:color="auto"/>
                <w:bottom w:val="none" w:sz="0" w:space="0" w:color="auto"/>
                <w:right w:val="none" w:sz="0" w:space="0" w:color="auto"/>
              </w:divBdr>
              <w:divsChild>
                <w:div w:id="330185832">
                  <w:marLeft w:val="0"/>
                  <w:marRight w:val="0"/>
                  <w:marTop w:val="0"/>
                  <w:marBottom w:val="0"/>
                  <w:divBdr>
                    <w:top w:val="none" w:sz="0" w:space="0" w:color="auto"/>
                    <w:left w:val="none" w:sz="0" w:space="0" w:color="auto"/>
                    <w:bottom w:val="none" w:sz="0" w:space="0" w:color="auto"/>
                    <w:right w:val="none" w:sz="0" w:space="0" w:color="auto"/>
                  </w:divBdr>
                </w:div>
                <w:div w:id="20318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www.fda.gov/regulatory-information/search-fda-guidance-documents/guidance-industry-pyrogen-and-endotoxins-testing-questions-and-answer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0255AA0E5314009A922CFABC9D68AEC"/>
        <w:category>
          <w:name w:val="General"/>
          <w:gallery w:val="placeholder"/>
        </w:category>
        <w:types>
          <w:type w:val="bbPlcHdr"/>
        </w:types>
        <w:behaviors>
          <w:behavior w:val="content"/>
        </w:behaviors>
        <w:guid w:val="{7ADB8BAD-A3D6-4293-BB81-606AAF528E2D}"/>
      </w:docPartPr>
      <w:docPartBody>
        <w:p w:rsidR="009F430F" w:rsidRDefault="009852EB" w:rsidP="009852EB">
          <w:pPr>
            <w:pStyle w:val="E0255AA0E5314009A922CFABC9D68AEC"/>
          </w:pPr>
          <w:r>
            <w:rPr>
              <w:rFonts w:asciiTheme="majorHAnsi" w:eastAsiaTheme="majorEastAsia" w:hAnsiTheme="majorHAnsi" w:cstheme="majorBidi"/>
              <w:caps/>
              <w:color w:val="156082" w:themeColor="accent1"/>
              <w:sz w:val="80"/>
              <w:szCs w:val="80"/>
            </w:rPr>
            <w:t>[Document title]</w:t>
          </w:r>
        </w:p>
      </w:docPartBody>
    </w:docPart>
    <w:docPart>
      <w:docPartPr>
        <w:name w:val="226C04FCAE8B46959A7624F73C1DF5BE"/>
        <w:category>
          <w:name w:val="General"/>
          <w:gallery w:val="placeholder"/>
        </w:category>
        <w:types>
          <w:type w:val="bbPlcHdr"/>
        </w:types>
        <w:behaviors>
          <w:behavior w:val="content"/>
        </w:behaviors>
        <w:guid w:val="{D1089EC0-AA9B-4CB8-81FD-739F290D1915}"/>
      </w:docPartPr>
      <w:docPartBody>
        <w:p w:rsidR="009F430F" w:rsidRDefault="009852EB" w:rsidP="009852EB">
          <w:pPr>
            <w:pStyle w:val="226C04FCAE8B46959A7624F73C1DF5BE"/>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EB"/>
    <w:rsid w:val="00135BBB"/>
    <w:rsid w:val="0027786E"/>
    <w:rsid w:val="004A1FE3"/>
    <w:rsid w:val="006B3C35"/>
    <w:rsid w:val="009852EB"/>
    <w:rsid w:val="009F430F"/>
    <w:rsid w:val="00BB5C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255AA0E5314009A922CFABC9D68AEC">
    <w:name w:val="E0255AA0E5314009A922CFABC9D68AEC"/>
    <w:rsid w:val="009852EB"/>
  </w:style>
  <w:style w:type="paragraph" w:customStyle="1" w:styleId="226C04FCAE8B46959A7624F73C1DF5BE">
    <w:name w:val="226C04FCAE8B46959A7624F73C1DF5BE"/>
    <w:rsid w:val="009852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2025-06-18T00:00:00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2725</Words>
  <Characters>15537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Chris Edwards</Company>
  <LinksUpToDate>false</LinksUpToDate>
  <CharactersWithSpaces>18226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Docket No. CDC-2025-0024 Evidence to support pausing mRNA covid  vaccine deployment</dc:title>
  <dc:subject>Submission to ACIP for Meeting of 25-27 June 2025</dc:subject>
  <dc:creator>Chris Edwards</dc:creator>
  <cp:keywords/>
  <dc:description/>
  <cp:lastModifiedBy>Chris Edwards</cp:lastModifiedBy>
  <cp:revision>2</cp:revision>
  <dcterms:created xsi:type="dcterms:W3CDTF">2025-06-18T21:09:00Z</dcterms:created>
  <dcterms:modified xsi:type="dcterms:W3CDTF">2025-06-18T21:09:00Z</dcterms:modified>
</cp:coreProperties>
</file>