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91357" w14:textId="77777777" w:rsidR="002B108B" w:rsidRPr="00494E6D" w:rsidRDefault="00000000" w:rsidP="00494E6D">
      <w:pPr>
        <w:pStyle w:val="Title"/>
        <w:spacing w:line="480" w:lineRule="auto"/>
        <w:rPr>
          <w:rFonts w:ascii="Times New Roman" w:hAnsi="Times New Roman" w:cs="Times New Roman"/>
          <w:sz w:val="24"/>
          <w:szCs w:val="24"/>
        </w:rPr>
      </w:pPr>
      <w:r w:rsidRPr="00494E6D">
        <w:rPr>
          <w:rFonts w:ascii="Times New Roman" w:hAnsi="Times New Roman" w:cs="Times New Roman"/>
          <w:sz w:val="24"/>
          <w:szCs w:val="24"/>
        </w:rPr>
        <w:t>An integrated integral projection model (IPM</w:t>
      </w:r>
      <w:r w:rsidRPr="00494E6D">
        <w:rPr>
          <w:rFonts w:ascii="Times New Roman" w:hAnsi="Times New Roman" w:cs="Times New Roman"/>
          <w:sz w:val="24"/>
          <w:szCs w:val="24"/>
          <w:vertAlign w:val="superscript"/>
        </w:rPr>
        <w:t>2</w:t>
      </w:r>
      <w:r w:rsidRPr="00494E6D">
        <w:rPr>
          <w:rFonts w:ascii="Times New Roman" w:hAnsi="Times New Roman" w:cs="Times New Roman"/>
          <w:sz w:val="24"/>
          <w:szCs w:val="24"/>
        </w:rPr>
        <w:t>) to disentangle size-structured harvest and natural mortality</w:t>
      </w:r>
    </w:p>
    <w:p w14:paraId="29281DCD" w14:textId="0F3D2921" w:rsidR="002B108B" w:rsidRPr="00494E6D" w:rsidRDefault="00000000" w:rsidP="00494E6D">
      <w:pPr>
        <w:pStyle w:val="Author"/>
        <w:spacing w:line="480" w:lineRule="auto"/>
        <w:rPr>
          <w:rFonts w:ascii="Times New Roman" w:hAnsi="Times New Roman" w:cs="Times New Roman"/>
          <w:vertAlign w:val="superscript"/>
        </w:rPr>
      </w:pPr>
      <w:r w:rsidRPr="00494E6D">
        <w:rPr>
          <w:rFonts w:ascii="Times New Roman" w:hAnsi="Times New Roman" w:cs="Times New Roman"/>
        </w:rPr>
        <w:t>Abigail G. Keller</w:t>
      </w:r>
      <w:r w:rsidR="00494E6D" w:rsidRPr="00494E6D">
        <w:rPr>
          <w:rFonts w:ascii="Times New Roman" w:hAnsi="Times New Roman" w:cs="Times New Roman"/>
          <w:vertAlign w:val="superscript"/>
        </w:rPr>
        <w:t>1</w:t>
      </w:r>
      <w:r w:rsidR="00494E6D" w:rsidRPr="00494E6D">
        <w:rPr>
          <w:rFonts w:ascii="Times New Roman" w:hAnsi="Times New Roman" w:cs="Times New Roman"/>
        </w:rPr>
        <w:t xml:space="preserve">*, </w:t>
      </w:r>
      <w:r w:rsidRPr="00494E6D">
        <w:rPr>
          <w:rFonts w:ascii="Times New Roman" w:hAnsi="Times New Roman" w:cs="Times New Roman"/>
        </w:rPr>
        <w:t>Benjamin R. Goldstein</w:t>
      </w:r>
      <w:r w:rsidR="00494E6D" w:rsidRPr="00494E6D">
        <w:rPr>
          <w:rFonts w:ascii="Times New Roman" w:hAnsi="Times New Roman" w:cs="Times New Roman"/>
          <w:vertAlign w:val="superscript"/>
        </w:rPr>
        <w:t>2</w:t>
      </w:r>
      <w:r w:rsidR="00494E6D" w:rsidRPr="00494E6D">
        <w:rPr>
          <w:rFonts w:ascii="Times New Roman" w:hAnsi="Times New Roman" w:cs="Times New Roman"/>
        </w:rPr>
        <w:t xml:space="preserve">, </w:t>
      </w:r>
      <w:r w:rsidRPr="00494E6D">
        <w:rPr>
          <w:rFonts w:ascii="Times New Roman" w:hAnsi="Times New Roman" w:cs="Times New Roman"/>
        </w:rPr>
        <w:t>Leah Skare</w:t>
      </w:r>
      <w:r w:rsidR="00494E6D" w:rsidRPr="00494E6D">
        <w:rPr>
          <w:rFonts w:ascii="Times New Roman" w:hAnsi="Times New Roman" w:cs="Times New Roman"/>
          <w:vertAlign w:val="superscript"/>
        </w:rPr>
        <w:t>3</w:t>
      </w:r>
      <w:r w:rsidR="00494E6D" w:rsidRPr="00494E6D">
        <w:rPr>
          <w:rFonts w:ascii="Times New Roman" w:hAnsi="Times New Roman" w:cs="Times New Roman"/>
        </w:rPr>
        <w:t xml:space="preserve">, </w:t>
      </w:r>
      <w:r w:rsidRPr="00494E6D">
        <w:rPr>
          <w:rFonts w:ascii="Times New Roman" w:hAnsi="Times New Roman" w:cs="Times New Roman"/>
        </w:rPr>
        <w:t>Perry de Valpine</w:t>
      </w:r>
      <w:r w:rsidR="00494E6D" w:rsidRPr="00494E6D">
        <w:rPr>
          <w:rFonts w:ascii="Times New Roman" w:hAnsi="Times New Roman" w:cs="Times New Roman"/>
          <w:vertAlign w:val="superscript"/>
        </w:rPr>
        <w:t>4</w:t>
      </w:r>
    </w:p>
    <w:p w14:paraId="42F6D86C" w14:textId="603A58FD" w:rsidR="00494E6D" w:rsidRPr="00494E6D" w:rsidRDefault="00494E6D" w:rsidP="00494E6D">
      <w:pPr>
        <w:pStyle w:val="BodyText"/>
        <w:spacing w:line="480" w:lineRule="auto"/>
        <w:rPr>
          <w:rFonts w:ascii="Times New Roman" w:hAnsi="Times New Roman" w:cs="Times New Roman"/>
        </w:rPr>
      </w:pPr>
      <w:r w:rsidRPr="00494E6D">
        <w:rPr>
          <w:rFonts w:ascii="Times New Roman" w:hAnsi="Times New Roman" w:cs="Times New Roman"/>
          <w:vertAlign w:val="superscript"/>
        </w:rPr>
        <w:t>1</w:t>
      </w:r>
      <w:r w:rsidRPr="00494E6D">
        <w:rPr>
          <w:rFonts w:ascii="Times New Roman" w:hAnsi="Times New Roman" w:cs="Times New Roman"/>
        </w:rPr>
        <w:t>Department of Environment Science, Policy, and Management, University of California, Berkeley, Berkeley, California, USA</w:t>
      </w:r>
    </w:p>
    <w:p w14:paraId="13D851E9" w14:textId="46BE98E1" w:rsidR="00494E6D" w:rsidRPr="00494E6D" w:rsidRDefault="00494E6D" w:rsidP="00494E6D">
      <w:pPr>
        <w:pStyle w:val="BodyText"/>
        <w:spacing w:line="480" w:lineRule="auto"/>
        <w:rPr>
          <w:rFonts w:ascii="Times New Roman" w:hAnsi="Times New Roman" w:cs="Times New Roman"/>
        </w:rPr>
      </w:pPr>
      <w:r w:rsidRPr="00494E6D">
        <w:rPr>
          <w:rFonts w:ascii="Times New Roman" w:hAnsi="Times New Roman" w:cs="Times New Roman"/>
          <w:vertAlign w:val="superscript"/>
        </w:rPr>
        <w:t>2</w:t>
      </w:r>
      <w:r w:rsidRPr="00494E6D">
        <w:rPr>
          <w:rFonts w:ascii="Times New Roman" w:hAnsi="Times New Roman" w:cs="Times New Roman"/>
        </w:rPr>
        <w:t>Department of Forestry and Environmental Resources, North Carolina State University, Raleigh, NC, USA</w:t>
      </w:r>
    </w:p>
    <w:p w14:paraId="6C6C6FE0" w14:textId="5E7EB0CA" w:rsidR="00494E6D" w:rsidRPr="00494E6D" w:rsidRDefault="00494E6D" w:rsidP="00494E6D">
      <w:pPr>
        <w:pStyle w:val="BodyText"/>
        <w:spacing w:line="480" w:lineRule="auto"/>
        <w:rPr>
          <w:rFonts w:ascii="Times New Roman" w:hAnsi="Times New Roman" w:cs="Times New Roman"/>
        </w:rPr>
      </w:pPr>
      <w:r w:rsidRPr="00494E6D">
        <w:rPr>
          <w:rFonts w:ascii="Times New Roman" w:hAnsi="Times New Roman" w:cs="Times New Roman"/>
          <w:vertAlign w:val="superscript"/>
        </w:rPr>
        <w:t>3</w:t>
      </w:r>
      <w:r w:rsidRPr="00494E6D">
        <w:rPr>
          <w:rFonts w:ascii="Times New Roman" w:hAnsi="Times New Roman" w:cs="Times New Roman"/>
        </w:rPr>
        <w:t>Northwest Straits Commission, Washington Department of Ecology, Mount Vernon, WA, USA</w:t>
      </w:r>
    </w:p>
    <w:p w14:paraId="6E64F9F7" w14:textId="2163EE77" w:rsidR="00494E6D" w:rsidRPr="00494E6D" w:rsidRDefault="00494E6D" w:rsidP="00494E6D">
      <w:pPr>
        <w:pStyle w:val="BodyText"/>
        <w:spacing w:line="480" w:lineRule="auto"/>
        <w:rPr>
          <w:rFonts w:ascii="Times New Roman" w:hAnsi="Times New Roman" w:cs="Times New Roman"/>
        </w:rPr>
      </w:pPr>
      <w:r w:rsidRPr="00494E6D">
        <w:rPr>
          <w:rFonts w:ascii="Times New Roman" w:hAnsi="Times New Roman" w:cs="Times New Roman"/>
        </w:rPr>
        <w:t>*</w:t>
      </w:r>
      <w:r w:rsidRPr="00494E6D">
        <w:rPr>
          <w:rFonts w:ascii="Times New Roman" w:hAnsi="Times New Roman" w:cs="Times New Roman"/>
        </w:rPr>
        <w:t>Corresponding author: Abigail G. Keller, agkeller@berkeley.edu</w:t>
      </w:r>
    </w:p>
    <w:p w14:paraId="030C0A15" w14:textId="77777777" w:rsidR="002B108B" w:rsidRPr="00494E6D" w:rsidRDefault="00000000" w:rsidP="00494E6D">
      <w:pPr>
        <w:pStyle w:val="Heading1"/>
        <w:spacing w:line="480" w:lineRule="auto"/>
        <w:rPr>
          <w:rFonts w:ascii="Times New Roman" w:hAnsi="Times New Roman" w:cs="Times New Roman"/>
          <w:sz w:val="24"/>
          <w:szCs w:val="24"/>
        </w:rPr>
      </w:pPr>
      <w:bookmarkStart w:id="0" w:name="acknowledgements"/>
      <w:r w:rsidRPr="00494E6D">
        <w:rPr>
          <w:rFonts w:ascii="Times New Roman" w:hAnsi="Times New Roman" w:cs="Times New Roman"/>
          <w:sz w:val="24"/>
          <w:szCs w:val="24"/>
        </w:rPr>
        <w:t>Acknowledgements</w:t>
      </w:r>
    </w:p>
    <w:p w14:paraId="7FEB7B7A" w14:textId="77777777" w:rsidR="002B108B" w:rsidRPr="00494E6D" w:rsidRDefault="00000000" w:rsidP="00494E6D">
      <w:pPr>
        <w:pStyle w:val="FirstParagraph"/>
        <w:spacing w:line="480" w:lineRule="auto"/>
        <w:rPr>
          <w:rFonts w:ascii="Times New Roman" w:hAnsi="Times New Roman" w:cs="Times New Roman"/>
        </w:rPr>
      </w:pPr>
      <w:r w:rsidRPr="00494E6D">
        <w:rPr>
          <w:rFonts w:ascii="Times New Roman" w:hAnsi="Times New Roman" w:cs="Times New Roman"/>
        </w:rPr>
        <w:t xml:space="preserve">We thank Sylvia Yamada, Ted Grosholz, Brian Turner, Tom Therriault, and Brett Howard for providing valuable feedback on European green crab population dynamics and model </w:t>
      </w:r>
      <w:proofErr w:type="gramStart"/>
      <w:r w:rsidRPr="00494E6D">
        <w:rPr>
          <w:rFonts w:ascii="Times New Roman" w:hAnsi="Times New Roman" w:cs="Times New Roman"/>
        </w:rPr>
        <w:t>development;</w:t>
      </w:r>
      <w:proofErr w:type="gramEnd"/>
      <w:r w:rsidRPr="00494E6D">
        <w:rPr>
          <w:rFonts w:ascii="Times New Roman" w:hAnsi="Times New Roman" w:cs="Times New Roman"/>
        </w:rPr>
        <w:t xml:space="preserve"> Northwest Straits Commission, Washington Department of Fish and Wildlife, community volunteers, Veterans Conservation Corps, Washington Conservation Corps, and Washington Sea Grant for data collection and management. Mark-recapture data from Roche Cove was collected as part of a project (Towards Absolute Population Estimates for European Green Crab Management) funded by Fisheries and Oceans Canada’s Aquatic Invasive Species Science program to Tom Therriault with field support from Hailey Shchepanik and Karen Dyke. This material is based upon work supported by the U.S. Department of Energy, Office of Science, Office of Advanced Scientific Computing Research, under Award Number DE-</w:t>
      </w:r>
      <w:r w:rsidRPr="00494E6D">
        <w:rPr>
          <w:rFonts w:ascii="Times New Roman" w:hAnsi="Times New Roman" w:cs="Times New Roman"/>
        </w:rPr>
        <w:lastRenderedPageBreak/>
        <w:t>SC0024386. This material is based in part upon work supported by the National Science Foundation under Grant No. DBI-1942280 and a grant from U.S. Geological Survey.</w:t>
      </w:r>
    </w:p>
    <w:p w14:paraId="07ECEBD7" w14:textId="77777777" w:rsidR="002B108B" w:rsidRPr="00494E6D" w:rsidRDefault="00000000" w:rsidP="00494E6D">
      <w:pPr>
        <w:pStyle w:val="Heading1"/>
        <w:spacing w:line="480" w:lineRule="auto"/>
        <w:rPr>
          <w:rFonts w:ascii="Times New Roman" w:hAnsi="Times New Roman" w:cs="Times New Roman"/>
          <w:sz w:val="24"/>
          <w:szCs w:val="24"/>
        </w:rPr>
      </w:pPr>
      <w:bookmarkStart w:id="1" w:name="disclaimer"/>
      <w:bookmarkEnd w:id="0"/>
      <w:r w:rsidRPr="00494E6D">
        <w:rPr>
          <w:rFonts w:ascii="Times New Roman" w:hAnsi="Times New Roman" w:cs="Times New Roman"/>
          <w:sz w:val="24"/>
          <w:szCs w:val="24"/>
        </w:rPr>
        <w:t>Disclaimer</w:t>
      </w:r>
    </w:p>
    <w:p w14:paraId="27204C88" w14:textId="77777777" w:rsidR="002B108B" w:rsidRPr="00494E6D" w:rsidRDefault="00000000" w:rsidP="00494E6D">
      <w:pPr>
        <w:pStyle w:val="FirstParagraph"/>
        <w:spacing w:line="480" w:lineRule="auto"/>
        <w:rPr>
          <w:rFonts w:ascii="Times New Roman" w:hAnsi="Times New Roman" w:cs="Times New Roman"/>
        </w:rPr>
      </w:pPr>
      <w:r w:rsidRPr="00494E6D">
        <w:rPr>
          <w:rFonts w:ascii="Times New Roman" w:hAnsi="Times New Roman" w:cs="Times New Roman"/>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1D24C471" w14:textId="77777777" w:rsidR="002B108B" w:rsidRPr="00494E6D" w:rsidRDefault="00000000" w:rsidP="00494E6D">
      <w:pPr>
        <w:pStyle w:val="Heading1"/>
        <w:spacing w:line="480" w:lineRule="auto"/>
        <w:rPr>
          <w:rFonts w:ascii="Times New Roman" w:hAnsi="Times New Roman" w:cs="Times New Roman"/>
          <w:sz w:val="24"/>
          <w:szCs w:val="24"/>
        </w:rPr>
      </w:pPr>
      <w:bookmarkStart w:id="2" w:name="conflict-of-interest"/>
      <w:bookmarkEnd w:id="1"/>
      <w:r w:rsidRPr="00494E6D">
        <w:rPr>
          <w:rFonts w:ascii="Times New Roman" w:hAnsi="Times New Roman" w:cs="Times New Roman"/>
          <w:sz w:val="24"/>
          <w:szCs w:val="24"/>
        </w:rPr>
        <w:t>Conflict of interest</w:t>
      </w:r>
    </w:p>
    <w:p w14:paraId="2690DE05" w14:textId="77777777" w:rsidR="002B108B" w:rsidRPr="00494E6D" w:rsidRDefault="00000000" w:rsidP="00494E6D">
      <w:pPr>
        <w:pStyle w:val="FirstParagraph"/>
        <w:spacing w:line="480" w:lineRule="auto"/>
        <w:rPr>
          <w:rFonts w:ascii="Times New Roman" w:hAnsi="Times New Roman" w:cs="Times New Roman"/>
        </w:rPr>
      </w:pPr>
      <w:r w:rsidRPr="00494E6D">
        <w:rPr>
          <w:rFonts w:ascii="Times New Roman" w:hAnsi="Times New Roman" w:cs="Times New Roman"/>
        </w:rPr>
        <w:t>The authors declare no conflict of interest.</w:t>
      </w:r>
    </w:p>
    <w:p w14:paraId="1EA23DC9" w14:textId="77777777" w:rsidR="002B108B" w:rsidRPr="00494E6D" w:rsidRDefault="00000000" w:rsidP="00494E6D">
      <w:pPr>
        <w:pStyle w:val="Heading1"/>
        <w:spacing w:line="480" w:lineRule="auto"/>
        <w:rPr>
          <w:rFonts w:ascii="Times New Roman" w:hAnsi="Times New Roman" w:cs="Times New Roman"/>
          <w:sz w:val="24"/>
          <w:szCs w:val="24"/>
        </w:rPr>
      </w:pPr>
      <w:bookmarkStart w:id="3" w:name="author-contributions"/>
      <w:bookmarkEnd w:id="2"/>
      <w:r w:rsidRPr="00494E6D">
        <w:rPr>
          <w:rFonts w:ascii="Times New Roman" w:hAnsi="Times New Roman" w:cs="Times New Roman"/>
          <w:sz w:val="24"/>
          <w:szCs w:val="24"/>
        </w:rPr>
        <w:t>Author contributions</w:t>
      </w:r>
    </w:p>
    <w:p w14:paraId="512904EF" w14:textId="77777777" w:rsidR="002B108B" w:rsidRPr="00494E6D" w:rsidRDefault="00000000" w:rsidP="00494E6D">
      <w:pPr>
        <w:pStyle w:val="FirstParagraph"/>
        <w:spacing w:line="480" w:lineRule="auto"/>
        <w:rPr>
          <w:rFonts w:ascii="Times New Roman" w:hAnsi="Times New Roman" w:cs="Times New Roman"/>
        </w:rPr>
      </w:pPr>
      <w:r w:rsidRPr="00494E6D">
        <w:rPr>
          <w:rFonts w:ascii="Times New Roman" w:hAnsi="Times New Roman" w:cs="Times New Roman"/>
        </w:rPr>
        <w:t>A.G. Keller, B.G., Goldstein, and P. de Valpine conceived the ideas and designed methodology; L. Skare collected the data; A.G. Keller and P. de Valpine analysed the data; A.G. Keller led the writing of the manuscript. All authors contributed critically to the drafts and gave final approval for publication.</w:t>
      </w:r>
    </w:p>
    <w:p w14:paraId="2DAF3884" w14:textId="77777777" w:rsidR="002B108B" w:rsidRPr="00494E6D" w:rsidRDefault="00000000" w:rsidP="00494E6D">
      <w:pPr>
        <w:pStyle w:val="Heading1"/>
        <w:spacing w:line="480" w:lineRule="auto"/>
        <w:rPr>
          <w:rFonts w:ascii="Times New Roman" w:hAnsi="Times New Roman" w:cs="Times New Roman"/>
          <w:sz w:val="24"/>
          <w:szCs w:val="24"/>
        </w:rPr>
      </w:pPr>
      <w:bookmarkStart w:id="4" w:name="data-availability-statement"/>
      <w:bookmarkEnd w:id="3"/>
      <w:r w:rsidRPr="00494E6D">
        <w:rPr>
          <w:rFonts w:ascii="Times New Roman" w:hAnsi="Times New Roman" w:cs="Times New Roman"/>
          <w:sz w:val="24"/>
          <w:szCs w:val="24"/>
        </w:rPr>
        <w:lastRenderedPageBreak/>
        <w:t>Data availability statement</w:t>
      </w:r>
    </w:p>
    <w:p w14:paraId="3617E4D0" w14:textId="77777777" w:rsidR="002B108B" w:rsidRPr="00494E6D" w:rsidRDefault="00000000" w:rsidP="00494E6D">
      <w:pPr>
        <w:pStyle w:val="FirstParagraph"/>
        <w:spacing w:line="480" w:lineRule="auto"/>
        <w:rPr>
          <w:rFonts w:ascii="Times New Roman" w:hAnsi="Times New Roman" w:cs="Times New Roman"/>
        </w:rPr>
      </w:pPr>
      <w:r w:rsidRPr="00494E6D">
        <w:rPr>
          <w:rFonts w:ascii="Times New Roman" w:hAnsi="Times New Roman" w:cs="Times New Roman"/>
        </w:rPr>
        <w:t>All data and R code associated with this analysis can be found in the Zenodo archive (</w:t>
      </w:r>
      <w:hyperlink r:id="rId7">
        <w:r w:rsidRPr="00494E6D">
          <w:rPr>
            <w:rStyle w:val="Hyperlink"/>
            <w:rFonts w:ascii="Times New Roman" w:hAnsi="Times New Roman" w:cs="Times New Roman"/>
          </w:rPr>
          <w:t>https://doi.org/10.5281/zenodo.16995754</w:t>
        </w:r>
      </w:hyperlink>
      <w:r w:rsidRPr="00494E6D">
        <w:rPr>
          <w:rFonts w:ascii="Times New Roman" w:hAnsi="Times New Roman" w:cs="Times New Roman"/>
        </w:rPr>
        <w:t>) and GitHub (</w:t>
      </w:r>
      <w:hyperlink r:id="rId8">
        <w:r w:rsidRPr="00494E6D">
          <w:rPr>
            <w:rStyle w:val="Hyperlink"/>
            <w:rFonts w:ascii="Times New Roman" w:hAnsi="Times New Roman" w:cs="Times New Roman"/>
          </w:rPr>
          <w:t>https://github.com/abigailkeller/IPMsquared</w:t>
        </w:r>
      </w:hyperlink>
      <w:r w:rsidRPr="00494E6D">
        <w:rPr>
          <w:rFonts w:ascii="Times New Roman" w:hAnsi="Times New Roman" w:cs="Times New Roman"/>
        </w:rPr>
        <w:t>).</w:t>
      </w:r>
      <w:bookmarkEnd w:id="4"/>
    </w:p>
    <w:sectPr w:rsidR="002B108B" w:rsidRPr="00494E6D" w:rsidSect="00494E6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7BB5C" w14:textId="77777777" w:rsidR="00481EC6" w:rsidRDefault="00481EC6">
      <w:pPr>
        <w:spacing w:after="0"/>
      </w:pPr>
      <w:r>
        <w:separator/>
      </w:r>
    </w:p>
  </w:endnote>
  <w:endnote w:type="continuationSeparator" w:id="0">
    <w:p w14:paraId="692AEE79" w14:textId="77777777" w:rsidR="00481EC6" w:rsidRDefault="00481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04430" w14:textId="77777777" w:rsidR="00481EC6" w:rsidRDefault="00481EC6">
      <w:r>
        <w:separator/>
      </w:r>
    </w:p>
  </w:footnote>
  <w:footnote w:type="continuationSeparator" w:id="0">
    <w:p w14:paraId="01FEE703" w14:textId="77777777" w:rsidR="00481EC6" w:rsidRDefault="0048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60A3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16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08B"/>
    <w:rsid w:val="002B108B"/>
    <w:rsid w:val="00481EC6"/>
    <w:rsid w:val="00494E6D"/>
    <w:rsid w:val="004A70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2D98"/>
  <w15:docId w15:val="{432C8B71-6365-4B31-B1E5-7A8048CF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49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gailkeller/IPMsquared" TargetMode="External"/><Relationship Id="rId3" Type="http://schemas.openxmlformats.org/officeDocument/2006/relationships/settings" Target="settings.xml"/><Relationship Id="rId7" Type="http://schemas.openxmlformats.org/officeDocument/2006/relationships/hyperlink" Target="https://doi.org/10.5281/zenodo.16995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integrated integral projection model (IPM2) to disentangle size-structured harvest and natural mortality</dc:title>
  <dc:creator>Abigail G. Keller; Benjamin R. Goldstein; Leah Skare; Perry de Valpine</dc:creator>
  <cp:keywords/>
  <cp:lastModifiedBy>agkeller</cp:lastModifiedBy>
  <cp:revision>2</cp:revision>
  <dcterms:created xsi:type="dcterms:W3CDTF">2025-09-04T02:31:00Z</dcterms:created>
  <dcterms:modified xsi:type="dcterms:W3CDTF">2025-09-04T02:34:00Z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