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5360B" w14:textId="77777777" w:rsidR="00721A0A" w:rsidRDefault="00000000" w:rsidP="00AB0050">
      <w:pPr>
        <w:jc w:val="center"/>
        <w:rPr>
          <w:b/>
          <w:bCs/>
        </w:rPr>
      </w:pPr>
      <w:r w:rsidRPr="00AB0050">
        <w:rPr>
          <w:b/>
          <w:bCs/>
        </w:rPr>
        <w:t>CONSULTAS Y OBSERVACIONES A LOS TÉRMINOS DE REFERENCIA</w:t>
      </w:r>
    </w:p>
    <w:p w14:paraId="55891B66" w14:textId="77777777" w:rsidR="00AB0050" w:rsidRPr="00AB0050" w:rsidRDefault="00AB0050" w:rsidP="00AB0050">
      <w:pPr>
        <w:jc w:val="center"/>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1984"/>
        <w:gridCol w:w="1276"/>
        <w:gridCol w:w="850"/>
        <w:gridCol w:w="6130"/>
        <w:gridCol w:w="3168"/>
      </w:tblGrid>
      <w:tr w:rsidR="00721A0A" w:rsidRPr="00AB0050" w14:paraId="2218E098" w14:textId="77777777">
        <w:tc>
          <w:tcPr>
            <w:tcW w:w="0" w:type="auto"/>
            <w:gridSpan w:val="6"/>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tcPr>
          <w:p w14:paraId="790724BA" w14:textId="77777777" w:rsidR="00721A0A" w:rsidRPr="00AB0050" w:rsidRDefault="00000000" w:rsidP="00AB0050">
            <w:pPr>
              <w:jc w:val="center"/>
            </w:pPr>
            <w:r w:rsidRPr="00AB0050">
              <w:rPr>
                <w:b/>
                <w:bCs/>
              </w:rPr>
              <w:t>Formato para Formular Consultas y Observaciones</w:t>
            </w:r>
          </w:p>
        </w:tc>
      </w:tr>
      <w:tr w:rsidR="00833761" w:rsidRPr="00AB0050" w14:paraId="5544E473" w14:textId="77777777" w:rsidTr="00783B4C">
        <w:trPr>
          <w:trHeight w:val="452"/>
        </w:trPr>
        <w:tc>
          <w:tcPr>
            <w:tcW w:w="2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6CE5C9" w14:textId="77777777" w:rsidR="00721A0A" w:rsidRPr="00AB0050" w:rsidRDefault="00000000" w:rsidP="00AB0050">
            <w:r w:rsidRPr="00AB0050">
              <w:rPr>
                <w:b/>
                <w:bCs/>
              </w:rPr>
              <w:t>Nomenclatura del procedimiento de selección</w:t>
            </w:r>
          </w:p>
        </w:tc>
        <w:tc>
          <w:tcPr>
            <w:tcW w:w="11424" w:type="dxa"/>
            <w:gridSpan w:val="4"/>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B81D31" w14:textId="55BB25E0" w:rsidR="00721A0A" w:rsidRPr="00AB0050" w:rsidRDefault="003B3211" w:rsidP="00AB0050">
            <w:r w:rsidRPr="00AB0050">
              <w:t xml:space="preserve">CPS </w:t>
            </w:r>
            <w:r w:rsidR="000358A0" w:rsidRPr="00AB0050">
              <w:t xml:space="preserve">N° </w:t>
            </w:r>
            <w:r w:rsidR="00B06A79" w:rsidRPr="00AB0050">
              <w:t>002-2026-SUSALUD</w:t>
            </w:r>
          </w:p>
        </w:tc>
      </w:tr>
      <w:tr w:rsidR="00833761" w:rsidRPr="00AB0050" w14:paraId="561E3BD6" w14:textId="77777777" w:rsidTr="00783B4C">
        <w:tc>
          <w:tcPr>
            <w:tcW w:w="2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FCEF29" w14:textId="77777777" w:rsidR="00721A0A" w:rsidRPr="00AB0050" w:rsidRDefault="00000000" w:rsidP="00AB0050">
            <w:r w:rsidRPr="00AB0050">
              <w:rPr>
                <w:b/>
                <w:bCs/>
              </w:rPr>
              <w:t>Objeto de la contratación</w:t>
            </w:r>
          </w:p>
        </w:tc>
        <w:tc>
          <w:tcPr>
            <w:tcW w:w="11424" w:type="dxa"/>
            <w:gridSpan w:val="4"/>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6FDA80" w14:textId="53EAAD23" w:rsidR="00721A0A" w:rsidRPr="00AB0050" w:rsidRDefault="00B06A79" w:rsidP="00AB0050">
            <w:r w:rsidRPr="00AB0050">
              <w:t>Contratación de Servicios de Interconexión de Línea Dedicada</w:t>
            </w:r>
          </w:p>
        </w:tc>
      </w:tr>
      <w:tr w:rsidR="00833761" w:rsidRPr="00AB0050" w14:paraId="0E039B5C" w14:textId="77777777" w:rsidTr="00783B4C">
        <w:tc>
          <w:tcPr>
            <w:tcW w:w="2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EA6AB0" w14:textId="77777777" w:rsidR="00721A0A" w:rsidRPr="00AB0050" w:rsidRDefault="00000000" w:rsidP="00AB0050">
            <w:r w:rsidRPr="00AB0050">
              <w:rPr>
                <w:b/>
                <w:bCs/>
              </w:rPr>
              <w:t>Participante</w:t>
            </w:r>
          </w:p>
        </w:tc>
        <w:tc>
          <w:tcPr>
            <w:tcW w:w="11424" w:type="dxa"/>
            <w:gridSpan w:val="4"/>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0BDC00" w14:textId="77777777" w:rsidR="00721A0A" w:rsidRPr="00AB0050" w:rsidRDefault="00000000" w:rsidP="00AB0050">
            <w:r w:rsidRPr="00AB0050">
              <w:rPr>
                <w:b/>
                <w:bCs/>
              </w:rPr>
              <w:t>NEXTNET</w:t>
            </w:r>
          </w:p>
        </w:tc>
      </w:tr>
      <w:tr w:rsidR="00D73C80" w:rsidRPr="00AB0050" w14:paraId="50C7D118" w14:textId="77777777" w:rsidTr="00783B4C">
        <w:trPr>
          <w:tblHeader/>
        </w:trPr>
        <w:tc>
          <w:tcPr>
            <w:tcW w:w="992" w:type="dxa"/>
            <w:vMerge w:val="restart"/>
            <w:tcBorders>
              <w:top w:val="single" w:sz="1" w:space="0" w:color="000000"/>
              <w:left w:val="single" w:sz="1" w:space="0" w:color="000000"/>
              <w:bottom w:val="single" w:sz="1" w:space="0" w:color="000000"/>
              <w:right w:val="single" w:sz="1" w:space="0" w:color="000000"/>
            </w:tcBorders>
            <w:shd w:val="clear" w:color="auto" w:fill="D9D9D9"/>
            <w:tcMar>
              <w:top w:w="80" w:type="dxa"/>
              <w:left w:w="80" w:type="dxa"/>
              <w:bottom w:w="80" w:type="dxa"/>
              <w:right w:w="80" w:type="dxa"/>
            </w:tcMar>
            <w:vAlign w:val="center"/>
          </w:tcPr>
          <w:p w14:paraId="3B6BC41B" w14:textId="77777777" w:rsidR="00721A0A" w:rsidRPr="00AB0050" w:rsidRDefault="00000000" w:rsidP="00AB0050">
            <w:pPr>
              <w:jc w:val="center"/>
            </w:pPr>
            <w:r w:rsidRPr="00AB0050">
              <w:rPr>
                <w:b/>
                <w:bCs/>
              </w:rPr>
              <w:t>N° de orden</w:t>
            </w:r>
          </w:p>
        </w:tc>
        <w:tc>
          <w:tcPr>
            <w:tcW w:w="4110" w:type="dxa"/>
            <w:gridSpan w:val="3"/>
            <w:tcBorders>
              <w:top w:val="single" w:sz="1" w:space="0" w:color="000000"/>
              <w:left w:val="single" w:sz="1" w:space="0" w:color="000000"/>
              <w:bottom w:val="single" w:sz="1" w:space="0" w:color="000000"/>
              <w:right w:val="single" w:sz="1" w:space="0" w:color="000000"/>
            </w:tcBorders>
            <w:shd w:val="clear" w:color="auto" w:fill="D9D9D9"/>
            <w:tcMar>
              <w:top w:w="80" w:type="dxa"/>
              <w:left w:w="80" w:type="dxa"/>
              <w:bottom w:w="80" w:type="dxa"/>
              <w:right w:w="80" w:type="dxa"/>
            </w:tcMar>
            <w:vAlign w:val="center"/>
          </w:tcPr>
          <w:p w14:paraId="304F15AD" w14:textId="77777777" w:rsidR="00721A0A" w:rsidRPr="00AB0050" w:rsidRDefault="00000000" w:rsidP="00AB0050">
            <w:pPr>
              <w:jc w:val="center"/>
            </w:pPr>
            <w:r w:rsidRPr="00AB0050">
              <w:rPr>
                <w:b/>
                <w:bCs/>
              </w:rPr>
              <w:t>Acápite de las Bases</w:t>
            </w:r>
          </w:p>
        </w:tc>
        <w:tc>
          <w:tcPr>
            <w:tcW w:w="6130" w:type="dxa"/>
            <w:vMerge w:val="restart"/>
            <w:tcBorders>
              <w:top w:val="single" w:sz="1" w:space="0" w:color="000000"/>
              <w:left w:val="single" w:sz="1" w:space="0" w:color="000000"/>
              <w:bottom w:val="single" w:sz="1" w:space="0" w:color="000000"/>
              <w:right w:val="single" w:sz="1" w:space="0" w:color="000000"/>
            </w:tcBorders>
            <w:shd w:val="clear" w:color="auto" w:fill="D9D9D9"/>
            <w:tcMar>
              <w:top w:w="80" w:type="dxa"/>
              <w:left w:w="80" w:type="dxa"/>
              <w:bottom w:w="80" w:type="dxa"/>
              <w:right w:w="80" w:type="dxa"/>
            </w:tcMar>
            <w:vAlign w:val="center"/>
          </w:tcPr>
          <w:p w14:paraId="64FF6DD4" w14:textId="77777777" w:rsidR="00721A0A" w:rsidRPr="00AB0050" w:rsidRDefault="00000000" w:rsidP="00AB0050">
            <w:pPr>
              <w:jc w:val="center"/>
            </w:pPr>
            <w:r w:rsidRPr="00AB0050">
              <w:rPr>
                <w:b/>
                <w:bCs/>
              </w:rPr>
              <w:t>Consulta y/u Observación (debidamente motivada)</w:t>
            </w:r>
          </w:p>
        </w:tc>
        <w:tc>
          <w:tcPr>
            <w:tcW w:w="3168" w:type="dxa"/>
            <w:vMerge w:val="restart"/>
            <w:tcBorders>
              <w:top w:val="single" w:sz="1" w:space="0" w:color="000000"/>
              <w:left w:val="single" w:sz="1" w:space="0" w:color="000000"/>
              <w:bottom w:val="single" w:sz="1" w:space="0" w:color="000000"/>
              <w:right w:val="single" w:sz="1" w:space="0" w:color="000000"/>
            </w:tcBorders>
            <w:shd w:val="clear" w:color="auto" w:fill="D9D9D9"/>
            <w:tcMar>
              <w:top w:w="80" w:type="dxa"/>
              <w:left w:w="80" w:type="dxa"/>
              <w:bottom w:w="80" w:type="dxa"/>
              <w:right w:w="80" w:type="dxa"/>
            </w:tcMar>
            <w:vAlign w:val="center"/>
          </w:tcPr>
          <w:p w14:paraId="36255201" w14:textId="77777777" w:rsidR="00721A0A" w:rsidRPr="00AB0050" w:rsidRDefault="00000000" w:rsidP="00AB0050">
            <w:pPr>
              <w:jc w:val="center"/>
            </w:pPr>
            <w:r w:rsidRPr="00AB0050">
              <w:rPr>
                <w:b/>
                <w:bCs/>
              </w:rPr>
              <w:t>Artículo y norma que se vulnera (en el caso de observaciones)</w:t>
            </w:r>
          </w:p>
        </w:tc>
      </w:tr>
      <w:tr w:rsidR="00D73C80" w:rsidRPr="00AB0050" w14:paraId="095BF49A" w14:textId="77777777" w:rsidTr="00783B4C">
        <w:trPr>
          <w:tblHeader/>
        </w:trPr>
        <w:tc>
          <w:tcPr>
            <w:tcW w:w="992" w:type="dxa"/>
            <w:vMerge/>
            <w:tcBorders>
              <w:top w:val="single" w:sz="1" w:space="0" w:color="000000"/>
              <w:left w:val="single" w:sz="1" w:space="0" w:color="000000"/>
              <w:bottom w:val="single" w:sz="1" w:space="0" w:color="000000"/>
              <w:right w:val="single" w:sz="1" w:space="0" w:color="000000"/>
            </w:tcBorders>
          </w:tcPr>
          <w:p w14:paraId="1CAD72AB" w14:textId="77777777" w:rsidR="00721A0A" w:rsidRPr="00AB0050" w:rsidRDefault="00721A0A" w:rsidP="00AB0050"/>
        </w:tc>
        <w:tc>
          <w:tcPr>
            <w:tcW w:w="1984"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514C1A5" w14:textId="77777777" w:rsidR="00721A0A" w:rsidRPr="00AB0050" w:rsidRDefault="00000000" w:rsidP="00AB0050">
            <w:pPr>
              <w:jc w:val="center"/>
            </w:pPr>
            <w:r w:rsidRPr="00AB0050">
              <w:rPr>
                <w:b/>
                <w:bCs/>
              </w:rPr>
              <w:t>Sección</w:t>
            </w:r>
          </w:p>
        </w:tc>
        <w:tc>
          <w:tcPr>
            <w:tcW w:w="1276"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855A145" w14:textId="77777777" w:rsidR="00721A0A" w:rsidRPr="00AB0050" w:rsidRDefault="00000000" w:rsidP="00AB0050">
            <w:pPr>
              <w:jc w:val="center"/>
            </w:pPr>
            <w:r w:rsidRPr="00AB0050">
              <w:rPr>
                <w:b/>
                <w:bCs/>
              </w:rPr>
              <w:t>Numeral y Literal</w:t>
            </w:r>
          </w:p>
        </w:tc>
        <w:tc>
          <w:tcPr>
            <w:tcW w:w="85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818B51A" w14:textId="77777777" w:rsidR="00721A0A" w:rsidRPr="00AB0050" w:rsidRDefault="00000000" w:rsidP="00AB0050">
            <w:pPr>
              <w:jc w:val="center"/>
            </w:pPr>
            <w:r w:rsidRPr="00AB0050">
              <w:rPr>
                <w:b/>
                <w:bCs/>
              </w:rPr>
              <w:t>Pág.</w:t>
            </w:r>
          </w:p>
        </w:tc>
        <w:tc>
          <w:tcPr>
            <w:tcW w:w="6130" w:type="dxa"/>
            <w:vMerge/>
            <w:tcBorders>
              <w:top w:val="single" w:sz="1" w:space="0" w:color="000000"/>
              <w:left w:val="single" w:sz="1" w:space="0" w:color="000000"/>
              <w:bottom w:val="single" w:sz="1" w:space="0" w:color="000000"/>
              <w:right w:val="single" w:sz="1" w:space="0" w:color="000000"/>
            </w:tcBorders>
          </w:tcPr>
          <w:p w14:paraId="06E8628B" w14:textId="77777777" w:rsidR="00721A0A" w:rsidRPr="00AB0050" w:rsidRDefault="00721A0A" w:rsidP="00AB0050"/>
        </w:tc>
        <w:tc>
          <w:tcPr>
            <w:tcW w:w="0" w:type="auto"/>
            <w:vMerge/>
            <w:tcBorders>
              <w:top w:val="single" w:sz="1" w:space="0" w:color="000000"/>
              <w:left w:val="single" w:sz="1" w:space="0" w:color="000000"/>
              <w:bottom w:val="single" w:sz="1" w:space="0" w:color="000000"/>
              <w:right w:val="single" w:sz="1" w:space="0" w:color="000000"/>
            </w:tcBorders>
          </w:tcPr>
          <w:p w14:paraId="1C191589" w14:textId="77777777" w:rsidR="00721A0A" w:rsidRPr="00AB0050" w:rsidRDefault="00721A0A" w:rsidP="00AB0050"/>
        </w:tc>
      </w:tr>
      <w:tr w:rsidR="003B3211" w:rsidRPr="00AB0050" w14:paraId="73CFBA3A" w14:textId="77777777" w:rsidTr="00CF26D8">
        <w:trPr>
          <w:trHeight w:val="987"/>
        </w:trPr>
        <w:tc>
          <w:tcPr>
            <w:tcW w:w="9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5A61246" w14:textId="07ECEF46" w:rsidR="003B3211" w:rsidRPr="00AB0050" w:rsidRDefault="00AB0050" w:rsidP="00AB0050">
            <w:pPr>
              <w:jc w:val="center"/>
            </w:pPr>
            <w:r>
              <w:t>1</w:t>
            </w:r>
          </w:p>
        </w:tc>
        <w:tc>
          <w:tcPr>
            <w:tcW w:w="198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F17BCC8" w14:textId="0F1A54A7" w:rsidR="003B3211" w:rsidRPr="00AB0050" w:rsidRDefault="003B3211" w:rsidP="00AB0050">
            <w:r w:rsidRPr="00AB0050">
              <w:t>Capítulo II</w:t>
            </w:r>
          </w:p>
        </w:tc>
        <w:tc>
          <w:tcPr>
            <w:tcW w:w="127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CB204B8" w14:textId="0901645D" w:rsidR="003B3211" w:rsidRPr="00AB0050" w:rsidRDefault="003B3211" w:rsidP="00AB0050">
            <w:r w:rsidRPr="00AB0050">
              <w:t>2.5</w:t>
            </w:r>
          </w:p>
        </w:tc>
        <w:tc>
          <w:tcPr>
            <w:tcW w:w="85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46BEC4D" w14:textId="1EE6FFBC" w:rsidR="003B3211" w:rsidRPr="00AB0050" w:rsidRDefault="003B3211" w:rsidP="00AB0050">
            <w:pPr>
              <w:jc w:val="center"/>
            </w:pPr>
            <w:r w:rsidRPr="00AB0050">
              <w:t>23</w:t>
            </w:r>
          </w:p>
        </w:tc>
        <w:tc>
          <w:tcPr>
            <w:tcW w:w="613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B54F75A" w14:textId="0694D6BD" w:rsidR="003B3211" w:rsidRPr="00AB0050" w:rsidRDefault="003B3211" w:rsidP="00AB0050">
            <w:pPr>
              <w:jc w:val="both"/>
            </w:pPr>
            <w:r w:rsidRPr="00AB0050">
              <w:t>La cláusula establece que el plazo de pago es de 10 días hábiles 'prorrogable previa justificación de la demora, por cinco días hábiles', sin precisar quién califica la justificación ni el procedimiento para solicitarla. Esto genera incertidumbre para el contratista sobre el ejercicio de este mecanismo.</w:t>
            </w:r>
            <w:r w:rsidRPr="00AB0050">
              <w:t xml:space="preserve"> </w:t>
            </w:r>
            <w:r w:rsidRPr="00AB0050">
              <w:t>¿En qué supuestos específicos procede la prórroga de 5 días hábiles del plazo de pago, y quién es el responsable de determinar si la justificación es válida?</w:t>
            </w:r>
          </w:p>
        </w:tc>
        <w:tc>
          <w:tcPr>
            <w:tcW w:w="3168"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5A20612" w14:textId="61B46692" w:rsidR="003B3211" w:rsidRPr="00AB0050" w:rsidRDefault="003B3211" w:rsidP="00AB0050">
            <w:r w:rsidRPr="00AB0050">
              <w:t>Art. 67 Ley N° 32069 (Ley General de Contrataciones del Estado); Art. 162 del Reglamento aprobado por D.S. N° 008-2024-EF.</w:t>
            </w:r>
          </w:p>
        </w:tc>
      </w:tr>
      <w:tr w:rsidR="003B3211" w:rsidRPr="00AB0050" w14:paraId="44FDD651" w14:textId="77777777" w:rsidTr="00CF26D8">
        <w:trPr>
          <w:trHeight w:val="987"/>
        </w:trPr>
        <w:tc>
          <w:tcPr>
            <w:tcW w:w="9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79A8FBF" w14:textId="27A41464" w:rsidR="003B3211" w:rsidRPr="00AB0050" w:rsidRDefault="00AB0050" w:rsidP="00AB0050">
            <w:pPr>
              <w:jc w:val="center"/>
            </w:pPr>
            <w:r>
              <w:t>2</w:t>
            </w:r>
          </w:p>
        </w:tc>
        <w:tc>
          <w:tcPr>
            <w:tcW w:w="198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F895ED0" w14:textId="6553D443" w:rsidR="003B3211" w:rsidRPr="00AB0050" w:rsidRDefault="003B3211" w:rsidP="00AB0050">
            <w:r w:rsidRPr="00AB0050">
              <w:t>Capítulo III</w:t>
            </w:r>
          </w:p>
        </w:tc>
        <w:tc>
          <w:tcPr>
            <w:tcW w:w="127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40735E5" w14:textId="0466DD20" w:rsidR="003B3211" w:rsidRPr="00AB0050" w:rsidRDefault="003B3211" w:rsidP="00AB0050">
            <w:r w:rsidRPr="00AB0050">
              <w:t>TDR</w:t>
            </w:r>
            <w:r w:rsidRPr="00AB0050">
              <w:t xml:space="preserve"> 3.c)</w:t>
            </w:r>
          </w:p>
        </w:tc>
        <w:tc>
          <w:tcPr>
            <w:tcW w:w="85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3AB4DFB" w14:textId="66F25B21" w:rsidR="003B3211" w:rsidRPr="00AB0050" w:rsidRDefault="003B3211" w:rsidP="00AB0050">
            <w:pPr>
              <w:jc w:val="center"/>
            </w:pPr>
            <w:r w:rsidRPr="00AB0050">
              <w:t>25</w:t>
            </w:r>
          </w:p>
        </w:tc>
        <w:tc>
          <w:tcPr>
            <w:tcW w:w="613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DDB9471" w14:textId="0A8C2073" w:rsidR="003B3211" w:rsidRPr="00AB0050" w:rsidRDefault="003B3211" w:rsidP="00AB0050">
            <w:pPr>
              <w:jc w:val="both"/>
            </w:pPr>
            <w:r w:rsidRPr="00AB0050">
              <w:t>El plazo se fija a partir del 14 de octubre de 2026, pero se señala 'o de ser fecha posterior la que se indique en el Acta de Inicio'. La imprecisión en la determinación de la fecha de inicio puede generar controversias sobre el cómputo de penalidades por mora y la vigencia del contrato.</w:t>
            </w:r>
            <w:r w:rsidRPr="00AB0050">
              <w:t xml:space="preserve"> </w:t>
            </w:r>
            <w:r w:rsidRPr="00AB0050">
              <w:t>¿Cuál es la fecha de inicio del plazo de ejecución de 1,096 días calendario si el contrato aún no ha sido suscrito? ¿Se ha previsto que el inicio sea posterior al 14 de octubre de 2026 en caso de retrasos en el proceso?</w:t>
            </w:r>
          </w:p>
        </w:tc>
        <w:tc>
          <w:tcPr>
            <w:tcW w:w="3168"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BDA6913" w14:textId="1E51D619" w:rsidR="003B3211" w:rsidRPr="00AB0050" w:rsidRDefault="003B3211" w:rsidP="00AB0050">
            <w:r w:rsidRPr="00AB0050">
              <w:t>Art. 40 Ley N° 32069; Art. 148 del Reglamento (D.S. N° 008-2024-EF).</w:t>
            </w:r>
          </w:p>
        </w:tc>
      </w:tr>
      <w:tr w:rsidR="003B3211" w:rsidRPr="00AB0050" w14:paraId="2534EC70" w14:textId="77777777" w:rsidTr="00CF26D8">
        <w:trPr>
          <w:trHeight w:val="987"/>
        </w:trPr>
        <w:tc>
          <w:tcPr>
            <w:tcW w:w="9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5D3C098" w14:textId="5CAF1080" w:rsidR="003B3211" w:rsidRPr="00AB0050" w:rsidRDefault="00AB0050" w:rsidP="00AB0050">
            <w:pPr>
              <w:jc w:val="center"/>
            </w:pPr>
            <w:r>
              <w:t>3</w:t>
            </w:r>
          </w:p>
        </w:tc>
        <w:tc>
          <w:tcPr>
            <w:tcW w:w="198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7908E77" w14:textId="0D005AE1" w:rsidR="003B3211" w:rsidRPr="00AB0050" w:rsidRDefault="003B3211" w:rsidP="00AB0050">
            <w:r w:rsidRPr="00AB0050">
              <w:t>Capítulo III</w:t>
            </w:r>
          </w:p>
        </w:tc>
        <w:tc>
          <w:tcPr>
            <w:tcW w:w="127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FB63FD3" w14:textId="08CBF93A" w:rsidR="003B3211" w:rsidRPr="00AB0050" w:rsidRDefault="003B3211" w:rsidP="00AB0050">
            <w:r w:rsidRPr="00AB0050">
              <w:t>TDR 3.</w:t>
            </w:r>
            <w:r w:rsidRPr="00AB0050">
              <w:t>f</w:t>
            </w:r>
            <w:r w:rsidRPr="00AB0050">
              <w:t>)</w:t>
            </w:r>
            <w:r w:rsidRPr="00AB0050">
              <w:t xml:space="preserve"> Otras Penalidades</w:t>
            </w:r>
          </w:p>
        </w:tc>
        <w:tc>
          <w:tcPr>
            <w:tcW w:w="85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DBB5E43" w14:textId="7BDA60AB" w:rsidR="003B3211" w:rsidRPr="00AB0050" w:rsidRDefault="003B3211" w:rsidP="00AB0050">
            <w:pPr>
              <w:jc w:val="center"/>
            </w:pPr>
            <w:r w:rsidRPr="00AB0050">
              <w:t>25</w:t>
            </w:r>
          </w:p>
        </w:tc>
        <w:tc>
          <w:tcPr>
            <w:tcW w:w="613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81C1DA9" w14:textId="4597D050" w:rsidR="003B3211" w:rsidRPr="00AB0050" w:rsidRDefault="003B3211" w:rsidP="00AB0050">
            <w:pPr>
              <w:jc w:val="both"/>
            </w:pPr>
            <w:r w:rsidRPr="00AB0050">
              <w:t xml:space="preserve">¿Cómo se acredita el 'tiempo de caída de servicio' para efectos del cálculo de la penalidad? ¿Quién es el responsable de la medición y cuál es el instrumento técnico validado para </w:t>
            </w:r>
            <w:proofErr w:type="gramStart"/>
            <w:r w:rsidRPr="00AB0050">
              <w:t>ello</w:t>
            </w:r>
            <w:r w:rsidRPr="00AB0050">
              <w:t>?.</w:t>
            </w:r>
            <w:proofErr w:type="gramEnd"/>
            <w:r w:rsidRPr="00AB0050">
              <w:t xml:space="preserve"> </w:t>
            </w:r>
            <w:r w:rsidRPr="00AB0050">
              <w:t>La tabla de otras penalidades establece que la verificación la realiza el 'Informe del Área Usuaria', sin precisar el procedimiento técnico para medir los tiempos de caída. Esta indefinición puede afectar el derecho de defensa del contratista al momento de impugnar la aplicación de penalidades. Se recomienda establecer un procedimiento técnico objetivo y trazable</w:t>
            </w:r>
            <w:r w:rsidRPr="00AB0050">
              <w:t>.</w:t>
            </w:r>
          </w:p>
        </w:tc>
        <w:tc>
          <w:tcPr>
            <w:tcW w:w="3168"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9AAB6D4" w14:textId="77777777" w:rsidR="003B3211" w:rsidRPr="00AB0050" w:rsidRDefault="003B3211" w:rsidP="00AB0050"/>
        </w:tc>
      </w:tr>
      <w:tr w:rsidR="003B3211" w:rsidRPr="00AB0050" w14:paraId="78D73794" w14:textId="77777777" w:rsidTr="00CF26D8">
        <w:trPr>
          <w:trHeight w:val="987"/>
        </w:trPr>
        <w:tc>
          <w:tcPr>
            <w:tcW w:w="9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7C36488" w14:textId="2D3B7BBE" w:rsidR="003B3211" w:rsidRPr="00AB0050" w:rsidRDefault="00AB0050" w:rsidP="00AB0050">
            <w:pPr>
              <w:jc w:val="center"/>
            </w:pPr>
            <w:r>
              <w:t>4</w:t>
            </w:r>
          </w:p>
        </w:tc>
        <w:tc>
          <w:tcPr>
            <w:tcW w:w="198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DF46BCF" w14:textId="2BFB0F7A" w:rsidR="003B3211" w:rsidRPr="00AB0050" w:rsidRDefault="003B3211" w:rsidP="00AB0050">
            <w:r w:rsidRPr="00AB0050">
              <w:t xml:space="preserve">Capítulo III </w:t>
            </w:r>
          </w:p>
        </w:tc>
        <w:tc>
          <w:tcPr>
            <w:tcW w:w="127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4D892BA" w14:textId="598D7457" w:rsidR="003B3211" w:rsidRPr="00AB0050" w:rsidRDefault="003B3211" w:rsidP="00AB0050">
            <w:r w:rsidRPr="00AB0050">
              <w:t>3.f)</w:t>
            </w:r>
          </w:p>
        </w:tc>
        <w:tc>
          <w:tcPr>
            <w:tcW w:w="85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381E20E" w14:textId="22B51037" w:rsidR="003B3211" w:rsidRPr="00AB0050" w:rsidRDefault="003B3211" w:rsidP="00AB0050">
            <w:pPr>
              <w:jc w:val="center"/>
            </w:pPr>
            <w:r w:rsidRPr="00AB0050">
              <w:t>26</w:t>
            </w:r>
          </w:p>
        </w:tc>
        <w:tc>
          <w:tcPr>
            <w:tcW w:w="613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73BC2F5" w14:textId="77777777" w:rsidR="003B3211" w:rsidRPr="00AB0050" w:rsidRDefault="003B3211" w:rsidP="00AB0050">
            <w:pPr>
              <w:jc w:val="both"/>
            </w:pPr>
            <w:r w:rsidRPr="00AB0050">
              <w:t>Agradeceremos precisar que durante el plazo de instalación, configuración y puesta en marcha del servicio se considerarán, entre otros, como hechos generadores de atraso no imputables al contratista y no corresponderá aplicar penalidades en los siguientes casos:</w:t>
            </w:r>
          </w:p>
          <w:p w14:paraId="6AB2F496" w14:textId="77777777" w:rsidR="003B3211" w:rsidRPr="00AB0050" w:rsidRDefault="003B3211" w:rsidP="00AB0050">
            <w:pPr>
              <w:jc w:val="both"/>
            </w:pPr>
            <w:r w:rsidRPr="00AB0050">
              <w:t>- Cualquier demora por no poder contactar con el responsable de la entidad en el sitio.</w:t>
            </w:r>
          </w:p>
          <w:p w14:paraId="6E5E188C" w14:textId="77777777" w:rsidR="003B3211" w:rsidRPr="00AB0050" w:rsidRDefault="003B3211" w:rsidP="00AB0050">
            <w:pPr>
              <w:jc w:val="both"/>
            </w:pPr>
            <w:r w:rsidRPr="00AB0050">
              <w:t>- Cualquier error en la información brindada por la entidad que pueda afectar el rápido despliegue del recurso humano o material del contratista.</w:t>
            </w:r>
          </w:p>
          <w:p w14:paraId="2AE0AEF1" w14:textId="77777777" w:rsidR="003B3211" w:rsidRPr="00AB0050" w:rsidRDefault="003B3211" w:rsidP="00AB0050">
            <w:pPr>
              <w:jc w:val="both"/>
            </w:pPr>
            <w:r w:rsidRPr="00AB0050">
              <w:t>- Cualquier error en las coordenadas referentes a un lugar en donde se requiere el despliegue de la implementación.</w:t>
            </w:r>
          </w:p>
          <w:p w14:paraId="18CA0FED" w14:textId="08A4259A" w:rsidR="003B3211" w:rsidRPr="00AB0050" w:rsidRDefault="003B3211" w:rsidP="00AB0050">
            <w:pPr>
              <w:jc w:val="both"/>
            </w:pPr>
            <w:r w:rsidRPr="00AB0050">
              <w:t>- La falta de respuesta en las coordinaciones necesarias para culminar con los trabajos de implementación.</w:t>
            </w:r>
          </w:p>
        </w:tc>
        <w:tc>
          <w:tcPr>
            <w:tcW w:w="3168"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AD1AC99" w14:textId="77777777" w:rsidR="003B3211" w:rsidRPr="00AB0050" w:rsidRDefault="003B3211" w:rsidP="00AB0050"/>
        </w:tc>
      </w:tr>
      <w:tr w:rsidR="00AB0050" w:rsidRPr="00AB0050" w14:paraId="3A91614E" w14:textId="77777777" w:rsidTr="00CF26D8">
        <w:trPr>
          <w:trHeight w:val="987"/>
        </w:trPr>
        <w:tc>
          <w:tcPr>
            <w:tcW w:w="9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405E0EB" w14:textId="5E06EC48" w:rsidR="00AB0050" w:rsidRPr="00AB0050" w:rsidRDefault="00AB0050" w:rsidP="00AB0050">
            <w:pPr>
              <w:jc w:val="center"/>
            </w:pPr>
            <w:r>
              <w:lastRenderedPageBreak/>
              <w:t>5</w:t>
            </w:r>
          </w:p>
        </w:tc>
        <w:tc>
          <w:tcPr>
            <w:tcW w:w="198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092568A" w14:textId="18A3844A" w:rsidR="00AB0050" w:rsidRPr="00AB0050" w:rsidRDefault="00AB0050" w:rsidP="00AB0050">
            <w:r w:rsidRPr="00AB0050">
              <w:t xml:space="preserve">Capítulo III </w:t>
            </w:r>
          </w:p>
        </w:tc>
        <w:tc>
          <w:tcPr>
            <w:tcW w:w="127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90EA454" w14:textId="5416CC72" w:rsidR="00AB0050" w:rsidRPr="00AB0050" w:rsidRDefault="00AB0050" w:rsidP="00AB0050">
            <w:r w:rsidRPr="00AB0050">
              <w:t>3.f)</w:t>
            </w:r>
          </w:p>
        </w:tc>
        <w:tc>
          <w:tcPr>
            <w:tcW w:w="85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1C30D33" w14:textId="6135B984" w:rsidR="00AB0050" w:rsidRPr="00AB0050" w:rsidRDefault="00AB0050" w:rsidP="00AB0050">
            <w:pPr>
              <w:jc w:val="center"/>
            </w:pPr>
            <w:r w:rsidRPr="00AB0050">
              <w:t>2</w:t>
            </w:r>
            <w:r w:rsidRPr="00AB0050">
              <w:t>7</w:t>
            </w:r>
          </w:p>
        </w:tc>
        <w:tc>
          <w:tcPr>
            <w:tcW w:w="613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2DE1978" w14:textId="22E60655" w:rsidR="00AB0050" w:rsidRPr="00AB0050" w:rsidRDefault="00AB0050" w:rsidP="00AB0050">
            <w:pPr>
              <w:jc w:val="both"/>
            </w:pPr>
            <w:r w:rsidRPr="00AB0050">
              <w:t>Las bases establecen un plazo de 03 días para notificar la penalidad 'a partir de la presentación de la conformidad de la prestación del servicio', lo cual resulta contradictorio: si ya se otorgó la conformidad, no debería aplicarse penalidad por incumplimiento. Se recomienda precisar el momento de inicio del cómputo para notificación de penalidades.</w:t>
            </w:r>
            <w:r w:rsidRPr="00AB0050">
              <w:t xml:space="preserve"> </w:t>
            </w:r>
            <w:r w:rsidRPr="00AB0050">
              <w:t>¿El plazo de tres (03) días para notificar al contratista el supuesto de penalidad se computa desde la conformidad o desde que el Área Usuaria detecta la caída? ¿Qué sucede si la notificación se realiza fuera del plazo indicado?</w:t>
            </w:r>
          </w:p>
        </w:tc>
        <w:tc>
          <w:tcPr>
            <w:tcW w:w="3168"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D83F66C" w14:textId="77777777" w:rsidR="00AB0050" w:rsidRPr="00AB0050" w:rsidRDefault="00AB0050" w:rsidP="00AB0050">
            <w:pPr>
              <w:rPr>
                <w:lang w:val="en-US"/>
              </w:rPr>
            </w:pPr>
          </w:p>
        </w:tc>
      </w:tr>
      <w:tr w:rsidR="00AB0050" w:rsidRPr="00AB0050" w14:paraId="6F1C2492" w14:textId="77777777" w:rsidTr="00CF26D8">
        <w:trPr>
          <w:trHeight w:val="987"/>
        </w:trPr>
        <w:tc>
          <w:tcPr>
            <w:tcW w:w="9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10B829B" w14:textId="7B610BE1" w:rsidR="00AB0050" w:rsidRPr="00AB0050" w:rsidRDefault="00AB0050" w:rsidP="00AB0050">
            <w:pPr>
              <w:jc w:val="center"/>
            </w:pPr>
            <w:r>
              <w:t>6</w:t>
            </w:r>
          </w:p>
        </w:tc>
        <w:tc>
          <w:tcPr>
            <w:tcW w:w="198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19E5557" w14:textId="5B753874" w:rsidR="00AB0050" w:rsidRPr="00AB0050" w:rsidRDefault="00AB0050" w:rsidP="00AB0050">
            <w:r w:rsidRPr="00AB0050">
              <w:t>Capítulo III</w:t>
            </w:r>
          </w:p>
        </w:tc>
        <w:tc>
          <w:tcPr>
            <w:tcW w:w="127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23CCD24" w14:textId="3B0390E9" w:rsidR="00AB0050" w:rsidRPr="00AB0050" w:rsidRDefault="00AB0050" w:rsidP="00AB0050">
            <w:r w:rsidRPr="00AB0050">
              <w:t>4.2.1</w:t>
            </w:r>
          </w:p>
        </w:tc>
        <w:tc>
          <w:tcPr>
            <w:tcW w:w="85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1968C16" w14:textId="12DAFB29" w:rsidR="00AB0050" w:rsidRPr="00AB0050" w:rsidRDefault="00AB0050" w:rsidP="00AB0050">
            <w:pPr>
              <w:jc w:val="center"/>
            </w:pPr>
            <w:r w:rsidRPr="00AB0050">
              <w:t>35</w:t>
            </w:r>
          </w:p>
        </w:tc>
        <w:tc>
          <w:tcPr>
            <w:tcW w:w="613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788EFB3" w14:textId="75E2166E" w:rsidR="00AB0050" w:rsidRPr="00AB0050" w:rsidRDefault="00AB0050" w:rsidP="00AB0050">
            <w:pPr>
              <w:jc w:val="both"/>
            </w:pPr>
            <w:r w:rsidRPr="00AB0050">
              <w:t xml:space="preserve">Las bases exigen que el equipo de </w:t>
            </w:r>
            <w:proofErr w:type="spellStart"/>
            <w:r w:rsidRPr="00AB0050">
              <w:t>LOGs</w:t>
            </w:r>
            <w:proofErr w:type="spellEnd"/>
            <w:r w:rsidRPr="00AB0050">
              <w:t xml:space="preserve"> esté integrado con IA generativa y aprendizaje automático del mismo fabricante con licenciamiento de tokens mensuales (Característica N° 13), lo cual coincide con características propias y exclusivas de soluciones en específico, sin que las bases admitan expresamente soluciones equivalentes. En esa línea, se está vulnerando el principio de libre concurrencia establecido en el artículo 5° de la Ley N° 32069. Por lo que, solicitamos a la entidad reformular las especificaciones técnicas sin exigir características que solo puedan ser ofrecidas por equipos de marcas específicas.</w:t>
            </w:r>
          </w:p>
        </w:tc>
        <w:tc>
          <w:tcPr>
            <w:tcW w:w="3168"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B607958" w14:textId="7D835F30" w:rsidR="00AB0050" w:rsidRPr="00AB0050" w:rsidRDefault="00AB0050" w:rsidP="00AB0050">
            <w:r w:rsidRPr="00AB0050">
              <w:rPr>
                <w:lang w:val="en-US"/>
              </w:rPr>
              <w:t>Art. 5 h) Ley N° 32060</w:t>
            </w:r>
          </w:p>
        </w:tc>
      </w:tr>
      <w:tr w:rsidR="00AB0050" w:rsidRPr="00AB0050" w14:paraId="5B92FD67" w14:textId="77777777" w:rsidTr="00CF26D8">
        <w:trPr>
          <w:trHeight w:val="987"/>
        </w:trPr>
        <w:tc>
          <w:tcPr>
            <w:tcW w:w="9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B22697D" w14:textId="22FA74DB" w:rsidR="00AB0050" w:rsidRPr="00AB0050" w:rsidRDefault="00AB0050" w:rsidP="00AB0050">
            <w:pPr>
              <w:jc w:val="center"/>
            </w:pPr>
            <w:r>
              <w:t>7</w:t>
            </w:r>
          </w:p>
        </w:tc>
        <w:tc>
          <w:tcPr>
            <w:tcW w:w="198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2359EE6" w14:textId="7F9536BF" w:rsidR="00AB0050" w:rsidRPr="00AB0050" w:rsidRDefault="00AB0050" w:rsidP="00AB0050">
            <w:r w:rsidRPr="00AB0050">
              <w:t>Capítulo III</w:t>
            </w:r>
          </w:p>
        </w:tc>
        <w:tc>
          <w:tcPr>
            <w:tcW w:w="127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E1DCA20" w14:textId="1A6238B9" w:rsidR="00AB0050" w:rsidRPr="00AB0050" w:rsidRDefault="00AB0050" w:rsidP="00AB0050">
            <w:r w:rsidRPr="00AB0050">
              <w:t>4.2.1</w:t>
            </w:r>
          </w:p>
        </w:tc>
        <w:tc>
          <w:tcPr>
            <w:tcW w:w="85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7E00F09" w14:textId="4526C415" w:rsidR="00AB0050" w:rsidRPr="00AB0050" w:rsidRDefault="00AB0050" w:rsidP="00AB0050">
            <w:pPr>
              <w:jc w:val="center"/>
            </w:pPr>
            <w:r w:rsidRPr="00AB0050">
              <w:t>41</w:t>
            </w:r>
          </w:p>
        </w:tc>
        <w:tc>
          <w:tcPr>
            <w:tcW w:w="613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9AD84D8" w14:textId="7B3D4047" w:rsidR="00AB0050" w:rsidRPr="00AB0050" w:rsidRDefault="00AB0050" w:rsidP="00AB0050">
            <w:pPr>
              <w:jc w:val="both"/>
            </w:pPr>
            <w:r w:rsidRPr="00AB0050">
              <w:t xml:space="preserve">Respecto a la herramienta web de visualización gráfica de estadísticas del enlace, solicitamos a la entidad precisar si la herramienta para cada tipo de enlace puede ser una plataforma unificada que consolide en un solo acceso. Asimismo, indicar el número de usuarios concurrentes que podrán acceder a la herramienta de monitoreo. </w:t>
            </w:r>
          </w:p>
        </w:tc>
        <w:tc>
          <w:tcPr>
            <w:tcW w:w="3168"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0CE0B43" w14:textId="77777777" w:rsidR="00AB0050" w:rsidRPr="00AB0050" w:rsidRDefault="00AB0050" w:rsidP="00AB0050">
            <w:pPr>
              <w:rPr>
                <w:lang w:val="en-US"/>
              </w:rPr>
            </w:pPr>
          </w:p>
        </w:tc>
      </w:tr>
      <w:tr w:rsidR="00AB0050" w:rsidRPr="00AB0050" w14:paraId="53459EE0" w14:textId="77777777" w:rsidTr="00AB0050">
        <w:trPr>
          <w:trHeight w:val="833"/>
        </w:trPr>
        <w:tc>
          <w:tcPr>
            <w:tcW w:w="9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F570A60" w14:textId="287E9A59" w:rsidR="00AB0050" w:rsidRPr="00AB0050" w:rsidRDefault="00AB0050" w:rsidP="00AB0050">
            <w:pPr>
              <w:jc w:val="center"/>
            </w:pPr>
            <w:r>
              <w:t>8</w:t>
            </w:r>
          </w:p>
        </w:tc>
        <w:tc>
          <w:tcPr>
            <w:tcW w:w="198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935E563" w14:textId="42AB1F34" w:rsidR="00AB0050" w:rsidRPr="00AB0050" w:rsidRDefault="00AB0050" w:rsidP="00AB0050">
            <w:r w:rsidRPr="00AB0050">
              <w:t>Capítulo III</w:t>
            </w:r>
          </w:p>
        </w:tc>
        <w:tc>
          <w:tcPr>
            <w:tcW w:w="127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3ADB8A4" w14:textId="39D8EC73" w:rsidR="00AB0050" w:rsidRPr="00AB0050" w:rsidRDefault="00AB0050" w:rsidP="00AB0050">
            <w:r w:rsidRPr="00AB0050">
              <w:t>4.2.2</w:t>
            </w:r>
          </w:p>
        </w:tc>
        <w:tc>
          <w:tcPr>
            <w:tcW w:w="85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A9155D3" w14:textId="51F3DA75" w:rsidR="00AB0050" w:rsidRPr="00AB0050" w:rsidRDefault="00AB0050" w:rsidP="00AB0050">
            <w:pPr>
              <w:jc w:val="center"/>
            </w:pPr>
            <w:r w:rsidRPr="00AB0050">
              <w:t>42</w:t>
            </w:r>
          </w:p>
        </w:tc>
        <w:tc>
          <w:tcPr>
            <w:tcW w:w="613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4966F5E" w14:textId="13109CD0" w:rsidR="00AB0050" w:rsidRPr="00AB0050" w:rsidRDefault="00AB0050" w:rsidP="00AB0050">
            <w:pPr>
              <w:jc w:val="both"/>
            </w:pPr>
            <w:r w:rsidRPr="00AB0050">
              <w:t xml:space="preserve">Solicitamos a la entidad precisar los tiempos máximos permitidos para la reparación o reemplazo de equipos o componentes ante fallas del servicio, a fin de establecer adecuadamente los compromisos operativos del contratista. </w:t>
            </w:r>
          </w:p>
        </w:tc>
        <w:tc>
          <w:tcPr>
            <w:tcW w:w="3168"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A3B62AE" w14:textId="77777777" w:rsidR="00AB0050" w:rsidRPr="00AB0050" w:rsidRDefault="00AB0050" w:rsidP="00AB0050">
            <w:pPr>
              <w:rPr>
                <w:lang w:val="en-US"/>
              </w:rPr>
            </w:pPr>
          </w:p>
        </w:tc>
      </w:tr>
      <w:tr w:rsidR="00AB0050" w:rsidRPr="00AB0050" w14:paraId="15F01FDD" w14:textId="77777777" w:rsidTr="00CF26D8">
        <w:trPr>
          <w:trHeight w:val="987"/>
        </w:trPr>
        <w:tc>
          <w:tcPr>
            <w:tcW w:w="9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EB2FBF7" w14:textId="7A5AC281" w:rsidR="00AB0050" w:rsidRPr="00AB0050" w:rsidRDefault="00AB0050" w:rsidP="00AB0050">
            <w:pPr>
              <w:jc w:val="center"/>
            </w:pPr>
            <w:r>
              <w:t>9</w:t>
            </w:r>
          </w:p>
        </w:tc>
        <w:tc>
          <w:tcPr>
            <w:tcW w:w="198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379412C" w14:textId="0DCBF271" w:rsidR="00AB0050" w:rsidRPr="00AB0050" w:rsidRDefault="00AB0050" w:rsidP="00AB0050">
            <w:r w:rsidRPr="00AB0050">
              <w:t>Capítulo III</w:t>
            </w:r>
          </w:p>
        </w:tc>
        <w:tc>
          <w:tcPr>
            <w:tcW w:w="127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DC5F400" w14:textId="64208A6D" w:rsidR="00AB0050" w:rsidRPr="00AB0050" w:rsidRDefault="00AB0050" w:rsidP="00AB0050">
            <w:r w:rsidRPr="00AB0050">
              <w:t>4.2.3</w:t>
            </w:r>
          </w:p>
        </w:tc>
        <w:tc>
          <w:tcPr>
            <w:tcW w:w="85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E2E74A0" w14:textId="4F6B6C56" w:rsidR="00AB0050" w:rsidRPr="00AB0050" w:rsidRDefault="00AB0050" w:rsidP="00AB0050">
            <w:pPr>
              <w:jc w:val="center"/>
            </w:pPr>
            <w:r w:rsidRPr="00AB0050">
              <w:t>45</w:t>
            </w:r>
          </w:p>
        </w:tc>
        <w:tc>
          <w:tcPr>
            <w:tcW w:w="613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73CE2B0" w14:textId="6727F8EE" w:rsidR="00AB0050" w:rsidRPr="00AB0050" w:rsidRDefault="00AB0050" w:rsidP="00AB0050">
            <w:pPr>
              <w:jc w:val="both"/>
            </w:pPr>
            <w:r w:rsidRPr="00AB0050">
              <w:t xml:space="preserve">Solicitamos a la entidad precisar el tiempo máximo de resolución por tipo de avería y por enlace, si bien las bases establecen que el contratista debe responder en 30 minutos ante una caída del servicio, se entiende que este es el tiempo que se toma desde reportar el incidente hasta que el contratista responda y asigna un </w:t>
            </w:r>
            <w:proofErr w:type="gramStart"/>
            <w:r w:rsidRPr="00AB0050">
              <w:t>ticket</w:t>
            </w:r>
            <w:proofErr w:type="gramEnd"/>
            <w:r w:rsidRPr="00AB0050">
              <w:t>.</w:t>
            </w:r>
          </w:p>
        </w:tc>
        <w:tc>
          <w:tcPr>
            <w:tcW w:w="3168"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5D13522" w14:textId="77777777" w:rsidR="00AB0050" w:rsidRPr="00AB0050" w:rsidRDefault="00AB0050" w:rsidP="00AB0050">
            <w:pPr>
              <w:rPr>
                <w:lang w:val="en-US"/>
              </w:rPr>
            </w:pPr>
          </w:p>
        </w:tc>
      </w:tr>
      <w:tr w:rsidR="00AB0050" w:rsidRPr="00AB0050" w14:paraId="30AF6DD4" w14:textId="77777777" w:rsidTr="00CF26D8">
        <w:trPr>
          <w:trHeight w:val="987"/>
        </w:trPr>
        <w:tc>
          <w:tcPr>
            <w:tcW w:w="9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CD7521C" w14:textId="128DEB29" w:rsidR="00AB0050" w:rsidRPr="00AB0050" w:rsidRDefault="00AB0050" w:rsidP="00AB0050">
            <w:pPr>
              <w:jc w:val="center"/>
            </w:pPr>
            <w:r>
              <w:t>10</w:t>
            </w:r>
          </w:p>
        </w:tc>
        <w:tc>
          <w:tcPr>
            <w:tcW w:w="198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B75B5F2" w14:textId="1F95CD75" w:rsidR="00AB0050" w:rsidRPr="00AB0050" w:rsidRDefault="00AB0050" w:rsidP="00AB0050">
            <w:r w:rsidRPr="00AB0050">
              <w:t>Capítulo III</w:t>
            </w:r>
          </w:p>
        </w:tc>
        <w:tc>
          <w:tcPr>
            <w:tcW w:w="127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DD1BA1D" w14:textId="50F7CD1B" w:rsidR="00AB0050" w:rsidRPr="00AB0050" w:rsidRDefault="00AB0050" w:rsidP="00AB0050">
            <w:r w:rsidRPr="00AB0050">
              <w:t>4.2.5</w:t>
            </w:r>
          </w:p>
        </w:tc>
        <w:tc>
          <w:tcPr>
            <w:tcW w:w="85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1DDC307" w14:textId="4D846936" w:rsidR="00AB0050" w:rsidRPr="00AB0050" w:rsidRDefault="00AB0050" w:rsidP="00AB0050">
            <w:pPr>
              <w:jc w:val="center"/>
            </w:pPr>
            <w:r w:rsidRPr="00AB0050">
              <w:t>46</w:t>
            </w:r>
          </w:p>
        </w:tc>
        <w:tc>
          <w:tcPr>
            <w:tcW w:w="613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BC525BD" w14:textId="77777777" w:rsidR="00AB0050" w:rsidRPr="00AB0050" w:rsidRDefault="00AB0050" w:rsidP="00AB0050">
            <w:pPr>
              <w:autoSpaceDE w:val="0"/>
              <w:autoSpaceDN w:val="0"/>
              <w:adjustRightInd w:val="0"/>
              <w:jc w:val="both"/>
              <w:rPr>
                <w:color w:val="000000"/>
              </w:rPr>
            </w:pPr>
            <w:r w:rsidRPr="00AB0050">
              <w:rPr>
                <w:color w:val="000000"/>
              </w:rPr>
              <w:t xml:space="preserve">Solicitamos a la entidad precisar que asume como parte de las facilidades que brinda al contratista, durante la implementación del servicio, se encuentran el garantizar los accesos a los inmuebles, independientemente que estos sean </w:t>
            </w:r>
            <w:r w:rsidRPr="00AB0050">
              <w:t>administrados y/o sean de propiedad de empresas privadas y/u otras entidades públicas, garantizar la efectiva coordinación para los trabajos de implementación y brindar la información técnica y administrativa correcta (ubicaciones, coordenadas y cualquier otro dato relevante para la correcta implementación del servicio).</w:t>
            </w:r>
          </w:p>
          <w:p w14:paraId="238FAAE0" w14:textId="77777777" w:rsidR="00AB0050" w:rsidRPr="00AB0050" w:rsidRDefault="00AB0050" w:rsidP="00AB0050">
            <w:pPr>
              <w:autoSpaceDE w:val="0"/>
              <w:autoSpaceDN w:val="0"/>
              <w:adjustRightInd w:val="0"/>
              <w:jc w:val="both"/>
              <w:rPr>
                <w:color w:val="000000"/>
              </w:rPr>
            </w:pPr>
          </w:p>
        </w:tc>
        <w:tc>
          <w:tcPr>
            <w:tcW w:w="3168"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99B2A37" w14:textId="77777777" w:rsidR="00AB0050" w:rsidRPr="00AB0050" w:rsidRDefault="00AB0050" w:rsidP="00AB0050"/>
        </w:tc>
      </w:tr>
      <w:tr w:rsidR="00AB0050" w:rsidRPr="00AB0050" w14:paraId="290070B0" w14:textId="77777777">
        <w:tc>
          <w:tcPr>
            <w:tcW w:w="0" w:type="auto"/>
            <w:gridSpan w:val="6"/>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A1F9768" w14:textId="119B81FB" w:rsidR="00AB0050" w:rsidRPr="00AB0050" w:rsidRDefault="00AB0050" w:rsidP="00AB0050">
            <w:pPr>
              <w:jc w:val="center"/>
            </w:pPr>
            <w:proofErr w:type="gramStart"/>
            <w:r w:rsidRPr="00AB0050">
              <w:rPr>
                <w:b/>
                <w:bCs/>
              </w:rPr>
              <w:t>Total</w:t>
            </w:r>
            <w:proofErr w:type="gramEnd"/>
            <w:r w:rsidRPr="00AB0050">
              <w:rPr>
                <w:b/>
                <w:bCs/>
              </w:rPr>
              <w:t xml:space="preserve"> de consultas y/u observaciones: </w:t>
            </w:r>
            <w:r>
              <w:rPr>
                <w:b/>
                <w:bCs/>
              </w:rPr>
              <w:t>10</w:t>
            </w:r>
          </w:p>
        </w:tc>
      </w:tr>
    </w:tbl>
    <w:p w14:paraId="10EFC5D0" w14:textId="0EBF6FAE" w:rsidR="00721A0A" w:rsidRPr="00AB0050" w:rsidRDefault="00721A0A" w:rsidP="00AB0050">
      <w:pPr>
        <w:jc w:val="right"/>
      </w:pPr>
    </w:p>
    <w:sectPr w:rsidR="00721A0A" w:rsidRPr="00AB0050">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95B7E"/>
    <w:multiLevelType w:val="hybridMultilevel"/>
    <w:tmpl w:val="803ACE4A"/>
    <w:lvl w:ilvl="0" w:tplc="F54C2EBE">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36E40DFC"/>
    <w:multiLevelType w:val="hybridMultilevel"/>
    <w:tmpl w:val="5B14A40A"/>
    <w:lvl w:ilvl="0" w:tplc="86B8A33A">
      <w:start w:val="1"/>
      <w:numFmt w:val="bullet"/>
      <w:lvlText w:val="●"/>
      <w:lvlJc w:val="left"/>
      <w:pPr>
        <w:ind w:left="720" w:hanging="360"/>
      </w:pPr>
    </w:lvl>
    <w:lvl w:ilvl="1" w:tplc="91084CAC">
      <w:start w:val="1"/>
      <w:numFmt w:val="bullet"/>
      <w:lvlText w:val="○"/>
      <w:lvlJc w:val="left"/>
      <w:pPr>
        <w:ind w:left="1440" w:hanging="360"/>
      </w:pPr>
    </w:lvl>
    <w:lvl w:ilvl="2" w:tplc="C2C6BBE2">
      <w:start w:val="1"/>
      <w:numFmt w:val="bullet"/>
      <w:lvlText w:val="■"/>
      <w:lvlJc w:val="left"/>
      <w:pPr>
        <w:ind w:left="2160" w:hanging="360"/>
      </w:pPr>
    </w:lvl>
    <w:lvl w:ilvl="3" w:tplc="7C8EC4DC">
      <w:start w:val="1"/>
      <w:numFmt w:val="bullet"/>
      <w:lvlText w:val="●"/>
      <w:lvlJc w:val="left"/>
      <w:pPr>
        <w:ind w:left="2880" w:hanging="360"/>
      </w:pPr>
    </w:lvl>
    <w:lvl w:ilvl="4" w:tplc="E054761C">
      <w:start w:val="1"/>
      <w:numFmt w:val="bullet"/>
      <w:lvlText w:val="○"/>
      <w:lvlJc w:val="left"/>
      <w:pPr>
        <w:ind w:left="3600" w:hanging="360"/>
      </w:pPr>
    </w:lvl>
    <w:lvl w:ilvl="5" w:tplc="8320068C">
      <w:start w:val="1"/>
      <w:numFmt w:val="bullet"/>
      <w:lvlText w:val="■"/>
      <w:lvlJc w:val="left"/>
      <w:pPr>
        <w:ind w:left="4320" w:hanging="360"/>
      </w:pPr>
    </w:lvl>
    <w:lvl w:ilvl="6" w:tplc="A14EAAB8">
      <w:start w:val="1"/>
      <w:numFmt w:val="bullet"/>
      <w:lvlText w:val="●"/>
      <w:lvlJc w:val="left"/>
      <w:pPr>
        <w:ind w:left="5040" w:hanging="360"/>
      </w:pPr>
    </w:lvl>
    <w:lvl w:ilvl="7" w:tplc="DFDEFF16">
      <w:start w:val="1"/>
      <w:numFmt w:val="bullet"/>
      <w:lvlText w:val="●"/>
      <w:lvlJc w:val="left"/>
      <w:pPr>
        <w:ind w:left="5760" w:hanging="360"/>
      </w:pPr>
    </w:lvl>
    <w:lvl w:ilvl="8" w:tplc="AC0CEF98">
      <w:start w:val="1"/>
      <w:numFmt w:val="bullet"/>
      <w:lvlText w:val="●"/>
      <w:lvlJc w:val="left"/>
      <w:pPr>
        <w:ind w:left="6480" w:hanging="360"/>
      </w:pPr>
    </w:lvl>
  </w:abstractNum>
  <w:num w:numId="1" w16cid:durableId="302929071">
    <w:abstractNumId w:val="1"/>
    <w:lvlOverride w:ilvl="0">
      <w:startOverride w:val="1"/>
    </w:lvlOverride>
  </w:num>
  <w:num w:numId="2" w16cid:durableId="1278373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A0A"/>
    <w:rsid w:val="00010ABB"/>
    <w:rsid w:val="000124FD"/>
    <w:rsid w:val="000358A0"/>
    <w:rsid w:val="0007097C"/>
    <w:rsid w:val="001645F4"/>
    <w:rsid w:val="002970F0"/>
    <w:rsid w:val="002B2288"/>
    <w:rsid w:val="002E1AB2"/>
    <w:rsid w:val="00385E67"/>
    <w:rsid w:val="003B3211"/>
    <w:rsid w:val="003C4B2D"/>
    <w:rsid w:val="00406B23"/>
    <w:rsid w:val="0043478D"/>
    <w:rsid w:val="004D60B4"/>
    <w:rsid w:val="005F732D"/>
    <w:rsid w:val="00605357"/>
    <w:rsid w:val="00666D03"/>
    <w:rsid w:val="00674B6F"/>
    <w:rsid w:val="00677226"/>
    <w:rsid w:val="006A799F"/>
    <w:rsid w:val="006D732D"/>
    <w:rsid w:val="00721A0A"/>
    <w:rsid w:val="007666E5"/>
    <w:rsid w:val="0077107C"/>
    <w:rsid w:val="00783B4C"/>
    <w:rsid w:val="007A676F"/>
    <w:rsid w:val="007D643A"/>
    <w:rsid w:val="00833761"/>
    <w:rsid w:val="0090334D"/>
    <w:rsid w:val="00907148"/>
    <w:rsid w:val="00985B86"/>
    <w:rsid w:val="009D2141"/>
    <w:rsid w:val="00A4513B"/>
    <w:rsid w:val="00A94666"/>
    <w:rsid w:val="00AA76D4"/>
    <w:rsid w:val="00AB0050"/>
    <w:rsid w:val="00B06A79"/>
    <w:rsid w:val="00C22E01"/>
    <w:rsid w:val="00C72C14"/>
    <w:rsid w:val="00CF26D8"/>
    <w:rsid w:val="00D020C3"/>
    <w:rsid w:val="00D13975"/>
    <w:rsid w:val="00D15BC0"/>
    <w:rsid w:val="00D44101"/>
    <w:rsid w:val="00D73C80"/>
    <w:rsid w:val="00E12EBC"/>
    <w:rsid w:val="00E227C5"/>
    <w:rsid w:val="00E801A3"/>
    <w:rsid w:val="00E8127C"/>
    <w:rsid w:val="00FA2A04"/>
    <w:rsid w:val="00FB449F"/>
    <w:rsid w:val="00FD6BE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D6A0B"/>
  <w15:docId w15:val="{8B6721A1-AE85-4FFB-AC2F-DC5CDDFB5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EBC"/>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908</Words>
  <Characters>4986</Characters>
  <Application>Microsoft Office Word</Application>
  <DocSecurity>0</DocSecurity>
  <Lines>63</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Alvarez Flores</cp:lastModifiedBy>
  <cp:revision>2</cp:revision>
  <dcterms:created xsi:type="dcterms:W3CDTF">2026-05-29T21:17:00Z</dcterms:created>
  <dcterms:modified xsi:type="dcterms:W3CDTF">2026-05-29T21:17:00Z</dcterms:modified>
</cp:coreProperties>
</file>