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47" w:rsidRDefault="00D266C0" w:rsidP="005F7D19">
      <w:pPr>
        <w:pStyle w:val="NoSpacing"/>
      </w:pPr>
      <w:r>
        <w:t xml:space="preserve">This README documents how to reproduce the results in </w:t>
      </w:r>
      <w:r w:rsidR="00003182">
        <w:t>Raven Molloy</w:t>
      </w:r>
      <w:r w:rsidR="00624DF7">
        <w:t>’s</w:t>
      </w:r>
      <w:r w:rsidR="00003182">
        <w:t xml:space="preserve"> and Abigail </w:t>
      </w:r>
      <w:r w:rsidR="004C35F2">
        <w:t>Wozniak’s paper</w:t>
      </w:r>
      <w:r w:rsidR="00003182">
        <w:t xml:space="preserve"> “Labor Reallocation over the Business Cycle: New Evidence from Internal Migration,” published in the Journal of</w:t>
      </w:r>
      <w:r w:rsidR="007319D0">
        <w:t xml:space="preserve"> Labor Economics</w:t>
      </w:r>
      <w:r w:rsidR="005C3414">
        <w:t xml:space="preserve"> (2011, 29(4): 697-739).</w:t>
      </w:r>
    </w:p>
    <w:p w:rsidR="00323C6A" w:rsidRDefault="00323C6A" w:rsidP="00323C6A">
      <w:pPr>
        <w:pStyle w:val="NoSpacing"/>
        <w:rPr>
          <w:b/>
          <w:u w:val="single"/>
        </w:rPr>
      </w:pPr>
    </w:p>
    <w:p w:rsidR="00826236" w:rsidRDefault="00826236" w:rsidP="00323C6A">
      <w:pPr>
        <w:pStyle w:val="NoSpacing"/>
        <w:rPr>
          <w:b/>
          <w:u w:val="single"/>
        </w:rPr>
      </w:pPr>
      <w:r>
        <w:rPr>
          <w:b/>
          <w:u w:val="single"/>
        </w:rPr>
        <w:t>Repository Structure</w:t>
      </w:r>
    </w:p>
    <w:p w:rsidR="00EB3BCA" w:rsidRDefault="00EB3BCA" w:rsidP="00323C6A">
      <w:pPr>
        <w:pStyle w:val="NoSpacing"/>
        <w:rPr>
          <w:b/>
          <w:u w:val="single"/>
        </w:rPr>
      </w:pPr>
    </w:p>
    <w:p w:rsidR="00EB3BCA" w:rsidRPr="00EB3BCA" w:rsidRDefault="00EB3BCA" w:rsidP="00EB3BCA">
      <w:pPr>
        <w:rPr>
          <w:i/>
          <w:color w:val="000000" w:themeColor="text1"/>
        </w:rPr>
      </w:pPr>
      <w:r>
        <w:rPr>
          <w:i/>
          <w:color w:val="000000" w:themeColor="text1"/>
        </w:rPr>
        <w:t>The repository is structured as follows:</w:t>
      </w:r>
    </w:p>
    <w:p w:rsidR="00826236" w:rsidRPr="00EB3BCA" w:rsidRDefault="00EB3BCA" w:rsidP="00EB3BCA">
      <w:pPr>
        <w:pStyle w:val="NoSpacing"/>
        <w:numPr>
          <w:ilvl w:val="0"/>
          <w:numId w:val="6"/>
        </w:numPr>
        <w:rPr>
          <w:b/>
        </w:rPr>
      </w:pPr>
      <w:r w:rsidRPr="00EB3BCA">
        <w:rPr>
          <w:b/>
        </w:rPr>
        <w:t>\Table_#</w:t>
      </w:r>
      <w:r w:rsidRPr="00EB3BCA">
        <w:t xml:space="preserve"> or </w:t>
      </w:r>
      <w:r w:rsidRPr="00EB3BCA">
        <w:rPr>
          <w:b/>
        </w:rPr>
        <w:t>\Figure_#</w:t>
      </w:r>
    </w:p>
    <w:p w:rsidR="00EB3BCA" w:rsidRPr="00EB3BCA" w:rsidRDefault="00EB3BCA" w:rsidP="00EB3BCA">
      <w:pPr>
        <w:pStyle w:val="NoSpacing"/>
        <w:numPr>
          <w:ilvl w:val="1"/>
          <w:numId w:val="6"/>
        </w:numPr>
        <w:rPr>
          <w:b/>
          <w:u w:val="single"/>
        </w:rPr>
      </w:pPr>
      <w:r>
        <w:t>These folders contain the datasets and do-files for the specific Table</w:t>
      </w:r>
      <w:r w:rsidR="0012599E">
        <w:t>(s)</w:t>
      </w:r>
      <w:r>
        <w:t xml:space="preserve"> </w:t>
      </w:r>
      <w:r w:rsidR="0012599E">
        <w:t>and/</w:t>
      </w:r>
      <w:r>
        <w:t>or Figure</w:t>
      </w:r>
      <w:r w:rsidR="0012599E">
        <w:t>(s)</w:t>
      </w:r>
      <w:r>
        <w:t xml:space="preserve"> </w:t>
      </w:r>
      <w:r w:rsidR="0012599E">
        <w:t xml:space="preserve">referenced </w:t>
      </w:r>
      <w:r>
        <w:t>in the folder name.</w:t>
      </w:r>
    </w:p>
    <w:p w:rsidR="00EB3BCA" w:rsidRPr="00227DB6" w:rsidRDefault="00A61DC2" w:rsidP="00EB3BCA">
      <w:pPr>
        <w:pStyle w:val="NoSpacing"/>
        <w:numPr>
          <w:ilvl w:val="0"/>
          <w:numId w:val="6"/>
        </w:numPr>
        <w:rPr>
          <w:b/>
          <w:u w:val="single"/>
        </w:rPr>
      </w:pPr>
      <w:r>
        <w:rPr>
          <w:b/>
        </w:rPr>
        <w:t>\</w:t>
      </w:r>
      <w:r w:rsidR="00227DB6">
        <w:rPr>
          <w:b/>
        </w:rPr>
        <w:t>Data_Setup</w:t>
      </w:r>
    </w:p>
    <w:p w:rsidR="00227DB6" w:rsidRPr="00EB3BCA" w:rsidRDefault="00227DB6" w:rsidP="00227DB6">
      <w:pPr>
        <w:pStyle w:val="NoSpacing"/>
        <w:numPr>
          <w:ilvl w:val="1"/>
          <w:numId w:val="6"/>
        </w:numPr>
        <w:rPr>
          <w:b/>
          <w:u w:val="single"/>
        </w:rPr>
      </w:pPr>
      <w:r>
        <w:t>This f</w:t>
      </w:r>
      <w:r w:rsidR="00571AC2">
        <w:t xml:space="preserve">older </w:t>
      </w:r>
      <w:r w:rsidR="00E15565">
        <w:t xml:space="preserve">contains </w:t>
      </w:r>
      <w:r w:rsidR="002C1081">
        <w:t xml:space="preserve">the materials needed to replicate </w:t>
      </w:r>
      <w:r w:rsidR="00E15565">
        <w:t xml:space="preserve">the </w:t>
      </w:r>
      <w:r w:rsidR="00F43960">
        <w:t xml:space="preserve">datasets </w:t>
      </w:r>
      <w:r w:rsidR="007821A5">
        <w:t xml:space="preserve">used in constructing </w:t>
      </w:r>
      <w:r w:rsidR="00D50687">
        <w:t xml:space="preserve">Table </w:t>
      </w:r>
      <w:r w:rsidR="00452ECA">
        <w:t xml:space="preserve">1 </w:t>
      </w:r>
      <w:r w:rsidR="00571AC2">
        <w:t xml:space="preserve">and </w:t>
      </w:r>
      <w:bookmarkStart w:id="0" w:name="_GoBack"/>
      <w:bookmarkEnd w:id="0"/>
      <w:r w:rsidR="00517BCC">
        <w:t>Table 5, 6, and A3</w:t>
      </w:r>
      <w:r w:rsidR="00DB28FC">
        <w:t>.</w:t>
      </w:r>
    </w:p>
    <w:p w:rsidR="00826236" w:rsidRDefault="00826236" w:rsidP="00323C6A">
      <w:pPr>
        <w:pStyle w:val="NoSpacing"/>
        <w:rPr>
          <w:b/>
          <w:u w:val="single"/>
        </w:rPr>
      </w:pPr>
    </w:p>
    <w:p w:rsidR="00323C6A" w:rsidRDefault="00323C6A" w:rsidP="00323C6A">
      <w:pPr>
        <w:pStyle w:val="NoSpacing"/>
        <w:rPr>
          <w:b/>
          <w:u w:val="single"/>
        </w:rPr>
      </w:pPr>
      <w:r>
        <w:rPr>
          <w:b/>
          <w:u w:val="single"/>
        </w:rPr>
        <w:t>Dataset Construction</w:t>
      </w:r>
    </w:p>
    <w:p w:rsidR="00323C6A" w:rsidRDefault="00323C6A" w:rsidP="00323C6A">
      <w:pPr>
        <w:pStyle w:val="NoSpacing"/>
      </w:pPr>
    </w:p>
    <w:p w:rsidR="00927091" w:rsidRPr="00927091" w:rsidRDefault="002660A8" w:rsidP="00323C6A">
      <w:pPr>
        <w:pStyle w:val="NoSpacing"/>
        <w:rPr>
          <w:i/>
        </w:rPr>
      </w:pPr>
      <w:r>
        <w:rPr>
          <w:i/>
        </w:rPr>
        <w:t>Steps for replicating</w:t>
      </w:r>
      <w:r w:rsidR="00BB1A97">
        <w:rPr>
          <w:i/>
        </w:rPr>
        <w:t xml:space="preserve"> the</w:t>
      </w:r>
      <w:r w:rsidR="00927091">
        <w:rPr>
          <w:i/>
        </w:rPr>
        <w:t xml:space="preserve"> </w:t>
      </w:r>
      <w:r w:rsidR="00887C5B">
        <w:rPr>
          <w:i/>
        </w:rPr>
        <w:t xml:space="preserve">main </w:t>
      </w:r>
      <w:r w:rsidR="00927091">
        <w:rPr>
          <w:i/>
        </w:rPr>
        <w:t>datasets:</w:t>
      </w:r>
    </w:p>
    <w:p w:rsidR="00927091" w:rsidRDefault="00927091" w:rsidP="00323C6A">
      <w:pPr>
        <w:pStyle w:val="NoSpacing"/>
      </w:pPr>
    </w:p>
    <w:p w:rsidR="00411C62" w:rsidRDefault="00BE3AD7" w:rsidP="00411C62">
      <w:pPr>
        <w:pStyle w:val="NoSpacing"/>
        <w:numPr>
          <w:ilvl w:val="0"/>
          <w:numId w:val="1"/>
        </w:numPr>
      </w:pPr>
      <w:r w:rsidRPr="00221602">
        <w:rPr>
          <w:b/>
        </w:rPr>
        <w:t>Table 1</w:t>
      </w:r>
      <w:r w:rsidR="0071716E">
        <w:rPr>
          <w:b/>
        </w:rPr>
        <w:t xml:space="preserve"> (</w:t>
      </w:r>
      <w:r w:rsidR="0071716E" w:rsidRPr="0071716E">
        <w:rPr>
          <w:b/>
          <w:u w:val="single"/>
        </w:rPr>
        <w:t>table1.dta</w:t>
      </w:r>
      <w:r w:rsidR="0071716E">
        <w:rPr>
          <w:b/>
        </w:rPr>
        <w:t>)</w:t>
      </w:r>
      <w:r w:rsidR="000705ED">
        <w:rPr>
          <w:b/>
        </w:rPr>
        <w:t xml:space="preserve">: </w:t>
      </w:r>
      <w:r w:rsidR="00A97863">
        <w:t>See A</w:t>
      </w:r>
      <w:r w:rsidR="00BC62FC">
        <w:t>ppendix fo</w:t>
      </w:r>
      <w:r w:rsidR="003D1D22">
        <w:t xml:space="preserve">r construction of rows 1 and 2. </w:t>
      </w:r>
    </w:p>
    <w:p w:rsidR="00411C62" w:rsidRDefault="00411C62" w:rsidP="00411C62">
      <w:pPr>
        <w:pStyle w:val="NoSpacing"/>
        <w:numPr>
          <w:ilvl w:val="0"/>
          <w:numId w:val="1"/>
        </w:numPr>
      </w:pPr>
      <w:r>
        <w:rPr>
          <w:b/>
        </w:rPr>
        <w:t>Tables 2</w:t>
      </w:r>
      <w:r w:rsidR="00090BCD">
        <w:rPr>
          <w:b/>
        </w:rPr>
        <w:t>-4</w:t>
      </w:r>
      <w:r>
        <w:rPr>
          <w:b/>
        </w:rPr>
        <w:t xml:space="preserve">: </w:t>
      </w:r>
      <w:r w:rsidR="00FA5A33">
        <w:t>Not provided.</w:t>
      </w:r>
    </w:p>
    <w:p w:rsidR="00715A91" w:rsidRDefault="00090BCD" w:rsidP="00323C6A">
      <w:pPr>
        <w:pStyle w:val="NoSpacing"/>
        <w:numPr>
          <w:ilvl w:val="0"/>
          <w:numId w:val="1"/>
        </w:numPr>
      </w:pPr>
      <w:r>
        <w:rPr>
          <w:b/>
        </w:rPr>
        <w:t xml:space="preserve">Tables </w:t>
      </w:r>
      <w:r w:rsidR="00075F2D">
        <w:rPr>
          <w:b/>
        </w:rPr>
        <w:t>5 &amp; 6</w:t>
      </w:r>
      <w:r w:rsidR="00E02068">
        <w:rPr>
          <w:b/>
        </w:rPr>
        <w:t xml:space="preserve"> (</w:t>
      </w:r>
      <w:r w:rsidR="00710675">
        <w:rPr>
          <w:b/>
          <w:u w:val="single"/>
        </w:rPr>
        <w:t>marchcps_mig.dta</w:t>
      </w:r>
      <w:r w:rsidR="00E02068">
        <w:rPr>
          <w:b/>
        </w:rPr>
        <w:t>)</w:t>
      </w:r>
    </w:p>
    <w:p w:rsidR="00090BCD" w:rsidRDefault="00323C6A" w:rsidP="008C040D">
      <w:pPr>
        <w:pStyle w:val="NoSpacing"/>
        <w:numPr>
          <w:ilvl w:val="1"/>
          <w:numId w:val="5"/>
        </w:numPr>
      </w:pPr>
      <w:r w:rsidRPr="00156C47">
        <w:t>Extract desired</w:t>
      </w:r>
      <w:r>
        <w:t xml:space="preserve"> variables from IPUMS CPS site.</w:t>
      </w:r>
      <w:r w:rsidR="00090BCD">
        <w:t xml:space="preserve"> </w:t>
      </w:r>
      <w:r w:rsidRPr="00144E1D">
        <w:rPr>
          <w:highlight w:val="yellow"/>
        </w:rPr>
        <w:t xml:space="preserve">Note that the version of the IPUMS CPS March microdata used in the paper is called </w:t>
      </w:r>
      <w:r w:rsidRPr="00144E1D">
        <w:rPr>
          <w:highlight w:val="yellow"/>
          <w:u w:val="single"/>
        </w:rPr>
        <w:t>ipums6.do</w:t>
      </w:r>
      <w:r w:rsidR="00090BCD" w:rsidRPr="00144E1D">
        <w:rPr>
          <w:highlight w:val="yellow"/>
        </w:rPr>
        <w:t>, which</w:t>
      </w:r>
      <w:r w:rsidRPr="00144E1D">
        <w:rPr>
          <w:highlight w:val="yellow"/>
        </w:rPr>
        <w:t xml:space="preserve"> contains the complete list of variables downloaded from the IPUMS site.</w:t>
      </w:r>
      <w:r w:rsidR="00090BCD">
        <w:t xml:space="preserve"> </w:t>
      </w:r>
      <w:r w:rsidRPr="00156C47">
        <w:t>The site was accessed on June 10, 2010. There was no case or flag selection applied to the extract.</w:t>
      </w:r>
    </w:p>
    <w:p w:rsidR="00090BCD" w:rsidRDefault="00323C6A" w:rsidP="008C040D">
      <w:pPr>
        <w:pStyle w:val="NoSpacing"/>
        <w:numPr>
          <w:ilvl w:val="1"/>
          <w:numId w:val="5"/>
        </w:numPr>
      </w:pPr>
      <w:r w:rsidRPr="00156C47">
        <w:t>From IPUMS downloads site, copy the do file (ren</w:t>
      </w:r>
      <w:r>
        <w:t xml:space="preserve">amed </w:t>
      </w:r>
      <w:r w:rsidRPr="008C040D">
        <w:rPr>
          <w:u w:val="single"/>
        </w:rPr>
        <w:t>ipums#.do</w:t>
      </w:r>
      <w:r>
        <w:t>) to this folder.</w:t>
      </w:r>
    </w:p>
    <w:p w:rsidR="000D147F" w:rsidRDefault="00323C6A" w:rsidP="008C040D">
      <w:pPr>
        <w:pStyle w:val="NoSpacing"/>
        <w:numPr>
          <w:ilvl w:val="1"/>
          <w:numId w:val="5"/>
        </w:numPr>
      </w:pPr>
      <w:r w:rsidRPr="00090BCD">
        <w:rPr>
          <w:u w:val="single"/>
        </w:rPr>
        <w:t>ipums#.do</w:t>
      </w:r>
      <w:r w:rsidRPr="00156C47">
        <w:t xml:space="preserve"> is referenced in </w:t>
      </w:r>
      <w:r w:rsidRPr="00090BCD">
        <w:rPr>
          <w:u w:val="single"/>
        </w:rPr>
        <w:t>make_marchcps.do</w:t>
      </w:r>
      <w:r w:rsidRPr="00156C47">
        <w:t xml:space="preserve">, which creates </w:t>
      </w:r>
      <w:r w:rsidRPr="00090BCD">
        <w:rPr>
          <w:u w:val="single"/>
        </w:rPr>
        <w:t>marchcps_mig.dta</w:t>
      </w:r>
      <w:r>
        <w:t xml:space="preserve"> and </w:t>
      </w:r>
      <w:r w:rsidRPr="00090BCD">
        <w:rPr>
          <w:u w:val="single"/>
        </w:rPr>
        <w:t>marchcps_mig_test.dta</w:t>
      </w:r>
      <w:r>
        <w:t>.</w:t>
      </w:r>
    </w:p>
    <w:p w:rsidR="000D147F" w:rsidRDefault="00323C6A" w:rsidP="008C040D">
      <w:pPr>
        <w:pStyle w:val="NoSpacing"/>
        <w:numPr>
          <w:ilvl w:val="1"/>
          <w:numId w:val="5"/>
        </w:numPr>
      </w:pPr>
      <w:r w:rsidRPr="000D147F">
        <w:rPr>
          <w:u w:val="single"/>
        </w:rPr>
        <w:t>makestatecycle_ipums#.do</w:t>
      </w:r>
      <w:r w:rsidRPr="00156C47">
        <w:t xml:space="preserve"> creates </w:t>
      </w:r>
      <w:r w:rsidRPr="000D147F">
        <w:rPr>
          <w:u w:val="single"/>
        </w:rPr>
        <w:t>statecycle_ipums.dta</w:t>
      </w:r>
      <w:r w:rsidRPr="00156C47">
        <w:t xml:space="preserve"> from the lat</w:t>
      </w:r>
      <w:r w:rsidR="008A42A0">
        <w:t>est versions of R</w:t>
      </w:r>
      <w:r>
        <w:t>aven's data</w:t>
      </w:r>
      <w:r w:rsidR="007D48CC">
        <w:t xml:space="preserve"> (</w:t>
      </w:r>
      <w:r w:rsidR="007D48CC">
        <w:rPr>
          <w:u w:val="single"/>
        </w:rPr>
        <w:t>bartik_s10.dta</w:t>
      </w:r>
      <w:r w:rsidR="007D48CC">
        <w:t xml:space="preserve"> and </w:t>
      </w:r>
      <w:r w:rsidR="007D48CC">
        <w:rPr>
          <w:u w:val="single"/>
        </w:rPr>
        <w:t>stateemp3.dta</w:t>
      </w:r>
      <w:r w:rsidR="007D48CC">
        <w:t>)</w:t>
      </w:r>
      <w:r>
        <w:t xml:space="preserve"> by merging </w:t>
      </w:r>
      <w:r w:rsidRPr="00156C47">
        <w:t xml:space="preserve">it into the appropriate state codes </w:t>
      </w:r>
      <w:r w:rsidR="00FD4B7D">
        <w:t>(</w:t>
      </w:r>
      <w:r w:rsidR="00FD4B7D">
        <w:rPr>
          <w:u w:val="single"/>
        </w:rPr>
        <w:t>ipumscps_statecodes</w:t>
      </w:r>
      <w:r w:rsidR="00FD4B7D" w:rsidRPr="00FD4B7D">
        <w:rPr>
          <w:u w:val="single"/>
        </w:rPr>
        <w:t>.dta</w:t>
      </w:r>
      <w:r w:rsidR="00FD4B7D">
        <w:t xml:space="preserve">) </w:t>
      </w:r>
      <w:r w:rsidRPr="00FD4B7D">
        <w:t>for</w:t>
      </w:r>
      <w:r w:rsidRPr="00156C47">
        <w:t xml:space="preserve"> matching with </w:t>
      </w:r>
      <w:r>
        <w:t>IPUMS data by year from 1962 on.</w:t>
      </w:r>
    </w:p>
    <w:p w:rsidR="000D147F" w:rsidRDefault="00323C6A" w:rsidP="007D48CC">
      <w:pPr>
        <w:pStyle w:val="NoSpacing"/>
        <w:numPr>
          <w:ilvl w:val="1"/>
          <w:numId w:val="5"/>
        </w:numPr>
      </w:pPr>
      <w:r w:rsidRPr="00156C47">
        <w:t xml:space="preserve">If adding new cycle information, run </w:t>
      </w:r>
      <w:r w:rsidRPr="000D147F">
        <w:rPr>
          <w:u w:val="single"/>
        </w:rPr>
        <w:t>makestatecycle_ipums#.do</w:t>
      </w:r>
      <w:r w:rsidRPr="00156C47">
        <w:t xml:space="preserve"> first.</w:t>
      </w:r>
      <w:r w:rsidR="007D48CC">
        <w:t xml:space="preserve"> </w:t>
      </w:r>
      <w:r w:rsidRPr="00156C47">
        <w:t xml:space="preserve">Then rerun </w:t>
      </w:r>
      <w:r w:rsidRPr="007D48CC">
        <w:rPr>
          <w:u w:val="single"/>
        </w:rPr>
        <w:t>make_marchcps.do</w:t>
      </w:r>
      <w:r w:rsidRPr="00156C47">
        <w:t>.</w:t>
      </w:r>
    </w:p>
    <w:p w:rsidR="00156C47" w:rsidRDefault="00323C6A" w:rsidP="008C040D">
      <w:pPr>
        <w:pStyle w:val="NoSpacing"/>
        <w:numPr>
          <w:ilvl w:val="1"/>
          <w:numId w:val="5"/>
        </w:numPr>
      </w:pPr>
      <w:r>
        <w:t>If adding new CPS variables</w:t>
      </w:r>
      <w:r w:rsidRPr="00156C47">
        <w:t xml:space="preserve">, just run </w:t>
      </w:r>
      <w:r w:rsidRPr="000D147F">
        <w:rPr>
          <w:u w:val="single"/>
        </w:rPr>
        <w:t>ipums#.do</w:t>
      </w:r>
      <w:r w:rsidRPr="00156C47">
        <w:t xml:space="preserve"> within </w:t>
      </w:r>
      <w:r w:rsidRPr="000D147F">
        <w:rPr>
          <w:u w:val="single"/>
        </w:rPr>
        <w:t>make_marchcps</w:t>
      </w:r>
      <w:r w:rsidR="00DF7180">
        <w:rPr>
          <w:u w:val="single"/>
        </w:rPr>
        <w:t>.dta</w:t>
      </w:r>
      <w:r w:rsidRPr="00156C47">
        <w:t>.</w:t>
      </w:r>
    </w:p>
    <w:p w:rsidR="00323C6A" w:rsidRDefault="00323C6A" w:rsidP="005F7D19">
      <w:pPr>
        <w:pStyle w:val="NoSpacing"/>
      </w:pPr>
    </w:p>
    <w:p w:rsidR="005F7D19" w:rsidRPr="00156C47" w:rsidRDefault="005F7D19" w:rsidP="005F7D19">
      <w:pPr>
        <w:pStyle w:val="NoSpacing"/>
        <w:rPr>
          <w:b/>
          <w:u w:val="single"/>
        </w:rPr>
      </w:pPr>
      <w:r w:rsidRPr="00156C47">
        <w:rPr>
          <w:b/>
          <w:u w:val="single"/>
        </w:rPr>
        <w:t>Ta</w:t>
      </w:r>
      <w:r w:rsidR="00003182" w:rsidRPr="00156C47">
        <w:rPr>
          <w:b/>
          <w:u w:val="single"/>
        </w:rPr>
        <w:t>ble</w:t>
      </w:r>
      <w:r w:rsidR="004C35F2" w:rsidRPr="00156C47">
        <w:rPr>
          <w:b/>
          <w:u w:val="single"/>
        </w:rPr>
        <w:t>s</w:t>
      </w:r>
      <w:r w:rsidR="00003182" w:rsidRPr="00156C47">
        <w:rPr>
          <w:b/>
          <w:u w:val="single"/>
        </w:rPr>
        <w:t xml:space="preserve"> 1-6</w:t>
      </w:r>
      <w:r w:rsidR="004C35F2" w:rsidRPr="00156C47">
        <w:rPr>
          <w:b/>
          <w:u w:val="single"/>
        </w:rPr>
        <w:t>, Figures 1-3,</w:t>
      </w:r>
      <w:r w:rsidR="006F3F3E">
        <w:rPr>
          <w:b/>
          <w:u w:val="single"/>
        </w:rPr>
        <w:t xml:space="preserve"> and Appendix Materials Replication</w:t>
      </w:r>
    </w:p>
    <w:p w:rsidR="00B72C55" w:rsidRDefault="00B72C55" w:rsidP="00B3226A">
      <w:pPr>
        <w:pStyle w:val="NoSpacing"/>
      </w:pPr>
    </w:p>
    <w:p w:rsidR="00B3226A" w:rsidRPr="006F3F3E" w:rsidRDefault="00B3226A" w:rsidP="00B3226A">
      <w:pPr>
        <w:pStyle w:val="NoSpacing"/>
        <w:rPr>
          <w:i/>
        </w:rPr>
      </w:pPr>
      <w:r w:rsidRPr="006F3F3E">
        <w:rPr>
          <w:i/>
        </w:rPr>
        <w:t>Note that the coefficients for the relative and average house price covariates are not included in the Tables 2-4 because the data are proprietary (CoreLogic). Also note that because the CoreLogic data are not included in these analyses, the results will not exactly match the published tables.</w:t>
      </w:r>
    </w:p>
    <w:p w:rsidR="005F7D19" w:rsidRDefault="005F7D19" w:rsidP="005F7D19">
      <w:pPr>
        <w:pStyle w:val="NoSpacing"/>
      </w:pPr>
    </w:p>
    <w:p w:rsidR="007012A9" w:rsidRDefault="007012A9" w:rsidP="005F7D19">
      <w:pPr>
        <w:pStyle w:val="NoSpacing"/>
        <w:numPr>
          <w:ilvl w:val="0"/>
          <w:numId w:val="4"/>
        </w:numPr>
        <w:rPr>
          <w:u w:val="single"/>
        </w:rPr>
      </w:pPr>
      <w:r>
        <w:rPr>
          <w:b/>
        </w:rPr>
        <w:t>Table 1 and Figures 1 and 2</w:t>
      </w:r>
    </w:p>
    <w:p w:rsidR="005F7D19" w:rsidRPr="00BA266C" w:rsidRDefault="005F7D19" w:rsidP="007012A9">
      <w:pPr>
        <w:pStyle w:val="NoSpacing"/>
        <w:numPr>
          <w:ilvl w:val="1"/>
          <w:numId w:val="4"/>
        </w:numPr>
        <w:rPr>
          <w:u w:val="single"/>
        </w:rPr>
      </w:pPr>
      <w:r w:rsidRPr="007012A9">
        <w:rPr>
          <w:u w:val="single"/>
        </w:rPr>
        <w:t>table1_figs1and2.do</w:t>
      </w:r>
      <w:r>
        <w:t xml:space="preserve"> </w:t>
      </w:r>
      <w:r w:rsidR="007012A9">
        <w:t xml:space="preserve">– </w:t>
      </w:r>
      <w:r w:rsidR="005F2F50">
        <w:t xml:space="preserve">uses </w:t>
      </w:r>
      <w:r w:rsidR="007A7D5F">
        <w:rPr>
          <w:u w:val="single"/>
        </w:rPr>
        <w:t>table1.</w:t>
      </w:r>
      <w:r w:rsidR="007A7D5F" w:rsidRPr="007A7D5F">
        <w:rPr>
          <w:u w:val="single"/>
        </w:rPr>
        <w:t>dta</w:t>
      </w:r>
      <w:r w:rsidR="007A7D5F">
        <w:t xml:space="preserve"> to produce </w:t>
      </w:r>
      <w:r w:rsidRPr="007A7D5F">
        <w:t>the</w:t>
      </w:r>
      <w:r>
        <w:t xml:space="preserve"> results in Table 1, Figure 1</w:t>
      </w:r>
      <w:r w:rsidR="00BA266C">
        <w:t xml:space="preserve"> (</w:t>
      </w:r>
      <w:r w:rsidR="00BA266C" w:rsidRPr="00BA266C">
        <w:rPr>
          <w:u w:val="single"/>
        </w:rPr>
        <w:t>g1.gph</w:t>
      </w:r>
      <w:r w:rsidR="00BA266C">
        <w:t>)</w:t>
      </w:r>
      <w:r>
        <w:t>, and Figure 2</w:t>
      </w:r>
      <w:r w:rsidR="00BA266C">
        <w:t xml:space="preserve"> (</w:t>
      </w:r>
      <w:r w:rsidR="00BA266C" w:rsidRPr="00BA266C">
        <w:rPr>
          <w:u w:val="single"/>
        </w:rPr>
        <w:t>g2.gph</w:t>
      </w:r>
      <w:r w:rsidR="00BA266C">
        <w:t>)</w:t>
      </w:r>
      <w:r>
        <w:t>.</w:t>
      </w:r>
    </w:p>
    <w:p w:rsidR="00BA266C" w:rsidRPr="00BA266C" w:rsidRDefault="00BA266C" w:rsidP="00BA266C">
      <w:pPr>
        <w:pStyle w:val="NoSpacing"/>
        <w:numPr>
          <w:ilvl w:val="0"/>
          <w:numId w:val="4"/>
        </w:numPr>
        <w:rPr>
          <w:u w:val="single"/>
        </w:rPr>
      </w:pPr>
      <w:r>
        <w:rPr>
          <w:b/>
        </w:rPr>
        <w:t>Table 2</w:t>
      </w:r>
    </w:p>
    <w:p w:rsidR="005F7D19" w:rsidRDefault="00BA266C" w:rsidP="005F7D19">
      <w:pPr>
        <w:pStyle w:val="NoSpacing"/>
        <w:numPr>
          <w:ilvl w:val="1"/>
          <w:numId w:val="4"/>
        </w:numPr>
      </w:pPr>
      <w:r w:rsidRPr="004C6015">
        <w:rPr>
          <w:u w:val="single"/>
        </w:rPr>
        <w:t>table2.do</w:t>
      </w:r>
      <w:r>
        <w:t xml:space="preserve"> – uses</w:t>
      </w:r>
      <w:r w:rsidR="00654DFB">
        <w:t xml:space="preserve"> </w:t>
      </w:r>
      <w:r w:rsidR="00654DFB">
        <w:rPr>
          <w:u w:val="single"/>
        </w:rPr>
        <w:t>table2.dta</w:t>
      </w:r>
      <w:r w:rsidR="00654DFB">
        <w:t xml:space="preserve"> to</w:t>
      </w:r>
      <w:r>
        <w:t xml:space="preserve"> </w:t>
      </w:r>
      <w:r w:rsidR="00654DFB">
        <w:t>produce</w:t>
      </w:r>
      <w:r>
        <w:t xml:space="preserve"> the results in Table 2.</w:t>
      </w:r>
    </w:p>
    <w:p w:rsidR="00D87C48" w:rsidRPr="00D87C48" w:rsidRDefault="00D87C48" w:rsidP="00D87C48">
      <w:pPr>
        <w:pStyle w:val="NoSpacing"/>
        <w:numPr>
          <w:ilvl w:val="0"/>
          <w:numId w:val="4"/>
        </w:numPr>
      </w:pPr>
      <w:r>
        <w:rPr>
          <w:b/>
        </w:rPr>
        <w:lastRenderedPageBreak/>
        <w:t>Table 3 &amp; Table A1</w:t>
      </w:r>
    </w:p>
    <w:p w:rsidR="00B3226A" w:rsidRDefault="00D87C48" w:rsidP="005F7D19">
      <w:pPr>
        <w:pStyle w:val="NoSpacing"/>
        <w:numPr>
          <w:ilvl w:val="1"/>
          <w:numId w:val="4"/>
        </w:numPr>
      </w:pPr>
      <w:r w:rsidRPr="004C6015">
        <w:rPr>
          <w:u w:val="single"/>
        </w:rPr>
        <w:t>table3.do</w:t>
      </w:r>
      <w:r>
        <w:t xml:space="preserve"> </w:t>
      </w:r>
      <w:r w:rsidR="00B3226A">
        <w:t xml:space="preserve">– </w:t>
      </w:r>
      <w:r>
        <w:t xml:space="preserve">uses </w:t>
      </w:r>
      <w:r>
        <w:rPr>
          <w:u w:val="single"/>
        </w:rPr>
        <w:t>table3</w:t>
      </w:r>
      <w:r w:rsidRPr="008E5F48">
        <w:rPr>
          <w:u w:val="single"/>
        </w:rPr>
        <w:t>.dta</w:t>
      </w:r>
      <w:r>
        <w:t xml:space="preserve"> to produce the results i</w:t>
      </w:r>
      <w:r w:rsidR="00B3226A">
        <w:t>n Table 3 and Appendix Table A1.</w:t>
      </w:r>
    </w:p>
    <w:p w:rsidR="00B3226A" w:rsidRPr="00B3226A" w:rsidRDefault="00B3226A" w:rsidP="00B3226A">
      <w:pPr>
        <w:pStyle w:val="NoSpacing"/>
        <w:numPr>
          <w:ilvl w:val="0"/>
          <w:numId w:val="4"/>
        </w:numPr>
      </w:pPr>
      <w:r>
        <w:rPr>
          <w:b/>
        </w:rPr>
        <w:t>Table 4 and Table A2</w:t>
      </w:r>
    </w:p>
    <w:p w:rsidR="00B3226A" w:rsidRDefault="005F7D19" w:rsidP="005F7D19">
      <w:pPr>
        <w:pStyle w:val="NoSpacing"/>
        <w:numPr>
          <w:ilvl w:val="1"/>
          <w:numId w:val="4"/>
        </w:numPr>
      </w:pPr>
      <w:r w:rsidRPr="00B3226A">
        <w:rPr>
          <w:u w:val="single"/>
        </w:rPr>
        <w:t>table4.do</w:t>
      </w:r>
      <w:r>
        <w:t xml:space="preserve"> </w:t>
      </w:r>
      <w:r w:rsidR="00B3226A">
        <w:t xml:space="preserve">– uses </w:t>
      </w:r>
      <w:r w:rsidR="00B3226A" w:rsidRPr="00B3226A">
        <w:rPr>
          <w:u w:val="single"/>
        </w:rPr>
        <w:t>table4.dta</w:t>
      </w:r>
      <w:r w:rsidR="00B3226A">
        <w:t xml:space="preserve"> to produce</w:t>
      </w:r>
      <w:r w:rsidR="004568F3">
        <w:t xml:space="preserve"> </w:t>
      </w:r>
      <w:r w:rsidR="004568F3">
        <w:rPr>
          <w:u w:val="single"/>
        </w:rPr>
        <w:t>t4results.dta</w:t>
      </w:r>
      <w:r w:rsidR="004568F3">
        <w:t xml:space="preserve"> and</w:t>
      </w:r>
      <w:r>
        <w:t xml:space="preserve"> the results in Table 4 and Appendix Table A2.</w:t>
      </w:r>
    </w:p>
    <w:p w:rsidR="007135A5" w:rsidRDefault="007135A5" w:rsidP="005F7D19">
      <w:pPr>
        <w:pStyle w:val="NoSpacing"/>
        <w:numPr>
          <w:ilvl w:val="0"/>
          <w:numId w:val="4"/>
        </w:numPr>
      </w:pPr>
      <w:r>
        <w:rPr>
          <w:b/>
        </w:rPr>
        <w:t>Figure 3</w:t>
      </w:r>
    </w:p>
    <w:p w:rsidR="00B3226A" w:rsidRDefault="00B3226A" w:rsidP="005F7D19">
      <w:pPr>
        <w:pStyle w:val="NoSpacing"/>
        <w:numPr>
          <w:ilvl w:val="1"/>
          <w:numId w:val="4"/>
        </w:numPr>
      </w:pPr>
      <w:r w:rsidRPr="007135A5">
        <w:rPr>
          <w:u w:val="single"/>
        </w:rPr>
        <w:t>fig3.do</w:t>
      </w:r>
      <w:r>
        <w:t xml:space="preserve"> </w:t>
      </w:r>
      <w:r w:rsidR="00D90EB3">
        <w:t xml:space="preserve">– uses </w:t>
      </w:r>
      <w:r w:rsidR="00D90EB3">
        <w:rPr>
          <w:u w:val="single"/>
        </w:rPr>
        <w:t>fig3.dta</w:t>
      </w:r>
      <w:r w:rsidR="00D90EB3">
        <w:t xml:space="preserve"> to produce</w:t>
      </w:r>
      <w:r>
        <w:t xml:space="preserve"> Figure 3</w:t>
      </w:r>
      <w:r w:rsidR="007135A5">
        <w:t xml:space="preserve"> (</w:t>
      </w:r>
      <w:r w:rsidR="007135A5">
        <w:rPr>
          <w:u w:val="single"/>
        </w:rPr>
        <w:t>g3.gph</w:t>
      </w:r>
      <w:r w:rsidR="007135A5">
        <w:t>)</w:t>
      </w:r>
      <w:r>
        <w:t>.</w:t>
      </w:r>
    </w:p>
    <w:p w:rsidR="00174A95" w:rsidRPr="00174A95" w:rsidRDefault="00174A95" w:rsidP="00174A95">
      <w:pPr>
        <w:pStyle w:val="NoSpacing"/>
        <w:numPr>
          <w:ilvl w:val="0"/>
          <w:numId w:val="4"/>
        </w:numPr>
      </w:pPr>
      <w:r>
        <w:rPr>
          <w:b/>
        </w:rPr>
        <w:t>Table 5</w:t>
      </w:r>
    </w:p>
    <w:p w:rsidR="005F7D19" w:rsidRDefault="005F7D19" w:rsidP="005F7D19">
      <w:pPr>
        <w:pStyle w:val="NoSpacing"/>
        <w:numPr>
          <w:ilvl w:val="1"/>
          <w:numId w:val="4"/>
        </w:numPr>
      </w:pPr>
      <w:r w:rsidRPr="00174A95">
        <w:rPr>
          <w:u w:val="single"/>
        </w:rPr>
        <w:t>lp_lt35_2.do</w:t>
      </w:r>
      <w:r w:rsidR="0035378D">
        <w:t xml:space="preserve">– </w:t>
      </w:r>
      <w:r w:rsidR="00174A95">
        <w:t>use</w:t>
      </w:r>
      <w:r w:rsidR="00800F2D">
        <w:t>s</w:t>
      </w:r>
      <w:r w:rsidR="00174A95">
        <w:t xml:space="preserve"> </w:t>
      </w:r>
      <w:r w:rsidR="00174A95" w:rsidRPr="00174A95">
        <w:rPr>
          <w:u w:val="single"/>
        </w:rPr>
        <w:t>marchcps_mig.dta</w:t>
      </w:r>
      <w:r w:rsidR="00174A95">
        <w:t xml:space="preserve"> to</w:t>
      </w:r>
      <w:r w:rsidR="00800F2D">
        <w:t xml:space="preserve"> the </w:t>
      </w:r>
      <w:r>
        <w:t xml:space="preserve">produce the </w:t>
      </w:r>
      <w:r w:rsidR="00800F2D">
        <w:t xml:space="preserve">“18-35” </w:t>
      </w:r>
      <w:r>
        <w:t>results in Table 5.</w:t>
      </w:r>
    </w:p>
    <w:p w:rsidR="00800F2D" w:rsidRDefault="00800F2D" w:rsidP="005F7D19">
      <w:pPr>
        <w:pStyle w:val="NoSpacing"/>
        <w:numPr>
          <w:ilvl w:val="1"/>
          <w:numId w:val="4"/>
        </w:numPr>
      </w:pPr>
      <w:r w:rsidRPr="00174A95">
        <w:rPr>
          <w:u w:val="single"/>
        </w:rPr>
        <w:t>lp_gt35_2.do</w:t>
      </w:r>
      <w:r>
        <w:t xml:space="preserve"> – uses </w:t>
      </w:r>
      <w:r w:rsidRPr="00174A95">
        <w:rPr>
          <w:u w:val="single"/>
        </w:rPr>
        <w:t>marchcps_mig.dta</w:t>
      </w:r>
      <w:r>
        <w:t xml:space="preserve"> to the produce the “36-65” results in Table 5.</w:t>
      </w:r>
    </w:p>
    <w:p w:rsidR="00F13024" w:rsidRDefault="00F13024" w:rsidP="005F7D19">
      <w:pPr>
        <w:pStyle w:val="NoSpacing"/>
        <w:numPr>
          <w:ilvl w:val="0"/>
          <w:numId w:val="4"/>
        </w:numPr>
      </w:pPr>
      <w:r>
        <w:rPr>
          <w:b/>
        </w:rPr>
        <w:t>Table 6</w:t>
      </w:r>
    </w:p>
    <w:p w:rsidR="00215ADD" w:rsidRDefault="005F7D19" w:rsidP="005F7D19">
      <w:pPr>
        <w:pStyle w:val="NoSpacing"/>
        <w:numPr>
          <w:ilvl w:val="1"/>
          <w:numId w:val="4"/>
        </w:numPr>
      </w:pPr>
      <w:r w:rsidRPr="00F13024">
        <w:rPr>
          <w:u w:val="single"/>
        </w:rPr>
        <w:t>interactions_lt35_2.do</w:t>
      </w:r>
      <w:r>
        <w:t xml:space="preserve"> </w:t>
      </w:r>
      <w:r w:rsidR="00215ADD">
        <w:t xml:space="preserve">– </w:t>
      </w:r>
      <w:r w:rsidR="00174A95">
        <w:t xml:space="preserve">uses </w:t>
      </w:r>
      <w:r w:rsidR="00174A95" w:rsidRPr="00F13024">
        <w:rPr>
          <w:u w:val="single"/>
        </w:rPr>
        <w:t>marchcps_mig.dta</w:t>
      </w:r>
      <w:r w:rsidR="00174A95">
        <w:t xml:space="preserve"> to produce</w:t>
      </w:r>
      <w:r>
        <w:t xml:space="preserve"> the </w:t>
      </w:r>
      <w:r w:rsidR="00A97BCF">
        <w:t xml:space="preserve">“18-35” results </w:t>
      </w:r>
      <w:r>
        <w:t>in Table 6.</w:t>
      </w:r>
      <w:r w:rsidR="00F13024">
        <w:t xml:space="preserve"> </w:t>
      </w:r>
    </w:p>
    <w:p w:rsidR="005F7D19" w:rsidRDefault="005F7D19" w:rsidP="005F7D19">
      <w:pPr>
        <w:pStyle w:val="NoSpacing"/>
        <w:numPr>
          <w:ilvl w:val="1"/>
          <w:numId w:val="4"/>
        </w:numPr>
      </w:pPr>
      <w:r w:rsidRPr="00F13024">
        <w:rPr>
          <w:u w:val="single"/>
        </w:rPr>
        <w:t>interactions_gt35_2.do</w:t>
      </w:r>
      <w:r>
        <w:t xml:space="preserve"> </w:t>
      </w:r>
      <w:r w:rsidR="00215ADD">
        <w:t xml:space="preserve">– uses </w:t>
      </w:r>
      <w:r w:rsidR="00215ADD" w:rsidRPr="00F13024">
        <w:rPr>
          <w:u w:val="single"/>
        </w:rPr>
        <w:t>marchcps_mig.dta</w:t>
      </w:r>
      <w:r w:rsidR="00215ADD">
        <w:t xml:space="preserve"> to produce</w:t>
      </w:r>
      <w:r>
        <w:t xml:space="preserve"> the </w:t>
      </w:r>
      <w:r w:rsidR="00A97BCF">
        <w:t xml:space="preserve">“36-65” results </w:t>
      </w:r>
      <w:r>
        <w:t>in Table 6.</w:t>
      </w:r>
    </w:p>
    <w:p w:rsidR="002F03EE" w:rsidRDefault="002F03EE" w:rsidP="00393E43">
      <w:pPr>
        <w:pStyle w:val="NoSpacing"/>
        <w:numPr>
          <w:ilvl w:val="0"/>
          <w:numId w:val="4"/>
        </w:numPr>
      </w:pPr>
      <w:r>
        <w:rPr>
          <w:b/>
        </w:rPr>
        <w:t>Table A3</w:t>
      </w:r>
    </w:p>
    <w:p w:rsidR="00F201FF" w:rsidRDefault="004C0C4F" w:rsidP="002F03EE">
      <w:pPr>
        <w:pStyle w:val="NoSpacing"/>
        <w:numPr>
          <w:ilvl w:val="1"/>
          <w:numId w:val="4"/>
        </w:numPr>
      </w:pPr>
      <w:r>
        <w:rPr>
          <w:u w:val="single"/>
        </w:rPr>
        <w:t>firstage2</w:t>
      </w:r>
      <w:r w:rsidR="005F7D19" w:rsidRPr="002F03EE">
        <w:rPr>
          <w:u w:val="single"/>
        </w:rPr>
        <w:t>.do</w:t>
      </w:r>
      <w:r w:rsidR="005F7D19">
        <w:t xml:space="preserve"> </w:t>
      </w:r>
      <w:r>
        <w:t xml:space="preserve">– uses </w:t>
      </w:r>
      <w:r>
        <w:rPr>
          <w:u w:val="single"/>
        </w:rPr>
        <w:t>marchcps_mig.</w:t>
      </w:r>
      <w:r w:rsidRPr="004C0C4F">
        <w:t>dta</w:t>
      </w:r>
      <w:r>
        <w:t xml:space="preserve"> to produce the</w:t>
      </w:r>
      <w:r w:rsidR="005F7D19">
        <w:t xml:space="preserve"> first stage estimates in Appendix </w:t>
      </w:r>
      <w:r w:rsidR="005F7D19" w:rsidRPr="00393E43">
        <w:t>Table A3.</w:t>
      </w:r>
      <w:r w:rsidR="00393E43" w:rsidRPr="00393E43">
        <w:t xml:space="preserve"> Note that</w:t>
      </w:r>
      <w:r w:rsidR="005F7D19" w:rsidRPr="00393E43">
        <w:t xml:space="preserve"> </w:t>
      </w:r>
      <w:r w:rsidR="00393E43">
        <w:t xml:space="preserve">the </w:t>
      </w:r>
      <w:r w:rsidR="005F7D19" w:rsidRPr="00393E43">
        <w:t>titles "Heads</w:t>
      </w:r>
      <w:r w:rsidR="00393E43">
        <w:t xml:space="preserve"> 18 to 35" and "Heads 36 to 65” should be swapped.</w:t>
      </w:r>
    </w:p>
    <w:p w:rsidR="00156C47" w:rsidRDefault="00156C47" w:rsidP="005F7D19">
      <w:pPr>
        <w:pStyle w:val="NoSpacing"/>
      </w:pPr>
    </w:p>
    <w:p w:rsidR="00715A91" w:rsidRPr="00B65D98" w:rsidRDefault="00715A91" w:rsidP="005F7D19">
      <w:pPr>
        <w:pStyle w:val="NoSpacing"/>
        <w:rPr>
          <w:b/>
          <w:u w:val="single"/>
        </w:rPr>
      </w:pPr>
      <w:r w:rsidRPr="00B65D98">
        <w:rPr>
          <w:b/>
          <w:u w:val="single"/>
        </w:rPr>
        <w:t>Appendix</w:t>
      </w:r>
    </w:p>
    <w:p w:rsidR="00715A91" w:rsidRDefault="00715A91" w:rsidP="005F7D19">
      <w:pPr>
        <w:pStyle w:val="NoSpacing"/>
        <w:rPr>
          <w:u w:val="single"/>
        </w:rPr>
      </w:pPr>
    </w:p>
    <w:p w:rsidR="00437435" w:rsidRPr="006B0584" w:rsidRDefault="00437435" w:rsidP="00437435">
      <w:pPr>
        <w:rPr>
          <w:i/>
        </w:rPr>
      </w:pPr>
      <w:r w:rsidRPr="006B0584">
        <w:rPr>
          <w:i/>
        </w:rPr>
        <w:t>Steps to replicate rows (1) and (2) of Table 1 from Saks and Wozniak (Journal of Labor Economics 2011)</w:t>
      </w:r>
      <w:r w:rsidR="00E033EF" w:rsidRPr="006B0584">
        <w:rPr>
          <w:i/>
        </w:rPr>
        <w:t>.</w:t>
      </w:r>
    </w:p>
    <w:p w:rsidR="00437435" w:rsidRDefault="00437435" w:rsidP="00437435">
      <w:pPr>
        <w:pStyle w:val="ListParagraph"/>
        <w:numPr>
          <w:ilvl w:val="0"/>
          <w:numId w:val="2"/>
        </w:numPr>
      </w:pPr>
      <w:r>
        <w:t>To create migration data:</w:t>
      </w:r>
    </w:p>
    <w:p w:rsidR="00437435" w:rsidRDefault="00437435" w:rsidP="00437435">
      <w:pPr>
        <w:pStyle w:val="ListParagraph"/>
        <w:numPr>
          <w:ilvl w:val="1"/>
          <w:numId w:val="2"/>
        </w:numPr>
      </w:pPr>
      <w:r>
        <w:t xml:space="preserve">Data for 1948-1976 are were collected from tables based on the Current Population Survey (CPS) published by the </w:t>
      </w:r>
      <w:r w:rsidR="004A1E1C">
        <w:t xml:space="preserve">Bureau of Labor Statistics. </w:t>
      </w:r>
      <w:r>
        <w:t>Tables by year are posted here:</w:t>
      </w:r>
      <w:r w:rsidRPr="000D1847">
        <w:t xml:space="preserve"> </w:t>
      </w:r>
      <w:hyperlink r:id="rId5" w:history="1">
        <w:r w:rsidRPr="0094129C">
          <w:rPr>
            <w:rStyle w:val="Hyperlink"/>
          </w:rPr>
          <w:t>https://www.census.gov/topics/population/migration/data/tables.html</w:t>
        </w:r>
      </w:hyperlink>
      <w:r w:rsidR="004A1E1C">
        <w:t xml:space="preserve">. Table numbers vary by year. </w:t>
      </w:r>
      <w:r>
        <w:t>Tables report the number of non-migrants, within-county migrants, across-county migrants, and across-state migrants.</w:t>
      </w:r>
    </w:p>
    <w:p w:rsidR="00437435" w:rsidRDefault="00437435" w:rsidP="00437435">
      <w:pPr>
        <w:pStyle w:val="ListParagraph"/>
        <w:numPr>
          <w:ilvl w:val="1"/>
          <w:numId w:val="2"/>
        </w:numPr>
      </w:pPr>
      <w:r>
        <w:t>Data for 1980-2009 were calculated from CPS microdata published by IPUMS (</w:t>
      </w:r>
      <w:hyperlink r:id="rId6" w:history="1">
        <w:r w:rsidRPr="00423F60">
          <w:rPr>
            <w:rStyle w:val="Hyperlink"/>
          </w:rPr>
          <w:t>https://cps.ipums.org/cps/</w:t>
        </w:r>
      </w:hyperlink>
      <w:r>
        <w:t xml:space="preserve">).  </w:t>
      </w:r>
    </w:p>
    <w:p w:rsidR="00437435" w:rsidRDefault="00437435" w:rsidP="00437435">
      <w:pPr>
        <w:pStyle w:val="ListParagraph"/>
        <w:numPr>
          <w:ilvl w:val="1"/>
          <w:numId w:val="2"/>
        </w:numPr>
      </w:pPr>
      <w:r>
        <w:t xml:space="preserve">The annual time series for the two sample periods are combined.  We focus on the migration rate defined as the number of inter-county migrants age 14+ </w:t>
      </w:r>
      <w:r w:rsidR="004A1E1C">
        <w:t xml:space="preserve">divided by population age 14+. </w:t>
      </w:r>
      <w:r>
        <w:t>The population used in the denominator is defined as the sum of within-county migrants, across coun</w:t>
      </w:r>
      <w:r w:rsidR="007E15C0">
        <w:t xml:space="preserve">ty migrants, and non-migrants. </w:t>
      </w:r>
      <w:r>
        <w:t>People who moved into the US or emigrated from the US are excluded from the popul</w:t>
      </w:r>
      <w:r w:rsidR="00122453">
        <w:t xml:space="preserve">ation used in the denominator. </w:t>
      </w:r>
      <w:r>
        <w:t xml:space="preserve">We estimate a trend in this series using a </w:t>
      </w:r>
      <w:proofErr w:type="spellStart"/>
      <w:r>
        <w:t>Hodrick</w:t>
      </w:r>
      <w:proofErr w:type="spellEnd"/>
      <w:r>
        <w:t>-Prescott filter using a smoothing parameter of 1</w:t>
      </w:r>
      <w:r w:rsidR="00122453">
        <w:t xml:space="preserve">00 (standard for annual data). </w:t>
      </w:r>
      <w:r>
        <w:t>Then we calculate a detrended series as the difference between the migration rate and its trend.</w:t>
      </w:r>
    </w:p>
    <w:p w:rsidR="00437435" w:rsidRDefault="00437435" w:rsidP="00437435">
      <w:pPr>
        <w:pStyle w:val="ListParagraph"/>
        <w:numPr>
          <w:ilvl w:val="0"/>
          <w:numId w:val="2"/>
        </w:numPr>
      </w:pPr>
      <w:r>
        <w:t>To create the two independent variables (national employment gap and standard deviation of state unemployment gaps)</w:t>
      </w:r>
    </w:p>
    <w:p w:rsidR="00437435" w:rsidRDefault="00437435" w:rsidP="00437435">
      <w:pPr>
        <w:pStyle w:val="ListParagraph"/>
        <w:numPr>
          <w:ilvl w:val="1"/>
          <w:numId w:val="2"/>
        </w:numPr>
      </w:pPr>
      <w:r>
        <w:t>We take national and state-level employment data from the Bureau of Labor Statistics Current Employment Statistics program (</w:t>
      </w:r>
      <w:hyperlink r:id="rId7" w:history="1">
        <w:r w:rsidR="00022F3D" w:rsidRPr="00400782">
          <w:rPr>
            <w:rStyle w:val="Hyperlink"/>
          </w:rPr>
          <w:t>https://www.bls.gov/ces/</w:t>
        </w:r>
      </w:hyperlink>
      <w:r>
        <w:t>).</w:t>
      </w:r>
    </w:p>
    <w:p w:rsidR="00437435" w:rsidRDefault="00437435" w:rsidP="00437435">
      <w:pPr>
        <w:pStyle w:val="ListParagraph"/>
        <w:numPr>
          <w:ilvl w:val="1"/>
          <w:numId w:val="2"/>
        </w:numPr>
      </w:pPr>
      <w:r>
        <w:lastRenderedPageBreak/>
        <w:t>The state-level data are not seasonally adjusted, so first we seasonally adjust using the X11 procedure, then we calculate an HP filter on the seasonally-adjusted levels using the smoothing parameter 14400 (standard for monthly data).</w:t>
      </w:r>
    </w:p>
    <w:p w:rsidR="00437435" w:rsidRDefault="00437435" w:rsidP="00437435">
      <w:pPr>
        <w:pStyle w:val="ListParagraph"/>
        <w:numPr>
          <w:ilvl w:val="1"/>
          <w:numId w:val="2"/>
        </w:numPr>
      </w:pPr>
      <w:r>
        <w:t xml:space="preserve">Next we calculate the employment gap as the log of the ratio of the seasonally-adjusted series to its trend.  To convert these monthly series to annual series, we take the April values of each year. </w:t>
      </w:r>
    </w:p>
    <w:p w:rsidR="00437435" w:rsidRDefault="00437435" w:rsidP="00437435">
      <w:pPr>
        <w:pStyle w:val="ListParagraph"/>
        <w:numPr>
          <w:ilvl w:val="1"/>
          <w:numId w:val="2"/>
        </w:numPr>
      </w:pPr>
      <w:r>
        <w:t>We calculate the standard deviation of these gaps across states in each year.</w:t>
      </w:r>
    </w:p>
    <w:p w:rsidR="00437435" w:rsidRDefault="00437435" w:rsidP="00437435">
      <w:pPr>
        <w:pStyle w:val="ListParagraph"/>
        <w:numPr>
          <w:ilvl w:val="1"/>
          <w:numId w:val="2"/>
        </w:numPr>
      </w:pPr>
      <w:r>
        <w:t>Calculation of the national employment gap is similar, except that the BLS publishes seasonally-adjusted national data, so we do not have to do the seasonal adjustment ourselves.</w:t>
      </w:r>
    </w:p>
    <w:p w:rsidR="00437435" w:rsidRDefault="00437435" w:rsidP="00437435">
      <w:pPr>
        <w:pStyle w:val="ListParagraph"/>
        <w:numPr>
          <w:ilvl w:val="1"/>
          <w:numId w:val="2"/>
        </w:numPr>
      </w:pPr>
      <w:r>
        <w:t>Finally, we standardize the national employment gap and standard deviation of state employment gaps to have a mean equal to zero and standard deviation equal to 1.</w:t>
      </w:r>
    </w:p>
    <w:p w:rsidR="00437435" w:rsidRDefault="00437435" w:rsidP="00437435">
      <w:pPr>
        <w:pStyle w:val="ListParagraph"/>
        <w:numPr>
          <w:ilvl w:val="0"/>
          <w:numId w:val="2"/>
        </w:numPr>
      </w:pPr>
      <w:r>
        <w:t>We estimate the coefficients reported in Table 1 using an OLS regression:</w:t>
      </w:r>
    </w:p>
    <w:p w:rsidR="00437435" w:rsidRDefault="00437435" w:rsidP="00437435">
      <w:pPr>
        <w:pStyle w:val="ListParagraph"/>
        <w:numPr>
          <w:ilvl w:val="1"/>
          <w:numId w:val="2"/>
        </w:numPr>
      </w:pPr>
      <w:r>
        <w:t>Column (1) regresses the detrended inter-county migration rate on the national employment gap.  Sample period is 1948-2009.</w:t>
      </w:r>
    </w:p>
    <w:p w:rsidR="00437435" w:rsidRDefault="00437435" w:rsidP="00437435">
      <w:pPr>
        <w:pStyle w:val="ListParagraph"/>
        <w:numPr>
          <w:ilvl w:val="1"/>
          <w:numId w:val="2"/>
        </w:numPr>
      </w:pPr>
      <w:r>
        <w:t>Column (2) regresses the detrended inter-country migration rate on the national employment gap and the standard deviation of the state-level employment gaps.</w:t>
      </w:r>
    </w:p>
    <w:p w:rsidR="00437435" w:rsidRDefault="00437435" w:rsidP="00437435">
      <w:pPr>
        <w:pStyle w:val="ListParagraph"/>
        <w:numPr>
          <w:ilvl w:val="1"/>
          <w:numId w:val="2"/>
        </w:numPr>
      </w:pPr>
      <w:r>
        <w:t>Columns (3) and (4) are similar regressions, except the sample period is limited to 1948-2005.  For this analysis, the underlying data are different in that the detrended migration rate and employment gaps are estimated using HP filters that only use data through 2005 (using the same smoothing parameters as above).</w:t>
      </w:r>
    </w:p>
    <w:p w:rsidR="00437435" w:rsidRDefault="00437435" w:rsidP="00437435">
      <w:r>
        <w:t>Programs and files:</w:t>
      </w:r>
    </w:p>
    <w:p w:rsidR="00437435" w:rsidRDefault="00437435" w:rsidP="00437435">
      <w:pPr>
        <w:pStyle w:val="ListParagraph"/>
        <w:numPr>
          <w:ilvl w:val="0"/>
          <w:numId w:val="3"/>
        </w:numPr>
      </w:pPr>
      <w:r w:rsidRPr="00225324">
        <w:rPr>
          <w:u w:val="single"/>
        </w:rPr>
        <w:t>cps4880.do</w:t>
      </w:r>
      <w:r>
        <w:t xml:space="preserve"> is a Stata do-file that reads in the CPS tables from 1948 to 1980 and calculates annual time series</w:t>
      </w:r>
      <w:r w:rsidR="0053089B">
        <w:t xml:space="preserve"> of migrants and non-migrants. </w:t>
      </w:r>
      <w:r>
        <w:t>It reads annual .csv fi</w:t>
      </w:r>
      <w:r w:rsidR="00860FD4">
        <w:t>les derived from the PDF files.</w:t>
      </w:r>
      <w:r>
        <w:t xml:space="preserve"> It saves the data in </w:t>
      </w:r>
      <w:r w:rsidRPr="00225324">
        <w:rPr>
          <w:u w:val="single"/>
        </w:rPr>
        <w:t>cps4880.dta</w:t>
      </w:r>
      <w:r>
        <w:t>.</w:t>
      </w:r>
    </w:p>
    <w:p w:rsidR="00437435" w:rsidRDefault="00437435" w:rsidP="00437435">
      <w:pPr>
        <w:pStyle w:val="ListParagraph"/>
        <w:numPr>
          <w:ilvl w:val="0"/>
          <w:numId w:val="3"/>
        </w:numPr>
      </w:pPr>
      <w:r w:rsidRPr="00734AEB">
        <w:rPr>
          <w:u w:val="single"/>
        </w:rPr>
        <w:t>cpsmicro.do</w:t>
      </w:r>
      <w:r>
        <w:t xml:space="preserve"> is a Stata do-file that reads in CPS microdata downloaded from IPUMS (</w:t>
      </w:r>
      <w:r w:rsidRPr="00225324">
        <w:rPr>
          <w:u w:val="single"/>
        </w:rPr>
        <w:t>cps_00007.dat</w:t>
      </w:r>
      <w:r>
        <w:t>) and creates annual time series</w:t>
      </w:r>
      <w:r w:rsidR="0053089B">
        <w:t xml:space="preserve"> of migrants and non-migrants. </w:t>
      </w:r>
      <w:r>
        <w:t xml:space="preserve">Data are saved in </w:t>
      </w:r>
      <w:r w:rsidRPr="00225324">
        <w:rPr>
          <w:u w:val="single"/>
        </w:rPr>
        <w:t>cpsmigann_jole.dta</w:t>
      </w:r>
      <w:r>
        <w:t>.</w:t>
      </w:r>
    </w:p>
    <w:p w:rsidR="00437435" w:rsidRDefault="00437435" w:rsidP="00437435">
      <w:pPr>
        <w:pStyle w:val="ListParagraph"/>
        <w:numPr>
          <w:ilvl w:val="0"/>
          <w:numId w:val="3"/>
        </w:numPr>
      </w:pPr>
      <w:r>
        <w:t xml:space="preserve">The Fame input file </w:t>
      </w:r>
      <w:r w:rsidRPr="00225324">
        <w:rPr>
          <w:u w:val="single"/>
        </w:rPr>
        <w:t>statedata2.inp</w:t>
      </w:r>
      <w:r>
        <w:t xml:space="preserve"> reads in the employment data from an FRB database, does seasonal adjustment for the state-level data, and calculates an HP filter for the st</w:t>
      </w:r>
      <w:r w:rsidR="00F601F5">
        <w:t xml:space="preserve">ate and national data. </w:t>
      </w:r>
      <w:r>
        <w:t xml:space="preserve">It saves the data in </w:t>
      </w:r>
      <w:r w:rsidRPr="00225324">
        <w:rPr>
          <w:u w:val="single"/>
        </w:rPr>
        <w:t>statedata2.xls</w:t>
      </w:r>
      <w:r>
        <w:t xml:space="preserve">, which was then converted to </w:t>
      </w:r>
      <w:r w:rsidRPr="00225324">
        <w:rPr>
          <w:u w:val="single"/>
        </w:rPr>
        <w:t>data2.csv</w:t>
      </w:r>
      <w:r>
        <w:t>.</w:t>
      </w:r>
    </w:p>
    <w:p w:rsidR="00437435" w:rsidRDefault="00437435" w:rsidP="00437435">
      <w:pPr>
        <w:pStyle w:val="ListParagraph"/>
        <w:numPr>
          <w:ilvl w:val="0"/>
          <w:numId w:val="3"/>
        </w:numPr>
      </w:pPr>
      <w:r>
        <w:t xml:space="preserve">The Stata do-file </w:t>
      </w:r>
      <w:r w:rsidRPr="00634DEF">
        <w:rPr>
          <w:u w:val="single"/>
        </w:rPr>
        <w:t>stateemp.do</w:t>
      </w:r>
      <w:r>
        <w:t xml:space="preserve"> reads in the data from </w:t>
      </w:r>
      <w:r w:rsidRPr="00225324">
        <w:rPr>
          <w:u w:val="single"/>
        </w:rPr>
        <w:t>data2.csv</w:t>
      </w:r>
      <w:r>
        <w:t xml:space="preserve">, calculates the employment gaps, calculates the standard deviation of the state-level gaps, and saves the results in stateemp2.dta. </w:t>
      </w:r>
    </w:p>
    <w:p w:rsidR="00437435" w:rsidRDefault="00437435" w:rsidP="00437435">
      <w:pPr>
        <w:pStyle w:val="ListParagraph"/>
        <w:numPr>
          <w:ilvl w:val="0"/>
          <w:numId w:val="3"/>
        </w:numPr>
      </w:pPr>
      <w:r w:rsidRPr="00552BF2">
        <w:rPr>
          <w:u w:val="single"/>
        </w:rPr>
        <w:t>cpsgraphs_final.do</w:t>
      </w:r>
      <w:r>
        <w:t xml:space="preserve"> is a Stata do-file that combines the annual series from the </w:t>
      </w:r>
      <w:r w:rsidRPr="00552BF2">
        <w:rPr>
          <w:u w:val="single"/>
        </w:rPr>
        <w:t>cps4880.dta</w:t>
      </w:r>
      <w:r>
        <w:t xml:space="preserve"> and </w:t>
      </w:r>
      <w:r w:rsidRPr="00552BF2">
        <w:rPr>
          <w:u w:val="single"/>
        </w:rPr>
        <w:t>cpsmigann_jole.dta</w:t>
      </w:r>
      <w:r w:rsidR="00860FD4">
        <w:t>.</w:t>
      </w:r>
      <w:r>
        <w:t xml:space="preserve"> It also merges in the national employment gap and standard deviation of state-level employment gaps from </w:t>
      </w:r>
      <w:r w:rsidRPr="00552BF2">
        <w:rPr>
          <w:u w:val="single"/>
        </w:rPr>
        <w:t>stateemp2.dta</w:t>
      </w:r>
      <w:r w:rsidR="0053089B">
        <w:t>.</w:t>
      </w:r>
      <w:r>
        <w:t xml:space="preserve"> It calculates the migration rate and calls the RATS program </w:t>
      </w:r>
      <w:r w:rsidRPr="00552BF2">
        <w:rPr>
          <w:u w:val="single"/>
        </w:rPr>
        <w:t>cpsdata.prg</w:t>
      </w:r>
      <w:r>
        <w:t xml:space="preserve"> to run the HP filter. The RATS program creates output named </w:t>
      </w:r>
      <w:r w:rsidRPr="00552BF2">
        <w:rPr>
          <w:u w:val="single"/>
        </w:rPr>
        <w:t>cpsdata.out</w:t>
      </w:r>
      <w:r>
        <w:t>, which is then read in</w:t>
      </w:r>
      <w:r w:rsidR="0053089B">
        <w:t xml:space="preserve">to Stata by this same program. </w:t>
      </w:r>
      <w:r>
        <w:t>The RATS program cpsdata05 runs the HP filter through 2005 for the detrended migration rate used in c</w:t>
      </w:r>
      <w:r w:rsidR="00671495">
        <w:t xml:space="preserve">olumns (3) and (4) of Table 1. </w:t>
      </w:r>
      <w:r>
        <w:t>The program then calculates the detrended migration series and saves the detrended migration data and employment gap data in the Stata dataset table1.dta.</w:t>
      </w:r>
    </w:p>
    <w:p w:rsidR="002E16A5" w:rsidRPr="00715A91" w:rsidRDefault="00437435" w:rsidP="005F7D19">
      <w:pPr>
        <w:pStyle w:val="ListParagraph"/>
        <w:numPr>
          <w:ilvl w:val="0"/>
          <w:numId w:val="3"/>
        </w:numPr>
      </w:pPr>
      <w:r>
        <w:t xml:space="preserve">The Stata-do file </w:t>
      </w:r>
      <w:r w:rsidRPr="00552BF2">
        <w:rPr>
          <w:u w:val="single"/>
        </w:rPr>
        <w:t>table1_figs1and2.do</w:t>
      </w:r>
      <w:r>
        <w:t xml:space="preserve"> runs the regressions reported in Table 1.</w:t>
      </w:r>
    </w:p>
    <w:sectPr w:rsidR="002E16A5" w:rsidRPr="0071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5B3E"/>
    <w:multiLevelType w:val="hybridMultilevel"/>
    <w:tmpl w:val="2096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E46D3"/>
    <w:multiLevelType w:val="hybridMultilevel"/>
    <w:tmpl w:val="9AFC54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E75AE"/>
    <w:multiLevelType w:val="hybridMultilevel"/>
    <w:tmpl w:val="E6701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772F0"/>
    <w:multiLevelType w:val="hybridMultilevel"/>
    <w:tmpl w:val="6B94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F66CB"/>
    <w:multiLevelType w:val="hybridMultilevel"/>
    <w:tmpl w:val="9F0C1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D6A92"/>
    <w:multiLevelType w:val="hybridMultilevel"/>
    <w:tmpl w:val="5F12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3F"/>
    <w:rsid w:val="00003182"/>
    <w:rsid w:val="0001204B"/>
    <w:rsid w:val="00022F3D"/>
    <w:rsid w:val="000705ED"/>
    <w:rsid w:val="00075F2D"/>
    <w:rsid w:val="00090BCD"/>
    <w:rsid w:val="000C116D"/>
    <w:rsid w:val="000D147F"/>
    <w:rsid w:val="000E416F"/>
    <w:rsid w:val="000F2A4C"/>
    <w:rsid w:val="00101FE4"/>
    <w:rsid w:val="001124E6"/>
    <w:rsid w:val="00122453"/>
    <w:rsid w:val="0012599E"/>
    <w:rsid w:val="00144E1D"/>
    <w:rsid w:val="00156C47"/>
    <w:rsid w:val="00174A95"/>
    <w:rsid w:val="001D14DC"/>
    <w:rsid w:val="001E0798"/>
    <w:rsid w:val="001E0C59"/>
    <w:rsid w:val="001E7834"/>
    <w:rsid w:val="002015EB"/>
    <w:rsid w:val="00215ADD"/>
    <w:rsid w:val="00216389"/>
    <w:rsid w:val="00221602"/>
    <w:rsid w:val="00225324"/>
    <w:rsid w:val="002254A1"/>
    <w:rsid w:val="00227DB6"/>
    <w:rsid w:val="00245C77"/>
    <w:rsid w:val="002660A8"/>
    <w:rsid w:val="002C1081"/>
    <w:rsid w:val="002E16A5"/>
    <w:rsid w:val="002F03EE"/>
    <w:rsid w:val="00323C6A"/>
    <w:rsid w:val="0035378D"/>
    <w:rsid w:val="00393E43"/>
    <w:rsid w:val="003A0261"/>
    <w:rsid w:val="003D1D22"/>
    <w:rsid w:val="003F239E"/>
    <w:rsid w:val="00411C62"/>
    <w:rsid w:val="00437435"/>
    <w:rsid w:val="00452ECA"/>
    <w:rsid w:val="004568F3"/>
    <w:rsid w:val="00496E35"/>
    <w:rsid w:val="004A1E1C"/>
    <w:rsid w:val="004B663F"/>
    <w:rsid w:val="004C0C4F"/>
    <w:rsid w:val="004C35F2"/>
    <w:rsid w:val="004C4B42"/>
    <w:rsid w:val="004C6015"/>
    <w:rsid w:val="00517BCC"/>
    <w:rsid w:val="0053089B"/>
    <w:rsid w:val="00552BF2"/>
    <w:rsid w:val="00571AC2"/>
    <w:rsid w:val="00580FE9"/>
    <w:rsid w:val="00596321"/>
    <w:rsid w:val="005C3414"/>
    <w:rsid w:val="005F2F50"/>
    <w:rsid w:val="005F7D19"/>
    <w:rsid w:val="00624DF7"/>
    <w:rsid w:val="00634DEF"/>
    <w:rsid w:val="006414DC"/>
    <w:rsid w:val="00654DFB"/>
    <w:rsid w:val="00671495"/>
    <w:rsid w:val="006B0584"/>
    <w:rsid w:val="006C7670"/>
    <w:rsid w:val="006F3F3E"/>
    <w:rsid w:val="007012A9"/>
    <w:rsid w:val="00702076"/>
    <w:rsid w:val="00710675"/>
    <w:rsid w:val="007135A5"/>
    <w:rsid w:val="00715A91"/>
    <w:rsid w:val="0071716E"/>
    <w:rsid w:val="007319D0"/>
    <w:rsid w:val="00734AEB"/>
    <w:rsid w:val="00747CD1"/>
    <w:rsid w:val="0075653D"/>
    <w:rsid w:val="0077773B"/>
    <w:rsid w:val="007821A5"/>
    <w:rsid w:val="007A7D5F"/>
    <w:rsid w:val="007D48CC"/>
    <w:rsid w:val="007E15C0"/>
    <w:rsid w:val="00800F2D"/>
    <w:rsid w:val="00803637"/>
    <w:rsid w:val="0081423A"/>
    <w:rsid w:val="00826236"/>
    <w:rsid w:val="0084255B"/>
    <w:rsid w:val="00853A28"/>
    <w:rsid w:val="00856068"/>
    <w:rsid w:val="00860FD4"/>
    <w:rsid w:val="00887C5B"/>
    <w:rsid w:val="008A42A0"/>
    <w:rsid w:val="008C040D"/>
    <w:rsid w:val="008C193E"/>
    <w:rsid w:val="008E5F48"/>
    <w:rsid w:val="00927091"/>
    <w:rsid w:val="00971D80"/>
    <w:rsid w:val="00A0119C"/>
    <w:rsid w:val="00A61DC2"/>
    <w:rsid w:val="00A95135"/>
    <w:rsid w:val="00A97766"/>
    <w:rsid w:val="00A97863"/>
    <w:rsid w:val="00A97BCF"/>
    <w:rsid w:val="00B00E62"/>
    <w:rsid w:val="00B3226A"/>
    <w:rsid w:val="00B65D98"/>
    <w:rsid w:val="00B72C55"/>
    <w:rsid w:val="00B835E2"/>
    <w:rsid w:val="00B8760D"/>
    <w:rsid w:val="00BA266C"/>
    <w:rsid w:val="00BB1A97"/>
    <w:rsid w:val="00BC62FC"/>
    <w:rsid w:val="00BE3AD7"/>
    <w:rsid w:val="00C245AD"/>
    <w:rsid w:val="00CC650C"/>
    <w:rsid w:val="00CF1746"/>
    <w:rsid w:val="00CF5B89"/>
    <w:rsid w:val="00D266C0"/>
    <w:rsid w:val="00D41BD3"/>
    <w:rsid w:val="00D50687"/>
    <w:rsid w:val="00D835E7"/>
    <w:rsid w:val="00D87C48"/>
    <w:rsid w:val="00D90EB3"/>
    <w:rsid w:val="00DB28FC"/>
    <w:rsid w:val="00DF7180"/>
    <w:rsid w:val="00E02068"/>
    <w:rsid w:val="00E033EF"/>
    <w:rsid w:val="00E15565"/>
    <w:rsid w:val="00E2348D"/>
    <w:rsid w:val="00E3231C"/>
    <w:rsid w:val="00E53D11"/>
    <w:rsid w:val="00E62F8E"/>
    <w:rsid w:val="00E80A89"/>
    <w:rsid w:val="00EB3BCA"/>
    <w:rsid w:val="00EC3EBC"/>
    <w:rsid w:val="00EE0B76"/>
    <w:rsid w:val="00F078C6"/>
    <w:rsid w:val="00F13024"/>
    <w:rsid w:val="00F1326D"/>
    <w:rsid w:val="00F30F15"/>
    <w:rsid w:val="00F43960"/>
    <w:rsid w:val="00F50D4D"/>
    <w:rsid w:val="00F54754"/>
    <w:rsid w:val="00F601F5"/>
    <w:rsid w:val="00FA5A33"/>
    <w:rsid w:val="00FD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075A"/>
  <w15:chartTrackingRefBased/>
  <w15:docId w15:val="{43AF66B1-2DD8-4F5C-B584-EFC6803F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D19"/>
    <w:pPr>
      <w:spacing w:after="0" w:line="240" w:lineRule="auto"/>
    </w:pPr>
  </w:style>
  <w:style w:type="paragraph" w:styleId="ListParagraph">
    <w:name w:val="List Paragraph"/>
    <w:basedOn w:val="Normal"/>
    <w:uiPriority w:val="34"/>
    <w:qFormat/>
    <w:rsid w:val="00437435"/>
    <w:pPr>
      <w:ind w:left="720"/>
      <w:contextualSpacing/>
    </w:pPr>
  </w:style>
  <w:style w:type="character" w:styleId="Hyperlink">
    <w:name w:val="Hyperlink"/>
    <w:basedOn w:val="DefaultParagraphFont"/>
    <w:uiPriority w:val="99"/>
    <w:unhideWhenUsed/>
    <w:rsid w:val="004374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8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s.ipums.org/cps/" TargetMode="External"/><Relationship Id="rId5" Type="http://schemas.openxmlformats.org/officeDocument/2006/relationships/hyperlink" Target="https://www.census.gov/topics/population/migration/data/tab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Swaziek, Zach</dc:creator>
  <cp:keywords/>
  <dc:description/>
  <cp:lastModifiedBy>Swaziek, Zach</cp:lastModifiedBy>
  <cp:revision>154</cp:revision>
  <dcterms:created xsi:type="dcterms:W3CDTF">2020-01-13T18:38:00Z</dcterms:created>
  <dcterms:modified xsi:type="dcterms:W3CDTF">2020-01-22T15:41:00Z</dcterms:modified>
</cp:coreProperties>
</file>