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Eda Report</w:t>
      </w:r>
    </w:p>
    <w:p>
      <w:pPr>
        <w:pStyle w:val="Heading1"/>
      </w:pPr>
      <w:r>
        <w:t>Kisan Smart - Exploratory Data Analysis (EDA) Report</w:t>
      </w:r>
    </w:p>
    <w:p>
      <w:pPr>
        <w:pStyle w:val="Heading2"/>
      </w:pPr>
      <w:r>
        <w:t>1. Feature Distributions</w:t>
      </w:r>
    </w:p>
    <w:p/>
    <w:p>
      <w:pPr>
        <w:pStyle w:val="ListBullet"/>
      </w:pPr>
      <w:r>
        <w:rPr>
          <w:b/>
        </w:rPr>
        <w:t>Soil Nutrients (N, P, K)</w:t>
      </w:r>
      <w:r>
        <w:t>: Display a wide range of values, indicating diverse soil conditions.</w:t>
      </w:r>
    </w:p>
    <w:p>
      <w:pPr>
        <w:pStyle w:val="ListBullet"/>
      </w:pPr>
      <w:r>
        <w:rPr>
          <w:b/>
        </w:rPr>
        <w:t>pH Level</w:t>
      </w:r>
      <w:r>
        <w:t>: Most samples fall within the 5.5 to 8.5 range, consistent with typical agricultural soil.</w:t>
      </w:r>
    </w:p>
    <w:p>
      <w:pPr>
        <w:pStyle w:val="ListBullet"/>
      </w:pPr>
      <w:r>
        <w:rPr>
          <w:b/>
        </w:rPr>
        <w:t>Moisture</w:t>
      </w:r>
      <w:r>
        <w:t>: Uniform distribution across the test set, allowing for robust model training across different climatic conditions.</w:t>
      </w:r>
    </w:p>
    <w:p>
      <w:pPr>
        <w:pStyle w:val="Heading2"/>
      </w:pPr>
      <w:r>
        <w:t>2. Correlation Analysis</w:t>
      </w:r>
    </w:p>
    <w:p/>
    <w:p>
      <w:pPr>
        <w:pStyle w:val="ListBullet"/>
      </w:pPr>
      <w:r>
        <w:t>Low linear correlation between individual nutrients (N, P, K), suggesting they act as independent features.</w:t>
      </w:r>
    </w:p>
    <w:p>
      <w:pPr>
        <w:pStyle w:val="ListBullet"/>
      </w:pPr>
      <w:r>
        <w:t>Soil moisture and temperature show negligible correlation in this synthetic set, but should be monitored in real-world data.</w:t>
      </w:r>
    </w:p>
    <w:p>
      <w:pPr>
        <w:pStyle w:val="Heading2"/>
      </w:pPr>
      <w:r>
        <w:t>3. Crop Class Balances</w:t>
      </w:r>
    </w:p>
    <w:p/>
    <w:p>
      <w:pPr>
        <w:pStyle w:val="ListBullet"/>
      </w:pPr>
      <w:r>
        <w:t>The dataset is well-balanced across the six major crop types (Wheat, Rice, Maize, Cotton, Sugarcane, Pulse), preventing model bias.</w:t>
      </w:r>
    </w:p>
    <w:p>
      <w:pPr>
        <w:pStyle w:val="Heading2"/>
      </w:pPr>
      <w:r>
        <w:t>4. Key Data Cleaning Insights</w:t>
      </w:r>
    </w:p>
    <w:p>
      <w:pPr>
        <w:pStyle w:val="ListBullet"/>
      </w:pPr>
      <w:r>
        <w:rPr>
          <w:b/>
        </w:rPr>
        <w:t>Missing Values</w:t>
      </w:r>
      <w:r>
        <w:t>: 5% of N, pH, and Moisture data was missing (simulated) and successfully imputed using median values.</w:t>
      </w:r>
    </w:p>
    <w:p>
      <w:pPr>
        <w:pStyle w:val="ListBullet"/>
      </w:pPr>
      <w:r>
        <w:rPr>
          <w:b/>
        </w:rPr>
        <w:t>Outliers</w:t>
      </w:r>
      <w:r>
        <w:t>: Extreme values in Nitrogen (e.g., 999) were successfully capped using the Interquartile Range (IQR) method.</w:t>
      </w:r>
    </w:p>
    <w:p>
      <w:pPr>
        <w:pStyle w:val="ListBullet"/>
      </w:pPr>
      <w:r>
        <w:rPr>
          <w:b/>
        </w:rPr>
        <w:t>New Feature</w:t>
      </w:r>
      <w:r>
        <w:t xml:space="preserve">: </w:t>
      </w:r>
      <w:r>
        <w:rPr>
          <w:rFonts w:ascii="Courier New" w:hAnsi="Courier New"/>
        </w:rPr>
        <w:t>Total_Nutrients</w:t>
      </w:r>
      <w:r>
        <w:t xml:space="preserve"> was engineered to provide a composite view of soil health.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