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7046" w14:textId="77777777" w:rsidR="00A64224" w:rsidRPr="00DC44A1" w:rsidRDefault="00A64224" w:rsidP="00D86569">
      <w:pPr>
        <w:spacing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2"/>
          <w:szCs w:val="22"/>
          <w14:ligatures w14:val="none"/>
        </w:rPr>
      </w:pPr>
      <w:r w:rsidRPr="00DC44A1">
        <w:rPr>
          <w:rFonts w:ascii="Helvetica" w:eastAsia="Times New Roman" w:hAnsi="Helvetica" w:cs="Helvetica"/>
          <w:b/>
          <w:bCs/>
          <w:color w:val="000000"/>
          <w:kern w:val="0"/>
          <w:sz w:val="22"/>
          <w:szCs w:val="22"/>
          <w14:ligatures w14:val="none"/>
        </w:rPr>
        <w:t>MEMORANDUM</w:t>
      </w:r>
    </w:p>
    <w:p w14:paraId="5ECEDDFB" w14:textId="4D7645D6" w:rsidR="00A64224" w:rsidRDefault="00A64224" w:rsidP="00D86569">
      <w:pPr>
        <w:pBdr>
          <w:bottom w:val="single" w:sz="6" w:space="1" w:color="auto"/>
        </w:pBdr>
        <w:spacing w:line="240" w:lineRule="auto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 xml:space="preserve">To: Nick </w:t>
      </w:r>
      <w:proofErr w:type="spellStart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Allardice</w:t>
      </w:r>
      <w:proofErr w:type="spellEnd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, CEO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From: Sarah Kayongo, VP of Programs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Date: March 21, 2025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 xml:space="preserve">Subject: </w:t>
      </w:r>
      <w:r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Immediate Actions &amp; Long-Term Safeguarding Reforms – DRC Incident Follow-up</w:t>
      </w:r>
    </w:p>
    <w:p w14:paraId="7D200917" w14:textId="77777777" w:rsidR="00DA40DA" w:rsidRPr="00C02743" w:rsidRDefault="00DA40DA" w:rsidP="00D86569">
      <w:pPr>
        <w:spacing w:line="240" w:lineRule="auto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</w:p>
    <w:p w14:paraId="78BA6A18" w14:textId="77777777" w:rsidR="001C34B8" w:rsidRPr="000C62D3" w:rsidRDefault="001C34B8" w:rsidP="00D86569">
      <w:pPr>
        <w:pStyle w:val="NormalWeb"/>
        <w:numPr>
          <w:ilvl w:val="0"/>
          <w:numId w:val="1"/>
        </w:numPr>
        <w:rPr>
          <w:b/>
          <w:bCs/>
          <w:color w:val="000000"/>
        </w:rPr>
      </w:pPr>
      <w:r w:rsidRPr="000C62D3">
        <w:rPr>
          <w:b/>
          <w:bCs/>
          <w:color w:val="000000"/>
        </w:rPr>
        <w:t>Goals:</w:t>
      </w:r>
    </w:p>
    <w:p w14:paraId="228512D5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Prioritize safeguarding and protection of potential victims.</w:t>
      </w:r>
    </w:p>
    <w:p w14:paraId="66302F72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Maintain organizational integrity and transparency.</w:t>
      </w:r>
    </w:p>
    <w:p w14:paraId="61991FD9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Prevent escalation of risks and maintain stakeholder trust.</w:t>
      </w:r>
    </w:p>
    <w:p w14:paraId="4A67B633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Ensure accountability and continuous learning.</w:t>
      </w:r>
    </w:p>
    <w:p w14:paraId="07C5B1BA" w14:textId="77777777" w:rsidR="001C34B8" w:rsidRPr="000C62D3" w:rsidRDefault="001C34B8" w:rsidP="00D86569">
      <w:pPr>
        <w:pStyle w:val="NormalWeb"/>
        <w:numPr>
          <w:ilvl w:val="0"/>
          <w:numId w:val="3"/>
        </w:numPr>
        <w:rPr>
          <w:b/>
          <w:bCs/>
          <w:color w:val="000000"/>
        </w:rPr>
      </w:pPr>
      <w:r w:rsidRPr="000C62D3">
        <w:rPr>
          <w:b/>
          <w:bCs/>
          <w:color w:val="000000"/>
        </w:rPr>
        <w:t>Process and Steps:</w:t>
      </w:r>
    </w:p>
    <w:p w14:paraId="463FCEF6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1: Immediate Acknowledgement and Transparent Internal Communication</w:t>
      </w:r>
    </w:p>
    <w:p w14:paraId="18F39B85" w14:textId="77777777" w:rsidR="001C34B8" w:rsidRDefault="001C34B8" w:rsidP="00D86569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Convene an urgent crisis management meeting involving key leadership:</w:t>
      </w:r>
    </w:p>
    <w:p w14:paraId="54A20339" w14:textId="77777777" w:rsidR="001C34B8" w:rsidRDefault="001C34B8" w:rsidP="00D86569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Global Safeguarding Team</w:t>
      </w:r>
    </w:p>
    <w:p w14:paraId="66628D9A" w14:textId="77777777" w:rsidR="001C34B8" w:rsidRDefault="001C34B8" w:rsidP="00D86569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Country Director for DRC</w:t>
      </w:r>
    </w:p>
    <w:p w14:paraId="6DDF3C5C" w14:textId="77777777" w:rsidR="001C34B8" w:rsidRDefault="001C34B8" w:rsidP="00D86569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Legal Counsel</w:t>
      </w:r>
    </w:p>
    <w:p w14:paraId="281B9973" w14:textId="77777777" w:rsidR="001C34B8" w:rsidRDefault="001C34B8" w:rsidP="00D86569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HR and Security Teams</w:t>
      </w:r>
    </w:p>
    <w:p w14:paraId="45DA865A" w14:textId="77777777" w:rsidR="001C34B8" w:rsidRDefault="001C34B8" w:rsidP="00D86569">
      <w:pPr>
        <w:pStyle w:val="NormalWeb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Communications Lead</w:t>
      </w:r>
    </w:p>
    <w:p w14:paraId="6B60FFA9" w14:textId="77777777" w:rsidR="001C34B8" w:rsidRDefault="001C34B8" w:rsidP="00D86569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Clearly state the allegations internally and document all known facts.</w:t>
      </w:r>
    </w:p>
    <w:p w14:paraId="033CF5DA" w14:textId="77777777" w:rsidR="001C34B8" w:rsidRDefault="001C34B8" w:rsidP="00D86569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Communicate to senior stakeholders that an investigation is underway.</w:t>
      </w:r>
    </w:p>
    <w:p w14:paraId="54B05E9F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2: Assemble a Crisis Response Taskforce</w:t>
      </w:r>
    </w:p>
    <w:p w14:paraId="0D2ADCF9" w14:textId="77777777" w:rsidR="001C34B8" w:rsidRDefault="001C34B8" w:rsidP="00D86569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Team composition:</w:t>
      </w:r>
    </w:p>
    <w:p w14:paraId="406BF374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Safeguarding Team Lead (oversight)</w:t>
      </w:r>
    </w:p>
    <w:p w14:paraId="08678F6C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Legal Counsel (adherence to laws)</w:t>
      </w:r>
    </w:p>
    <w:p w14:paraId="07F5D364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Regional Director (local leadership)</w:t>
      </w:r>
    </w:p>
    <w:p w14:paraId="7CBB5CCB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Independent Investigator (external party, if feasible)</w:t>
      </w:r>
    </w:p>
    <w:p w14:paraId="3AE3E42A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Communications Officer (managing stakeholder narratives)</w:t>
      </w:r>
    </w:p>
    <w:p w14:paraId="53B4E205" w14:textId="77777777" w:rsidR="001C34B8" w:rsidRDefault="001C34B8" w:rsidP="00D86569">
      <w:pPr>
        <w:pStyle w:val="NormalWeb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Division of responsibilities:</w:t>
      </w:r>
    </w:p>
    <w:p w14:paraId="5D4FAD96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Safeguarding team: Define the scope of investigation.</w:t>
      </w:r>
    </w:p>
    <w:p w14:paraId="54C3302D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Legal: Ensure compliance with DRC laws and international safeguarding protocols.</w:t>
      </w:r>
    </w:p>
    <w:p w14:paraId="5F1C22A3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Regional Director: Liaise with local authorities and community leaders.</w:t>
      </w:r>
    </w:p>
    <w:p w14:paraId="55699D75" w14:textId="77777777" w:rsidR="001C34B8" w:rsidRDefault="001C34B8" w:rsidP="00D86569">
      <w:pPr>
        <w:pStyle w:val="NormalWeb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Communications: Prepare holding statements and updates.</w:t>
      </w:r>
    </w:p>
    <w:p w14:paraId="4FCA6DF7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3: Remote Investigation Strategy</w:t>
      </w:r>
    </w:p>
    <w:p w14:paraId="23E97C1E" w14:textId="77777777" w:rsidR="001C34B8" w:rsidRDefault="001C34B8" w:rsidP="00D86569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Since physical presence is limited by conflict, deploy remote investigation methods:</w:t>
      </w:r>
    </w:p>
    <w:p w14:paraId="4F4B4724" w14:textId="77777777" w:rsidR="001C34B8" w:rsidRDefault="001C34B8" w:rsidP="00D86569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lastRenderedPageBreak/>
        <w:t>Set up anonymous reporting hotlines and encrypted messaging lines for whistleblowers.</w:t>
      </w:r>
    </w:p>
    <w:p w14:paraId="15F50B6B" w14:textId="77777777" w:rsidR="001C34B8" w:rsidRDefault="001C34B8" w:rsidP="00D86569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Engage local NGOs or trusted partners to gather verified field data.</w:t>
      </w:r>
    </w:p>
    <w:p w14:paraId="74C3CB74" w14:textId="77777777" w:rsidR="001C34B8" w:rsidRDefault="001C34B8" w:rsidP="00D86569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Use satellite-based monitoring and community contact verification.</w:t>
      </w:r>
    </w:p>
    <w:p w14:paraId="16611B34" w14:textId="77777777" w:rsidR="001C34B8" w:rsidRDefault="001C34B8" w:rsidP="00D86569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Contract an independent safeguarding consultancy with DRC field knowledge.</w:t>
      </w:r>
    </w:p>
    <w:p w14:paraId="265D4952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4: External Stakeholder Communication</w:t>
      </w:r>
    </w:p>
    <w:p w14:paraId="63D2A7CD" w14:textId="77777777" w:rsidR="001C34B8" w:rsidRDefault="001C34B8" w:rsidP="00D86569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Prepare a transparent but cautious communication strategy for:</w:t>
      </w:r>
    </w:p>
    <w:p w14:paraId="237C5B96" w14:textId="77777777" w:rsidR="001C34B8" w:rsidRDefault="001C34B8" w:rsidP="00D86569">
      <w:pPr>
        <w:pStyle w:val="NormalWeb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Donors (e.g., USAID, foundations)</w:t>
      </w:r>
    </w:p>
    <w:p w14:paraId="74D2437C" w14:textId="77777777" w:rsidR="001C34B8" w:rsidRDefault="001C34B8" w:rsidP="00D86569">
      <w:pPr>
        <w:pStyle w:val="NormalWeb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Local government officials</w:t>
      </w:r>
    </w:p>
    <w:p w14:paraId="4173DC84" w14:textId="77777777" w:rsidR="001C34B8" w:rsidRDefault="001C34B8" w:rsidP="00D86569">
      <w:pPr>
        <w:pStyle w:val="NormalWeb"/>
        <w:numPr>
          <w:ilvl w:val="1"/>
          <w:numId w:val="7"/>
        </w:numPr>
        <w:rPr>
          <w:color w:val="000000"/>
        </w:rPr>
      </w:pPr>
      <w:r>
        <w:rPr>
          <w:color w:val="000000"/>
        </w:rPr>
        <w:t>Community leaders and local civil society organizations</w:t>
      </w:r>
    </w:p>
    <w:p w14:paraId="14DF8028" w14:textId="77777777" w:rsidR="001C34B8" w:rsidRDefault="001C34B8" w:rsidP="00D86569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Use apology and corrective action language over denial.</w:t>
      </w:r>
    </w:p>
    <w:p w14:paraId="5D444DF4" w14:textId="77777777" w:rsidR="001C34B8" w:rsidRDefault="001C34B8" w:rsidP="00D86569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Commit publicly to a timeline for investigation updates.</w:t>
      </w:r>
    </w:p>
    <w:p w14:paraId="206F7829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5: Risk Mitigation Actions</w:t>
      </w:r>
    </w:p>
    <w:p w14:paraId="6F6193A9" w14:textId="77777777" w:rsidR="001C34B8" w:rsidRDefault="001C34B8" w:rsidP="00D86569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Freeze new enrollments in the DRC program pending outcome of the investigation.</w:t>
      </w:r>
    </w:p>
    <w:p w14:paraId="0D6AA146" w14:textId="77777777" w:rsidR="001C34B8" w:rsidRDefault="001C34B8" w:rsidP="00D86569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Re-screen all enrolled recipients for validity and safeguarding concerns.</w:t>
      </w:r>
    </w:p>
    <w:p w14:paraId="4EB9BD0A" w14:textId="77777777" w:rsidR="001C34B8" w:rsidRDefault="001C34B8" w:rsidP="00D86569">
      <w:pPr>
        <w:pStyle w:val="NormalWeb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Temporarily redeploy senior safeguarding and security personnel to regional offices bordering DRC for oversight.</w:t>
      </w:r>
    </w:p>
    <w:p w14:paraId="469614D4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6: Long-Term Governance Strengthening</w:t>
      </w:r>
    </w:p>
    <w:p w14:paraId="06A9EDF3" w14:textId="77777777" w:rsidR="001C34B8" w:rsidRDefault="001C34B8" w:rsidP="00D86569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Following findings, update safeguarding protocols and integrate an automated red-flag detection system into enrollment workflows.</w:t>
      </w:r>
    </w:p>
    <w:p w14:paraId="401A2A17" w14:textId="77777777" w:rsidR="001C34B8" w:rsidRDefault="001C34B8" w:rsidP="00D86569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Strengthen community-based verification and establish permanent whistleblower partnerships with trusted local actors.</w:t>
      </w:r>
    </w:p>
    <w:p w14:paraId="46CD91A4" w14:textId="77777777" w:rsidR="001C34B8" w:rsidRDefault="001C34B8" w:rsidP="00D86569">
      <w:pPr>
        <w:pStyle w:val="NormalWeb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Develop safeguarding scenario training simulations for field staff.</w:t>
      </w:r>
    </w:p>
    <w:p w14:paraId="57591FE3" w14:textId="78933691" w:rsidR="001C34B8" w:rsidRDefault="001C34B8" w:rsidP="00D86569">
      <w:pPr>
        <w:pStyle w:val="NormalWeb"/>
        <w:rPr>
          <w:color w:val="000000"/>
        </w:rPr>
      </w:pPr>
      <w:r w:rsidRPr="000C62D3">
        <w:rPr>
          <w:b/>
          <w:bCs/>
          <w:color w:val="000000"/>
        </w:rPr>
        <w:t>Summary of Team and Responsibilities</w:t>
      </w:r>
      <w:r>
        <w:rPr>
          <w:color w:val="000000"/>
        </w:rPr>
        <w:t>:</w:t>
      </w:r>
    </w:p>
    <w:p w14:paraId="1129231B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Safeguarding Lead Responsibility: Oversee investigation framework, coordination, and escalation process.</w:t>
      </w:r>
    </w:p>
    <w:p w14:paraId="72347BE7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Regional Director (DRC) Responsibility: Liaison with local government and community stakeholders.</w:t>
      </w:r>
    </w:p>
    <w:p w14:paraId="6282367D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Legal Counsel Responsibility: Ensure compliance with safeguarding law and documentation integrity.</w:t>
      </w:r>
    </w:p>
    <w:p w14:paraId="38715711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External Investigator Responsibility: Conduct independent fact-finding and victim interviews.</w:t>
      </w:r>
    </w:p>
    <w:p w14:paraId="6F25F21A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Communications Officer Responsibility: Manage internal and external messaging and donor updates.</w:t>
      </w:r>
    </w:p>
    <w:p w14:paraId="1DC5C1DD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lastRenderedPageBreak/>
        <w:t>Team Member: HR Team Responsibility: Support victim care, referral services, and future hiring screening.</w:t>
      </w:r>
    </w:p>
    <w:p w14:paraId="46AAFCD9" w14:textId="77777777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Team Member: Data and Tech Team Responsibility: Monitor digital reporting channels and fraud detection tools.</w:t>
      </w:r>
    </w:p>
    <w:p w14:paraId="28B2E833" w14:textId="44EFE2EC" w:rsidR="001C34B8" w:rsidRDefault="001C34B8" w:rsidP="00D86569">
      <w:pPr>
        <w:pStyle w:val="NormalWeb"/>
        <w:rPr>
          <w:color w:val="000000"/>
        </w:rPr>
      </w:pPr>
      <w:r>
        <w:rPr>
          <w:color w:val="000000"/>
        </w:rPr>
        <w:t>Conclusion</w:t>
      </w:r>
      <w:r w:rsidR="000C62D3">
        <w:rPr>
          <w:color w:val="000000"/>
        </w:rPr>
        <w:t xml:space="preserve"> of my actions</w:t>
      </w:r>
      <w:r>
        <w:rPr>
          <w:color w:val="000000"/>
        </w:rPr>
        <w:t>:</w:t>
      </w:r>
    </w:p>
    <w:p w14:paraId="7282BE6C" w14:textId="77777777" w:rsidR="001C34B8" w:rsidRDefault="001C34B8" w:rsidP="00D86569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Act swiftly, transparently, and with victim protection at the core.</w:t>
      </w:r>
    </w:p>
    <w:p w14:paraId="1CD02388" w14:textId="77777777" w:rsidR="001C34B8" w:rsidRDefault="001C34B8" w:rsidP="00D86569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Avoid denial; instead, show ownership and corrective intent.</w:t>
      </w:r>
    </w:p>
    <w:p w14:paraId="77EFDA44" w14:textId="77777777" w:rsidR="001C34B8" w:rsidRDefault="001C34B8" w:rsidP="00D86569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Use multi-channel communication and adapt crisis management techniques for on-the-ground realities.</w:t>
      </w:r>
    </w:p>
    <w:p w14:paraId="479555F1" w14:textId="77777777" w:rsidR="001C34B8" w:rsidRDefault="001C34B8" w:rsidP="00D86569">
      <w:pPr>
        <w:pStyle w:val="Normal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Embed lessons learned into GiveDirectly’s safeguarding and governance framework for future resilience.</w:t>
      </w:r>
    </w:p>
    <w:p w14:paraId="470EE67A" w14:textId="77777777" w:rsidR="001C34B8" w:rsidRPr="000C62D3" w:rsidRDefault="001C34B8" w:rsidP="00D86569">
      <w:pPr>
        <w:pStyle w:val="NormalWeb"/>
        <w:rPr>
          <w:b/>
          <w:bCs/>
          <w:color w:val="000000"/>
        </w:rPr>
      </w:pPr>
      <w:r w:rsidRPr="000C62D3">
        <w:rPr>
          <w:b/>
          <w:bCs/>
          <w:color w:val="000000"/>
        </w:rPr>
        <w:t>References:</w:t>
      </w:r>
    </w:p>
    <w:p w14:paraId="21ACADB0" w14:textId="77777777" w:rsidR="001C34B8" w:rsidRDefault="001C34B8" w:rsidP="00D86569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GiveDirectly DRC Case Report (2023).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https://www.givedirectly.org/drc-case-2023/</w:t>
      </w:r>
    </w:p>
    <w:p w14:paraId="78900AD5" w14:textId="77777777" w:rsidR="001C34B8" w:rsidRDefault="001C34B8" w:rsidP="00D86569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Coombs, W. T. (2015). The value of communication during a crisis: Insights from strategic communication research. Business Horizons, 58(2), 141–148.</w:t>
      </w:r>
    </w:p>
    <w:p w14:paraId="48FC7BAC" w14:textId="77777777" w:rsidR="001C34B8" w:rsidRDefault="001C34B8" w:rsidP="00D86569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Hale, J. E., Dulek, R. E., &amp; Hale, D. P. (2005). Crisis response communication challenges: Building theory from qualitative data. Journal of Business Communication, 42(2), 112–134.</w:t>
      </w:r>
    </w:p>
    <w:p w14:paraId="19215DB6" w14:textId="77777777" w:rsidR="001C34B8" w:rsidRDefault="001C34B8" w:rsidP="00D86569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David, M. D., &amp; Carignan, M. (2017). Crisis communication adaptation strategies in the MM&amp;A train explosion in Lac-</w:t>
      </w:r>
      <w:proofErr w:type="spellStart"/>
      <w:r>
        <w:rPr>
          <w:color w:val="000000"/>
        </w:rPr>
        <w:t>Mégantic</w:t>
      </w:r>
      <w:proofErr w:type="spellEnd"/>
      <w:r>
        <w:rPr>
          <w:color w:val="000000"/>
        </w:rPr>
        <w:t xml:space="preserve"> downtown. Corporate Communications: An International Journal, 22(3), 369–388.</w:t>
      </w:r>
    </w:p>
    <w:p w14:paraId="3014DBFF" w14:textId="77777777" w:rsidR="001C34B8" w:rsidRDefault="001C34B8" w:rsidP="00D86569">
      <w:pPr>
        <w:pStyle w:val="NormalWeb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Greenberg, J., &amp; Elliott, C. (2009). A cold cut crisis: Listeriosis, Maple Leaf Foods, and the politics of apology. Canadian Journal of Communication, 34, 189–204.</w:t>
      </w:r>
    </w:p>
    <w:p w14:paraId="159F9768" w14:textId="77777777" w:rsidR="00A64224" w:rsidRDefault="00A64224" w:rsidP="00D86569">
      <w:pPr>
        <w:pStyle w:val="NormalWeb"/>
        <w:rPr>
          <w:color w:val="000000"/>
        </w:rPr>
      </w:pPr>
    </w:p>
    <w:p w14:paraId="0E73BF12" w14:textId="22F1142C" w:rsidR="00A64224" w:rsidRDefault="00A64224" w:rsidP="00D86569">
      <w:pPr>
        <w:pStyle w:val="NormalWeb"/>
        <w:rPr>
          <w:color w:val="000000"/>
        </w:rPr>
      </w:pPr>
      <w:r>
        <w:rPr>
          <w:color w:val="000000"/>
        </w:rPr>
        <w:t>Thank you,</w:t>
      </w:r>
    </w:p>
    <w:p w14:paraId="0975C400" w14:textId="77777777" w:rsidR="00A64224" w:rsidRPr="00C02743" w:rsidRDefault="00A64224" w:rsidP="00D86569">
      <w:pPr>
        <w:spacing w:line="240" w:lineRule="auto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 xml:space="preserve">Dr. 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Sarah Kayongo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VP of Programs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</w:r>
      <w:proofErr w:type="spellStart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GiveDirectly</w:t>
      </w:r>
      <w:proofErr w:type="spellEnd"/>
    </w:p>
    <w:p w14:paraId="7C556EE7" w14:textId="77777777" w:rsidR="00A64224" w:rsidRDefault="00A64224" w:rsidP="00D86569">
      <w:pPr>
        <w:spacing w:line="240" w:lineRule="auto"/>
      </w:pPr>
    </w:p>
    <w:sectPr w:rsidR="00A6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25E8"/>
    <w:multiLevelType w:val="multilevel"/>
    <w:tmpl w:val="D4A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4CF1"/>
    <w:multiLevelType w:val="multilevel"/>
    <w:tmpl w:val="F21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808E6"/>
    <w:multiLevelType w:val="multilevel"/>
    <w:tmpl w:val="399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D4A67"/>
    <w:multiLevelType w:val="multilevel"/>
    <w:tmpl w:val="104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751D3"/>
    <w:multiLevelType w:val="multilevel"/>
    <w:tmpl w:val="9FB8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138F4"/>
    <w:multiLevelType w:val="multilevel"/>
    <w:tmpl w:val="3CF4C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011A0"/>
    <w:multiLevelType w:val="multilevel"/>
    <w:tmpl w:val="966A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B702C"/>
    <w:multiLevelType w:val="multilevel"/>
    <w:tmpl w:val="34F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074B2"/>
    <w:multiLevelType w:val="multilevel"/>
    <w:tmpl w:val="593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960F3"/>
    <w:multiLevelType w:val="multilevel"/>
    <w:tmpl w:val="07C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1549"/>
    <w:multiLevelType w:val="multilevel"/>
    <w:tmpl w:val="991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9008">
    <w:abstractNumId w:val="6"/>
  </w:num>
  <w:num w:numId="2" w16cid:durableId="863396709">
    <w:abstractNumId w:val="4"/>
  </w:num>
  <w:num w:numId="3" w16cid:durableId="724450361">
    <w:abstractNumId w:val="5"/>
  </w:num>
  <w:num w:numId="4" w16cid:durableId="728385740">
    <w:abstractNumId w:val="0"/>
  </w:num>
  <w:num w:numId="5" w16cid:durableId="382219117">
    <w:abstractNumId w:val="9"/>
  </w:num>
  <w:num w:numId="6" w16cid:durableId="2069761860">
    <w:abstractNumId w:val="1"/>
  </w:num>
  <w:num w:numId="7" w16cid:durableId="376854706">
    <w:abstractNumId w:val="3"/>
  </w:num>
  <w:num w:numId="8" w16cid:durableId="1859274818">
    <w:abstractNumId w:val="10"/>
  </w:num>
  <w:num w:numId="9" w16cid:durableId="41946952">
    <w:abstractNumId w:val="2"/>
  </w:num>
  <w:num w:numId="10" w16cid:durableId="1197040739">
    <w:abstractNumId w:val="7"/>
  </w:num>
  <w:num w:numId="11" w16cid:durableId="106119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B8"/>
    <w:rsid w:val="00074DC5"/>
    <w:rsid w:val="000A15E9"/>
    <w:rsid w:val="000C62D3"/>
    <w:rsid w:val="000C7395"/>
    <w:rsid w:val="00182771"/>
    <w:rsid w:val="001B0B93"/>
    <w:rsid w:val="001C34B8"/>
    <w:rsid w:val="00407883"/>
    <w:rsid w:val="00525D8F"/>
    <w:rsid w:val="005E79C8"/>
    <w:rsid w:val="007939F6"/>
    <w:rsid w:val="007D7DDC"/>
    <w:rsid w:val="008B50F9"/>
    <w:rsid w:val="00986C86"/>
    <w:rsid w:val="00996BCC"/>
    <w:rsid w:val="00A64224"/>
    <w:rsid w:val="00CD11EC"/>
    <w:rsid w:val="00D86569"/>
    <w:rsid w:val="00DA40DA"/>
    <w:rsid w:val="00DC44A1"/>
    <w:rsid w:val="00DD4590"/>
    <w:rsid w:val="00E93185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D9B"/>
  <w15:chartTrackingRefBased/>
  <w15:docId w15:val="{79829360-93C5-B14F-9429-F2F436A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C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Owor, Robert S.</dc:creator>
  <cp:keywords/>
  <dc:description/>
  <cp:lastModifiedBy>Abimereki Muzaale</cp:lastModifiedBy>
  <cp:revision>5</cp:revision>
  <dcterms:created xsi:type="dcterms:W3CDTF">2025-03-21T13:03:00Z</dcterms:created>
  <dcterms:modified xsi:type="dcterms:W3CDTF">2025-03-21T13:04:00Z</dcterms:modified>
</cp:coreProperties>
</file>