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B7046" w14:textId="77777777" w:rsidR="00A64224" w:rsidRPr="00DC44A1" w:rsidRDefault="00A64224" w:rsidP="00D86569">
      <w:pPr>
        <w:spacing w:line="240" w:lineRule="auto"/>
        <w:rPr>
          <w:rFonts w:ascii="Helvetica" w:eastAsia="Times New Roman" w:hAnsi="Helvetica" w:cs="Helvetica"/>
          <w:b/>
          <w:bCs/>
          <w:color w:val="000000"/>
          <w:kern w:val="0"/>
          <w:sz w:val="22"/>
          <w:szCs w:val="22"/>
          <w14:ligatures w14:val="none"/>
        </w:rPr>
      </w:pPr>
      <w:r w:rsidRPr="00DC44A1">
        <w:rPr>
          <w:rFonts w:ascii="Helvetica" w:eastAsia="Times New Roman" w:hAnsi="Helvetica" w:cs="Helvetica"/>
          <w:b/>
          <w:bCs/>
          <w:color w:val="000000"/>
          <w:kern w:val="0"/>
          <w:sz w:val="22"/>
          <w:szCs w:val="22"/>
          <w14:ligatures w14:val="none"/>
        </w:rPr>
        <w:t>MEMORANDUM</w:t>
      </w:r>
    </w:p>
    <w:p w14:paraId="5ECEDDFB" w14:textId="4D7645D6" w:rsidR="00A64224" w:rsidRDefault="00A64224" w:rsidP="00D86569">
      <w:pPr>
        <w:pBdr>
          <w:bottom w:val="single" w:sz="6" w:space="1" w:color="auto"/>
        </w:pBdr>
        <w:spacing w:line="240" w:lineRule="auto"/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</w:pP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 xml:space="preserve">To: Nick </w:t>
      </w:r>
      <w:proofErr w:type="spellStart"/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Allardice</w:t>
      </w:r>
      <w:proofErr w:type="spellEnd"/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, CEO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>From: Sarah Kayongo, VP of Programs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>Date: March 21, 2025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 xml:space="preserve">Subject: </w:t>
      </w:r>
      <w:r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Immediate Actions &amp; Long-Term Safeguarding Reforms – DRC Incident Follow-up</w:t>
      </w:r>
    </w:p>
    <w:p w14:paraId="7D200917" w14:textId="77777777" w:rsidR="00DA40DA" w:rsidRPr="00C02743" w:rsidRDefault="00DA40DA" w:rsidP="00D86569">
      <w:pPr>
        <w:spacing w:line="240" w:lineRule="auto"/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</w:pPr>
    </w:p>
    <w:p w14:paraId="78BA6A18" w14:textId="1A2C6E6C" w:rsidR="001C34B8" w:rsidRPr="000C62D3" w:rsidRDefault="001C34B8" w:rsidP="00BF47D3">
      <w:pPr>
        <w:pStyle w:val="NormalWeb"/>
        <w:numPr>
          <w:ilvl w:val="0"/>
          <w:numId w:val="12"/>
        </w:numPr>
        <w:rPr>
          <w:b/>
          <w:bCs/>
          <w:color w:val="000000"/>
        </w:rPr>
      </w:pPr>
      <w:r w:rsidRPr="000C62D3">
        <w:rPr>
          <w:b/>
          <w:bCs/>
          <w:color w:val="000000"/>
        </w:rPr>
        <w:t>Goals:</w:t>
      </w:r>
    </w:p>
    <w:p w14:paraId="228512D5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Prioritize safeguarding and protection of potential victims.</w:t>
      </w:r>
    </w:p>
    <w:p w14:paraId="66302F72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Maintain organizational integrity and transparency.</w:t>
      </w:r>
    </w:p>
    <w:p w14:paraId="61991FD9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Prevent escalation of risks and maintain stakeholder trust.</w:t>
      </w:r>
    </w:p>
    <w:p w14:paraId="4A67B633" w14:textId="77777777" w:rsidR="001C34B8" w:rsidRDefault="001C34B8" w:rsidP="00D86569">
      <w:pPr>
        <w:pStyle w:val="NormalWeb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Ensure accountability and continuous learning.</w:t>
      </w:r>
    </w:p>
    <w:p w14:paraId="07C5B1BA" w14:textId="4674FC50" w:rsidR="001C34B8" w:rsidRPr="000C62D3" w:rsidRDefault="001C34B8" w:rsidP="00BF47D3">
      <w:pPr>
        <w:pStyle w:val="NormalWeb"/>
        <w:numPr>
          <w:ilvl w:val="0"/>
          <w:numId w:val="12"/>
        </w:numPr>
        <w:rPr>
          <w:b/>
          <w:bCs/>
          <w:color w:val="000000"/>
        </w:rPr>
      </w:pPr>
      <w:r w:rsidRPr="000C62D3">
        <w:rPr>
          <w:b/>
          <w:bCs/>
          <w:color w:val="000000"/>
        </w:rPr>
        <w:t>Process and Steps:</w:t>
      </w:r>
    </w:p>
    <w:p w14:paraId="463FCEF6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1: Immediate Acknowledgement and Transparent Internal Communication</w:t>
      </w:r>
    </w:p>
    <w:p w14:paraId="18F39B85" w14:textId="77777777" w:rsidR="001C34B8" w:rsidRDefault="001C34B8" w:rsidP="00BF47D3">
      <w:pPr>
        <w:pStyle w:val="NormalWeb"/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Convene an urgent crisis management meeting involving key leadership:</w:t>
      </w:r>
    </w:p>
    <w:p w14:paraId="54A20339" w14:textId="77777777" w:rsidR="001C34B8" w:rsidRDefault="001C34B8" w:rsidP="00BF47D3">
      <w:pPr>
        <w:pStyle w:val="NormalWeb"/>
        <w:numPr>
          <w:ilvl w:val="1"/>
          <w:numId w:val="4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Global Safeguarding Team</w:t>
      </w:r>
    </w:p>
    <w:p w14:paraId="66628D9A" w14:textId="77777777" w:rsidR="001C34B8" w:rsidRDefault="001C34B8" w:rsidP="00BF47D3">
      <w:pPr>
        <w:pStyle w:val="NormalWeb"/>
        <w:numPr>
          <w:ilvl w:val="1"/>
          <w:numId w:val="4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Country Director for DRC</w:t>
      </w:r>
    </w:p>
    <w:p w14:paraId="6DDF3C5C" w14:textId="77777777" w:rsidR="001C34B8" w:rsidRDefault="001C34B8" w:rsidP="00BF47D3">
      <w:pPr>
        <w:pStyle w:val="NormalWeb"/>
        <w:numPr>
          <w:ilvl w:val="1"/>
          <w:numId w:val="4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Legal Counsel</w:t>
      </w:r>
    </w:p>
    <w:p w14:paraId="281B9973" w14:textId="77777777" w:rsidR="001C34B8" w:rsidRDefault="001C34B8" w:rsidP="00BF47D3">
      <w:pPr>
        <w:pStyle w:val="NormalWeb"/>
        <w:numPr>
          <w:ilvl w:val="1"/>
          <w:numId w:val="4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HR and Security Teams</w:t>
      </w:r>
    </w:p>
    <w:p w14:paraId="45DA865A" w14:textId="77777777" w:rsidR="001C34B8" w:rsidRDefault="001C34B8" w:rsidP="00BF47D3">
      <w:pPr>
        <w:pStyle w:val="NormalWeb"/>
        <w:numPr>
          <w:ilvl w:val="1"/>
          <w:numId w:val="4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Communications Lead</w:t>
      </w:r>
    </w:p>
    <w:p w14:paraId="6B60FFA9" w14:textId="77777777" w:rsidR="001C34B8" w:rsidRDefault="001C34B8" w:rsidP="00BF47D3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Clearly state the allegations internally and document all known facts.</w:t>
      </w:r>
    </w:p>
    <w:p w14:paraId="033CF5DA" w14:textId="77777777" w:rsidR="001C34B8" w:rsidRDefault="001C34B8" w:rsidP="00BF47D3">
      <w:pPr>
        <w:pStyle w:val="NormalWeb"/>
        <w:numPr>
          <w:ilvl w:val="0"/>
          <w:numId w:val="4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Communicate to senior stakeholders that an investigation is underway.</w:t>
      </w:r>
    </w:p>
    <w:p w14:paraId="54B05E9F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2: Assemble a Crisis Response Taskforce</w:t>
      </w:r>
    </w:p>
    <w:p w14:paraId="0D2ADCF9" w14:textId="77777777" w:rsidR="001C34B8" w:rsidRDefault="001C34B8" w:rsidP="00BF47D3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Team composition:</w:t>
      </w:r>
    </w:p>
    <w:p w14:paraId="406BF374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Safeguarding Team Lead (oversight)</w:t>
      </w:r>
    </w:p>
    <w:p w14:paraId="08678F6C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Legal Counsel (adherence to laws)</w:t>
      </w:r>
    </w:p>
    <w:p w14:paraId="07F5D364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Regional Director (local leadership)</w:t>
      </w:r>
    </w:p>
    <w:p w14:paraId="7CBB5CCB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Independent Investigator (external party, if feasible)</w:t>
      </w:r>
    </w:p>
    <w:p w14:paraId="3AE3E42A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Communications Officer (managing stakeholder narratives)</w:t>
      </w:r>
    </w:p>
    <w:p w14:paraId="53B4E205" w14:textId="77777777" w:rsidR="001C34B8" w:rsidRDefault="001C34B8" w:rsidP="00BF47D3">
      <w:pPr>
        <w:pStyle w:val="NormalWeb"/>
        <w:numPr>
          <w:ilvl w:val="0"/>
          <w:numId w:val="5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Division of responsibilities:</w:t>
      </w:r>
    </w:p>
    <w:p w14:paraId="5D4FAD96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Safeguarding team: Define the scope of investigation.</w:t>
      </w:r>
    </w:p>
    <w:p w14:paraId="54C3302D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Legal: Ensure compliance with DRC laws and international safeguarding protocols.</w:t>
      </w:r>
    </w:p>
    <w:p w14:paraId="5F1C22A3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Regional Director: Liaise with local authorities and community leaders.</w:t>
      </w:r>
    </w:p>
    <w:p w14:paraId="55699D75" w14:textId="77777777" w:rsidR="001C34B8" w:rsidRDefault="001C34B8" w:rsidP="00BF47D3">
      <w:pPr>
        <w:pStyle w:val="NormalWeb"/>
        <w:numPr>
          <w:ilvl w:val="1"/>
          <w:numId w:val="5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Communications: Prepare holding statements and updates.</w:t>
      </w:r>
    </w:p>
    <w:p w14:paraId="4FCA6DF7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3: Remote Investigation Strategy</w:t>
      </w:r>
    </w:p>
    <w:p w14:paraId="23E97C1E" w14:textId="77777777" w:rsidR="001C34B8" w:rsidRDefault="001C34B8" w:rsidP="00BF47D3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lastRenderedPageBreak/>
        <w:t>Since physical presence is limited by conflict, deploy remote investigation methods:</w:t>
      </w:r>
    </w:p>
    <w:p w14:paraId="4F4B4724" w14:textId="77777777" w:rsidR="001C34B8" w:rsidRDefault="001C34B8" w:rsidP="00BF47D3">
      <w:pPr>
        <w:pStyle w:val="NormalWeb"/>
        <w:numPr>
          <w:ilvl w:val="1"/>
          <w:numId w:val="6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Set up anonymous reporting hotlines and encrypted messaging lines for whistleblowers.</w:t>
      </w:r>
    </w:p>
    <w:p w14:paraId="15F50B6B" w14:textId="77777777" w:rsidR="001C34B8" w:rsidRDefault="001C34B8" w:rsidP="00BF47D3">
      <w:pPr>
        <w:pStyle w:val="NormalWeb"/>
        <w:numPr>
          <w:ilvl w:val="1"/>
          <w:numId w:val="6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Engage local NGOs or trusted partners to gather verified field data.</w:t>
      </w:r>
    </w:p>
    <w:p w14:paraId="74C3CB74" w14:textId="77777777" w:rsidR="001C34B8" w:rsidRDefault="001C34B8" w:rsidP="00BF47D3">
      <w:pPr>
        <w:pStyle w:val="NormalWeb"/>
        <w:numPr>
          <w:ilvl w:val="1"/>
          <w:numId w:val="6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Use satellite-based monitoring and community contact verification.</w:t>
      </w:r>
    </w:p>
    <w:p w14:paraId="16611B34" w14:textId="77777777" w:rsidR="001C34B8" w:rsidRDefault="001C34B8" w:rsidP="00BF47D3">
      <w:pPr>
        <w:pStyle w:val="NormalWeb"/>
        <w:numPr>
          <w:ilvl w:val="0"/>
          <w:numId w:val="6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Contract an independent safeguarding consultancy with DRC field knowledge.</w:t>
      </w:r>
    </w:p>
    <w:p w14:paraId="265D4952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4: External Stakeholder Communication</w:t>
      </w:r>
    </w:p>
    <w:p w14:paraId="63D2A7CD" w14:textId="77777777" w:rsidR="001C34B8" w:rsidRDefault="001C34B8" w:rsidP="00BF47D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Prepare a transparent but cautious communication strategy for:</w:t>
      </w:r>
    </w:p>
    <w:p w14:paraId="237C5B96" w14:textId="77777777" w:rsidR="001C34B8" w:rsidRDefault="001C34B8" w:rsidP="00BF47D3">
      <w:pPr>
        <w:pStyle w:val="NormalWeb"/>
        <w:numPr>
          <w:ilvl w:val="1"/>
          <w:numId w:val="7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Donors (e.g., USAID, foundations)</w:t>
      </w:r>
    </w:p>
    <w:p w14:paraId="74D2437C" w14:textId="77777777" w:rsidR="001C34B8" w:rsidRDefault="001C34B8" w:rsidP="00BF47D3">
      <w:pPr>
        <w:pStyle w:val="NormalWeb"/>
        <w:numPr>
          <w:ilvl w:val="1"/>
          <w:numId w:val="7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Local government officials</w:t>
      </w:r>
    </w:p>
    <w:p w14:paraId="4173DC84" w14:textId="77777777" w:rsidR="001C34B8" w:rsidRDefault="001C34B8" w:rsidP="00BF47D3">
      <w:pPr>
        <w:pStyle w:val="NormalWeb"/>
        <w:numPr>
          <w:ilvl w:val="1"/>
          <w:numId w:val="7"/>
        </w:numPr>
        <w:tabs>
          <w:tab w:val="clear" w:pos="1440"/>
          <w:tab w:val="num" w:pos="1800"/>
        </w:tabs>
        <w:ind w:left="2160"/>
        <w:rPr>
          <w:color w:val="000000"/>
        </w:rPr>
      </w:pPr>
      <w:r>
        <w:rPr>
          <w:color w:val="000000"/>
        </w:rPr>
        <w:t>Community leaders and local civil society organizations</w:t>
      </w:r>
    </w:p>
    <w:p w14:paraId="14DF8028" w14:textId="77777777" w:rsidR="001C34B8" w:rsidRDefault="001C34B8" w:rsidP="00BF47D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Use apology and corrective action language over denial.</w:t>
      </w:r>
    </w:p>
    <w:p w14:paraId="5D444DF4" w14:textId="77777777" w:rsidR="001C34B8" w:rsidRDefault="001C34B8" w:rsidP="00BF47D3">
      <w:pPr>
        <w:pStyle w:val="NormalWeb"/>
        <w:numPr>
          <w:ilvl w:val="0"/>
          <w:numId w:val="7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Commit publicly to a timeline for investigation updates.</w:t>
      </w:r>
    </w:p>
    <w:p w14:paraId="206F7829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5: Risk Mitigation Actions</w:t>
      </w:r>
    </w:p>
    <w:p w14:paraId="6F6193A9" w14:textId="77777777" w:rsidR="001C34B8" w:rsidRDefault="001C34B8" w:rsidP="00BF47D3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Freeze new enrollments in the DRC program pending outcome of the investigation.</w:t>
      </w:r>
    </w:p>
    <w:p w14:paraId="0D6AA146" w14:textId="77777777" w:rsidR="001C34B8" w:rsidRDefault="001C34B8" w:rsidP="00BF47D3">
      <w:pPr>
        <w:pStyle w:val="NormalWeb"/>
        <w:numPr>
          <w:ilvl w:val="0"/>
          <w:numId w:val="8"/>
        </w:numPr>
        <w:tabs>
          <w:tab w:val="clear" w:pos="720"/>
          <w:tab w:val="num" w:pos="1080"/>
        </w:tabs>
        <w:ind w:left="1440"/>
        <w:rPr>
          <w:color w:val="000000"/>
        </w:rPr>
      </w:pPr>
      <w:r>
        <w:rPr>
          <w:color w:val="000000"/>
        </w:rPr>
        <w:t>Re-screen all enrolled recipients for validity and safeguarding concerns.</w:t>
      </w:r>
    </w:p>
    <w:p w14:paraId="4EB9BD0A" w14:textId="77777777" w:rsidR="001C34B8" w:rsidRDefault="001C34B8" w:rsidP="00BF47D3">
      <w:pPr>
        <w:pStyle w:val="NormalWeb"/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Temporarily redeploy senior safeguarding and security personnel to regional offices bordering DRC for oversight.</w:t>
      </w:r>
    </w:p>
    <w:p w14:paraId="469614D4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Step 6: Long-Term Governance Strengthening</w:t>
      </w:r>
    </w:p>
    <w:p w14:paraId="06A9EDF3" w14:textId="77777777" w:rsidR="001C34B8" w:rsidRDefault="001C34B8" w:rsidP="00BF47D3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Following findings, update safeguarding protocols and integrate an automated red-flag detection system into enrollment workflows.</w:t>
      </w:r>
    </w:p>
    <w:p w14:paraId="401A2A17" w14:textId="77777777" w:rsidR="001C34B8" w:rsidRDefault="001C34B8" w:rsidP="00BF47D3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Strengthen community-based verification and establish permanent whistleblower partnerships with trusted local actors.</w:t>
      </w:r>
    </w:p>
    <w:p w14:paraId="46CD91A4" w14:textId="77777777" w:rsidR="001C34B8" w:rsidRDefault="001C34B8" w:rsidP="00BF47D3">
      <w:pPr>
        <w:pStyle w:val="NormalWeb"/>
        <w:numPr>
          <w:ilvl w:val="0"/>
          <w:numId w:val="9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Develop safeguarding scenario training simulations for field staff.</w:t>
      </w:r>
    </w:p>
    <w:p w14:paraId="57591FE3" w14:textId="75765576" w:rsidR="001C34B8" w:rsidRDefault="001C34B8" w:rsidP="00BF47D3">
      <w:pPr>
        <w:pStyle w:val="NormalWeb"/>
        <w:numPr>
          <w:ilvl w:val="0"/>
          <w:numId w:val="12"/>
        </w:numPr>
        <w:rPr>
          <w:color w:val="000000"/>
        </w:rPr>
      </w:pPr>
      <w:r w:rsidRPr="000C62D3">
        <w:rPr>
          <w:b/>
          <w:bCs/>
          <w:color w:val="000000"/>
        </w:rPr>
        <w:t>Summary of Team and Responsibilities</w:t>
      </w:r>
      <w:r>
        <w:rPr>
          <w:color w:val="000000"/>
        </w:rPr>
        <w:t>:</w:t>
      </w:r>
    </w:p>
    <w:p w14:paraId="1129231B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Team Member: Safeguarding Lead Responsibility: Oversee investigation framework, coordination, and escalation process.</w:t>
      </w:r>
    </w:p>
    <w:p w14:paraId="72347BE7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Team Member: Regional Director (DRC) Responsibility: Liaison with local government and community stakeholders.</w:t>
      </w:r>
    </w:p>
    <w:p w14:paraId="6282367D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Team Member: Legal Counsel Responsibility: Ensure compliance with safeguarding law and documentation integrity.</w:t>
      </w:r>
    </w:p>
    <w:p w14:paraId="38715711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Team Member: External Investigator Responsibility: Conduct independent fact-finding and victim interviews.</w:t>
      </w:r>
    </w:p>
    <w:p w14:paraId="6F25F21A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lastRenderedPageBreak/>
        <w:t>Team Member: Communications Officer Responsibility: Manage internal and external messaging and donor updates.</w:t>
      </w:r>
    </w:p>
    <w:p w14:paraId="1DC5C1DD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Team Member: HR Team Responsibility: Support victim care, referral services, and future hiring screening.</w:t>
      </w:r>
    </w:p>
    <w:p w14:paraId="46AAFCD9" w14:textId="77777777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Team Member: Data and Tech Team Responsibility: Monitor digital reporting channels and fraud detection tools.</w:t>
      </w:r>
    </w:p>
    <w:p w14:paraId="28B2E833" w14:textId="44EFE2EC" w:rsidR="001C34B8" w:rsidRDefault="001C34B8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Conclusion</w:t>
      </w:r>
      <w:r w:rsidR="000C62D3">
        <w:rPr>
          <w:color w:val="000000"/>
        </w:rPr>
        <w:t xml:space="preserve"> of my actions</w:t>
      </w:r>
      <w:r>
        <w:rPr>
          <w:color w:val="000000"/>
        </w:rPr>
        <w:t>:</w:t>
      </w:r>
    </w:p>
    <w:p w14:paraId="7282BE6C" w14:textId="77777777" w:rsidR="001C34B8" w:rsidRDefault="001C34B8" w:rsidP="00BF47D3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Act swiftly, transparently, and with victim protection at the core.</w:t>
      </w:r>
    </w:p>
    <w:p w14:paraId="1CD02388" w14:textId="77777777" w:rsidR="001C34B8" w:rsidRDefault="001C34B8" w:rsidP="00BF47D3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Avoid denial; instead, show ownership and corrective intent.</w:t>
      </w:r>
    </w:p>
    <w:p w14:paraId="77EFDA44" w14:textId="77777777" w:rsidR="001C34B8" w:rsidRDefault="001C34B8" w:rsidP="00BF47D3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Use multi-channel communication and adapt crisis management techniques for on-the-ground realities.</w:t>
      </w:r>
    </w:p>
    <w:p w14:paraId="479555F1" w14:textId="77777777" w:rsidR="001C34B8" w:rsidRDefault="001C34B8" w:rsidP="00BF47D3">
      <w:pPr>
        <w:pStyle w:val="NormalWeb"/>
        <w:numPr>
          <w:ilvl w:val="0"/>
          <w:numId w:val="10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Embed lessons learned into GiveDirectly’s safeguarding and governance framework for future resilience.</w:t>
      </w:r>
    </w:p>
    <w:p w14:paraId="470EE67A" w14:textId="77777777" w:rsidR="001C34B8" w:rsidRPr="000C62D3" w:rsidRDefault="001C34B8" w:rsidP="00BF47D3">
      <w:pPr>
        <w:pStyle w:val="NormalWeb"/>
        <w:ind w:left="720"/>
        <w:rPr>
          <w:b/>
          <w:bCs/>
          <w:color w:val="000000"/>
        </w:rPr>
      </w:pPr>
      <w:r w:rsidRPr="000C62D3">
        <w:rPr>
          <w:b/>
          <w:bCs/>
          <w:color w:val="000000"/>
        </w:rPr>
        <w:t>References:</w:t>
      </w:r>
    </w:p>
    <w:p w14:paraId="21ACADB0" w14:textId="77777777" w:rsidR="001C34B8" w:rsidRDefault="001C34B8" w:rsidP="00BF47D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GiveDirectly DRC Case Report (2023).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https://www.givedirectly.org/drc-case-2023/</w:t>
      </w:r>
    </w:p>
    <w:p w14:paraId="78900AD5" w14:textId="77777777" w:rsidR="001C34B8" w:rsidRDefault="001C34B8" w:rsidP="00BF47D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Coombs, W. T. (2015). The value of communication during a crisis: Insights from strategic communication research. Business Horizons, 58(2), 141–148.</w:t>
      </w:r>
    </w:p>
    <w:p w14:paraId="48FC7BAC" w14:textId="77777777" w:rsidR="001C34B8" w:rsidRDefault="001C34B8" w:rsidP="00BF47D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Hale, J. E., Dulek, R. E., &amp; Hale, D. P. (2005). Crisis response communication challenges: Building theory from qualitative data. Journal of Business Communication, 42(2), 112–134.</w:t>
      </w:r>
    </w:p>
    <w:p w14:paraId="19215DB6" w14:textId="77777777" w:rsidR="001C34B8" w:rsidRDefault="001C34B8" w:rsidP="00BF47D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David, M. D., &amp; Carignan, M. (2017). Crisis communication adaptation strategies in the MM&amp;A train explosion in Lac-</w:t>
      </w:r>
      <w:proofErr w:type="spellStart"/>
      <w:r>
        <w:rPr>
          <w:color w:val="000000"/>
        </w:rPr>
        <w:t>Mégantic</w:t>
      </w:r>
      <w:proofErr w:type="spellEnd"/>
      <w:r>
        <w:rPr>
          <w:color w:val="000000"/>
        </w:rPr>
        <w:t xml:space="preserve"> downtown. Corporate Communications: An International Journal, 22(3), 369–388.</w:t>
      </w:r>
    </w:p>
    <w:p w14:paraId="3014DBFF" w14:textId="77777777" w:rsidR="001C34B8" w:rsidRDefault="001C34B8" w:rsidP="00BF47D3">
      <w:pPr>
        <w:pStyle w:val="NormalWeb"/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color w:val="000000"/>
        </w:rPr>
      </w:pPr>
      <w:r>
        <w:rPr>
          <w:color w:val="000000"/>
        </w:rPr>
        <w:t>Greenberg, J., &amp; Elliott, C. (2009). A cold cut crisis: Listeriosis, Maple Leaf Foods, and the politics of apology. Canadian Journal of Communication, 34, 189–204.</w:t>
      </w:r>
    </w:p>
    <w:p w14:paraId="159F9768" w14:textId="77777777" w:rsidR="00A64224" w:rsidRDefault="00A64224" w:rsidP="00BF47D3">
      <w:pPr>
        <w:pStyle w:val="NormalWeb"/>
        <w:ind w:left="720"/>
        <w:rPr>
          <w:color w:val="000000"/>
        </w:rPr>
      </w:pPr>
    </w:p>
    <w:p w14:paraId="0E73BF12" w14:textId="22F1142C" w:rsidR="00A64224" w:rsidRDefault="00A64224" w:rsidP="00BF47D3">
      <w:pPr>
        <w:pStyle w:val="NormalWeb"/>
        <w:ind w:left="720"/>
        <w:rPr>
          <w:color w:val="000000"/>
        </w:rPr>
      </w:pPr>
      <w:r>
        <w:rPr>
          <w:color w:val="000000"/>
        </w:rPr>
        <w:t>Thank you,</w:t>
      </w:r>
    </w:p>
    <w:p w14:paraId="0975C400" w14:textId="77777777" w:rsidR="00A64224" w:rsidRPr="00C02743" w:rsidRDefault="00A64224" w:rsidP="00BF47D3">
      <w:pPr>
        <w:spacing w:line="240" w:lineRule="auto"/>
        <w:ind w:left="720"/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</w:pPr>
      <w:r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 xml:space="preserve">Dr. 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Sarah Kayongo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  <w:t>VP of Programs</w:t>
      </w:r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br/>
      </w:r>
      <w:proofErr w:type="spellStart"/>
      <w:r w:rsidRPr="00C02743">
        <w:rPr>
          <w:rFonts w:ascii="Helvetica" w:eastAsia="Times New Roman" w:hAnsi="Helvetica" w:cs="Helvetica"/>
          <w:color w:val="000000"/>
          <w:kern w:val="0"/>
          <w:sz w:val="22"/>
          <w:szCs w:val="22"/>
          <w14:ligatures w14:val="none"/>
        </w:rPr>
        <w:t>GiveDirectly</w:t>
      </w:r>
      <w:proofErr w:type="spellEnd"/>
    </w:p>
    <w:p w14:paraId="7C556EE7" w14:textId="77777777" w:rsidR="00A64224" w:rsidRDefault="00A64224" w:rsidP="00D86569">
      <w:pPr>
        <w:spacing w:line="240" w:lineRule="auto"/>
      </w:pPr>
    </w:p>
    <w:sectPr w:rsidR="00A6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E25E8"/>
    <w:multiLevelType w:val="multilevel"/>
    <w:tmpl w:val="D4A4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444CF1"/>
    <w:multiLevelType w:val="multilevel"/>
    <w:tmpl w:val="F21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251036"/>
    <w:multiLevelType w:val="hybridMultilevel"/>
    <w:tmpl w:val="56FA35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A808E6"/>
    <w:multiLevelType w:val="multilevel"/>
    <w:tmpl w:val="3996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D4A67"/>
    <w:multiLevelType w:val="multilevel"/>
    <w:tmpl w:val="1048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751D3"/>
    <w:multiLevelType w:val="multilevel"/>
    <w:tmpl w:val="9FB8D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138F4"/>
    <w:multiLevelType w:val="multilevel"/>
    <w:tmpl w:val="3CF4C7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F011A0"/>
    <w:multiLevelType w:val="multilevel"/>
    <w:tmpl w:val="966A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CB702C"/>
    <w:multiLevelType w:val="multilevel"/>
    <w:tmpl w:val="34F63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9074B2"/>
    <w:multiLevelType w:val="multilevel"/>
    <w:tmpl w:val="5930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4960F3"/>
    <w:multiLevelType w:val="multilevel"/>
    <w:tmpl w:val="07CA0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751549"/>
    <w:multiLevelType w:val="multilevel"/>
    <w:tmpl w:val="991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989008">
    <w:abstractNumId w:val="7"/>
  </w:num>
  <w:num w:numId="2" w16cid:durableId="863396709">
    <w:abstractNumId w:val="5"/>
  </w:num>
  <w:num w:numId="3" w16cid:durableId="724450361">
    <w:abstractNumId w:val="6"/>
  </w:num>
  <w:num w:numId="4" w16cid:durableId="728385740">
    <w:abstractNumId w:val="0"/>
  </w:num>
  <w:num w:numId="5" w16cid:durableId="382219117">
    <w:abstractNumId w:val="10"/>
  </w:num>
  <w:num w:numId="6" w16cid:durableId="2069761860">
    <w:abstractNumId w:val="1"/>
  </w:num>
  <w:num w:numId="7" w16cid:durableId="376854706">
    <w:abstractNumId w:val="4"/>
  </w:num>
  <w:num w:numId="8" w16cid:durableId="1859274818">
    <w:abstractNumId w:val="11"/>
  </w:num>
  <w:num w:numId="9" w16cid:durableId="41946952">
    <w:abstractNumId w:val="3"/>
  </w:num>
  <w:num w:numId="10" w16cid:durableId="1197040739">
    <w:abstractNumId w:val="8"/>
  </w:num>
  <w:num w:numId="11" w16cid:durableId="106119087">
    <w:abstractNumId w:val="9"/>
  </w:num>
  <w:num w:numId="12" w16cid:durableId="13481426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B8"/>
    <w:rsid w:val="00074DC5"/>
    <w:rsid w:val="000A15E9"/>
    <w:rsid w:val="000C62D3"/>
    <w:rsid w:val="000C7395"/>
    <w:rsid w:val="00182771"/>
    <w:rsid w:val="001B0B93"/>
    <w:rsid w:val="001C34B8"/>
    <w:rsid w:val="00407883"/>
    <w:rsid w:val="00525D8F"/>
    <w:rsid w:val="005E79C8"/>
    <w:rsid w:val="007939F6"/>
    <w:rsid w:val="007D7DDC"/>
    <w:rsid w:val="008B50F9"/>
    <w:rsid w:val="00986C86"/>
    <w:rsid w:val="00996BCC"/>
    <w:rsid w:val="00A64224"/>
    <w:rsid w:val="00BF47D3"/>
    <w:rsid w:val="00CD11EC"/>
    <w:rsid w:val="00D86569"/>
    <w:rsid w:val="00DA40DA"/>
    <w:rsid w:val="00DC44A1"/>
    <w:rsid w:val="00DD4590"/>
    <w:rsid w:val="00E93185"/>
    <w:rsid w:val="00FD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D9B"/>
  <w15:chartTrackingRefBased/>
  <w15:docId w15:val="{79829360-93C5-B14F-9429-F2F436A10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B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C3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1C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56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719</Words>
  <Characters>4101</Characters>
  <Application>Microsoft Office Word</Application>
  <DocSecurity>0</DocSecurity>
  <Lines>34</Lines>
  <Paragraphs>9</Paragraphs>
  <ScaleCrop>false</ScaleCrop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Owor, Robert S.</dc:creator>
  <cp:keywords/>
  <dc:description/>
  <cp:lastModifiedBy>Abimereki Muzaale</cp:lastModifiedBy>
  <cp:revision>2</cp:revision>
  <dcterms:created xsi:type="dcterms:W3CDTF">2025-03-21T21:56:00Z</dcterms:created>
  <dcterms:modified xsi:type="dcterms:W3CDTF">2025-03-21T21:56:00Z</dcterms:modified>
</cp:coreProperties>
</file>