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-993" w:right="-994"/>
        <w:jc w:val="both"/>
      </w:pPr>
      <w:r>
        <w:rPr>
          <w:b/>
          <w:smallCaps/>
        </w:rPr>
        <w:t>DRCE/DSF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Janvier 2009</w:t>
      </w:r>
    </w:p>
    <w:p>
      <w:pPr>
        <w:pStyle w:val="style0"/>
        <w:ind w:hanging="0" w:left="-993" w:right="-994"/>
        <w:jc w:val="center"/>
      </w:pPr>
      <w:r>
        <w:rPr>
          <w:b/>
          <w:smallCaps/>
          <w:color w:val="0000FF"/>
        </w:rPr>
      </w:r>
    </w:p>
    <w:p>
      <w:pPr>
        <w:pStyle w:val="style0"/>
        <w:ind w:hanging="0" w:left="-993" w:right="-994"/>
        <w:jc w:val="center"/>
      </w:pPr>
      <w:r>
        <w:rPr>
          <w:b/>
          <w:smallCaps/>
          <w:color w:val="0000FF"/>
          <w:sz w:val="28"/>
          <w:szCs w:val="28"/>
        </w:rPr>
        <w:t xml:space="preserve">Le crédit d’impôt pour dépenses </w:t>
      </w:r>
    </w:p>
    <w:p>
      <w:pPr>
        <w:pStyle w:val="style0"/>
        <w:ind w:hanging="0" w:left="-993" w:right="-994"/>
        <w:jc w:val="center"/>
      </w:pPr>
      <w:r>
        <w:rPr>
          <w:b/>
          <w:smallCaps/>
          <w:color w:val="0000FF"/>
          <w:sz w:val="28"/>
          <w:szCs w:val="28"/>
        </w:rPr>
        <w:t>de prospection commerciale</w:t>
      </w:r>
      <w:r>
        <w:rPr>
          <w:rStyle w:val="style21"/>
          <w:rStyle w:val="style28"/>
          <w:b/>
          <w:smallCaps/>
          <w:color w:val="0000FF"/>
          <w:sz w:val="28"/>
          <w:szCs w:val="28"/>
        </w:rPr>
        <w:footnoteReference w:id="2"/>
      </w:r>
    </w:p>
    <w:p>
      <w:pPr>
        <w:pStyle w:val="style0"/>
        <w:ind w:hanging="0" w:left="-993" w:right="-994"/>
        <w:jc w:val="center"/>
      </w:pPr>
      <w:r>
        <w:rPr>
          <w:b/>
          <w:color w:val="0000FF"/>
          <w:sz w:val="16"/>
          <w:szCs w:val="16"/>
        </w:rPr>
      </w:r>
    </w:p>
    <w:p>
      <w:pPr>
        <w:pStyle w:val="style0"/>
        <w:ind w:hanging="0" w:left="-993" w:right="-994"/>
        <w:jc w:val="center"/>
      </w:pPr>
      <w:r>
        <w:rPr>
          <w:b/>
          <w:color w:val="0000FF"/>
          <w:sz w:val="24"/>
          <w:szCs w:val="24"/>
        </w:rPr>
        <w:t>Article 244 quater H du Code Général des Impôts</w:t>
      </w:r>
    </w:p>
    <w:p>
      <w:pPr>
        <w:pStyle w:val="style38"/>
        <w:ind w:hanging="0" w:left="-993" w:right="-994"/>
        <w:jc w:val="center"/>
      </w:pPr>
      <w:r>
        <w:rPr>
          <w:sz w:val="16"/>
          <w:szCs w:val="16"/>
        </w:rPr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true"/>
        </w:trPr>
        <w:tc>
          <w:tcPr>
            <w:tcW w:type="dxa" w:w="11078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4"/>
              <w:numPr>
                <w:ilvl w:val="3"/>
                <w:numId w:val="1"/>
              </w:numPr>
              <w:snapToGrid w:val="false"/>
            </w:pPr>
            <w:r>
              <w:rPr>
                <w:color w:val="0000FF"/>
                <w:szCs w:val="24"/>
              </w:rPr>
              <w:t>Qu’est-ce qu’un crédit d’impôt ?</w:t>
            </w:r>
          </w:p>
        </w:tc>
      </w:tr>
      <w:tr>
        <w:trPr>
          <w:cantSplit w:val="true"/>
        </w:trPr>
        <w:tc>
          <w:tcPr>
            <w:tcW w:type="dxa" w:w="11078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5"/>
              <w:numPr>
                <w:ilvl w:val="4"/>
                <w:numId w:val="1"/>
              </w:numPr>
              <w:snapToGrid w:val="false"/>
            </w:pPr>
            <w:r>
              <w:rPr>
                <w:sz w:val="22"/>
                <w:szCs w:val="22"/>
              </w:rPr>
              <w:t>C’est une créance sur le Trésor Public, déductible de l’impôt exigible</w:t>
            </w:r>
          </w:p>
        </w:tc>
      </w:tr>
      <w:tr>
        <w:trPr>
          <w:cantSplit w:val="false"/>
        </w:trPr>
        <w:tc>
          <w:tcPr>
            <w:tcW w:type="dxa" w:w="1107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sz w:val="22"/>
                <w:szCs w:val="22"/>
              </w:rPr>
              <w:t>L’excédent de crédit non imputé est restitué au contribuable par l’administration fiscale</w:t>
            </w:r>
          </w:p>
        </w:tc>
      </w:tr>
    </w:tbl>
    <w:p>
      <w:pPr>
        <w:pStyle w:val="style38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true"/>
        </w:trPr>
        <w:tc>
          <w:tcPr>
            <w:tcW w:type="dxa" w:w="11078"/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4"/>
              <w:numPr>
                <w:ilvl w:val="3"/>
                <w:numId w:val="1"/>
              </w:numPr>
              <w:snapToGrid w:val="false"/>
            </w:pPr>
            <w:r>
              <w:rPr>
                <w:color w:val="0000FF"/>
                <w:szCs w:val="24"/>
              </w:rPr>
              <w:t>Quel montant ?</w:t>
            </w:r>
          </w:p>
        </w:tc>
      </w:tr>
      <w:tr>
        <w:trPr>
          <w:cantSplit w:val="true"/>
        </w:trPr>
        <w:tc>
          <w:tcPr>
            <w:tcW w:type="dxa" w:w="11078"/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sz w:val="22"/>
                <w:szCs w:val="22"/>
              </w:rPr>
              <w:t>50 %</w:t>
            </w:r>
            <w:r>
              <w:rPr>
                <w:sz w:val="22"/>
                <w:szCs w:val="22"/>
              </w:rPr>
              <w:t xml:space="preserve"> des dépenses de prospection exposées par l’entreprise pendant 24 mois à partir de la date d'embauche</w:t>
            </w:r>
          </w:p>
        </w:tc>
      </w:tr>
      <w:tr>
        <w:trPr>
          <w:cantSplit w:val="true"/>
        </w:trPr>
        <w:tc>
          <w:tcPr>
            <w:tcW w:type="dxa" w:w="11078"/>
            <w:gridSpan w:val="2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sz w:val="22"/>
                <w:szCs w:val="22"/>
              </w:rPr>
              <w:t xml:space="preserve">d’une personne affectée au développement des exportations </w:t>
            </w:r>
            <w:r>
              <w:rPr>
                <w:b/>
                <w:sz w:val="22"/>
                <w:szCs w:val="22"/>
              </w:rPr>
              <w:t>dans la limite de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spacing w:after="0" w:before="120"/>
              <w:jc w:val="center"/>
            </w:pPr>
            <w:r>
              <w:rPr>
                <w:b/>
                <w:sz w:val="22"/>
                <w:szCs w:val="22"/>
              </w:rPr>
              <w:t>40 000 €</w:t>
            </w:r>
            <w:r>
              <w:rPr>
                <w:sz w:val="22"/>
                <w:szCs w:val="22"/>
              </w:rPr>
              <w:t xml:space="preserve"> pour :</w:t>
            </w:r>
          </w:p>
          <w:p>
            <w:pPr>
              <w:pStyle w:val="style0"/>
              <w:numPr>
                <w:ilvl w:val="0"/>
                <w:numId w:val="3"/>
              </w:numPr>
              <w:ind w:hanging="284" w:left="284" w:right="0"/>
            </w:pPr>
            <w:r>
              <w:rPr>
                <w:sz w:val="22"/>
                <w:szCs w:val="22"/>
              </w:rPr>
              <w:t>les PME</w:t>
            </w:r>
          </w:p>
          <w:p>
            <w:pPr>
              <w:pStyle w:val="style0"/>
              <w:numPr>
                <w:ilvl w:val="0"/>
                <w:numId w:val="3"/>
              </w:numPr>
              <w:ind w:hanging="284" w:left="284" w:right="0"/>
            </w:pPr>
            <w:r>
              <w:rPr>
                <w:sz w:val="22"/>
                <w:szCs w:val="22"/>
              </w:rPr>
              <w:t xml:space="preserve">les </w:t>
            </w:r>
            <w:r>
              <w:rPr>
                <w:sz w:val="22"/>
                <w:szCs w:val="22"/>
                <w:u w:val="single"/>
              </w:rPr>
              <w:t>sociétés</w:t>
            </w:r>
            <w:r>
              <w:rPr>
                <w:sz w:val="22"/>
                <w:szCs w:val="22"/>
              </w:rPr>
              <w:t xml:space="preserve"> de professions libérales soumises à un </w:t>
            </w:r>
            <w:r>
              <w:rPr>
                <w:sz w:val="22"/>
                <w:szCs w:val="22"/>
                <w:u w:val="single"/>
              </w:rPr>
              <w:t>statut</w:t>
            </w:r>
            <w:r>
              <w:rPr>
                <w:sz w:val="22"/>
                <w:szCs w:val="22"/>
              </w:rPr>
              <w:t xml:space="preserve"> législatif ou réglementaire ou dont le titre est protégé</w:t>
            </w:r>
            <w:r>
              <w:rPr>
                <w:rStyle w:val="style21"/>
                <w:rStyle w:val="style28"/>
                <w:sz w:val="22"/>
                <w:szCs w:val="22"/>
              </w:rPr>
              <w:footnoteReference w:id="3"/>
            </w:r>
          </w:p>
          <w:p>
            <w:pPr>
              <w:pStyle w:val="style0"/>
              <w:numPr>
                <w:ilvl w:val="0"/>
                <w:numId w:val="3"/>
              </w:numPr>
              <w:ind w:hanging="284" w:left="284" w:right="0"/>
            </w:pPr>
            <w:r>
              <w:rPr>
                <w:sz w:val="22"/>
                <w:szCs w:val="22"/>
              </w:rPr>
              <w:t>les sociétés de participations financières de professions libérales</w:t>
            </w:r>
            <w:r>
              <w:rPr>
                <w:rStyle w:val="style21"/>
                <w:rStyle w:val="style28"/>
                <w:sz w:val="22"/>
                <w:szCs w:val="22"/>
              </w:rPr>
              <w:footnoteReference w:id="4"/>
            </w:r>
          </w:p>
        </w:tc>
        <w:tc>
          <w:tcPr>
            <w:tcW w:type="dxa" w:w="540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spacing w:after="0" w:before="120"/>
              <w:jc w:val="center"/>
            </w:pPr>
            <w:r>
              <w:rPr>
                <w:b/>
                <w:sz w:val="22"/>
                <w:szCs w:val="22"/>
              </w:rPr>
              <w:t>80 000 €</w:t>
            </w:r>
            <w:r>
              <w:rPr>
                <w:sz w:val="22"/>
                <w:szCs w:val="22"/>
              </w:rPr>
              <w:t xml:space="preserve"> pour :</w:t>
            </w:r>
          </w:p>
          <w:p>
            <w:pPr>
              <w:pStyle w:val="style0"/>
              <w:numPr>
                <w:ilvl w:val="0"/>
                <w:numId w:val="4"/>
              </w:numPr>
              <w:ind w:hanging="284" w:left="284" w:right="0"/>
            </w:pPr>
            <w:r>
              <w:rPr>
                <w:sz w:val="22"/>
                <w:szCs w:val="22"/>
              </w:rPr>
              <w:t>les associations soumises à l’impôt sur les sociétés</w:t>
            </w:r>
          </w:p>
          <w:p>
            <w:pPr>
              <w:pStyle w:val="style0"/>
              <w:numPr>
                <w:ilvl w:val="0"/>
                <w:numId w:val="4"/>
              </w:numPr>
              <w:ind w:hanging="284" w:left="284" w:right="0"/>
            </w:pPr>
            <w:r>
              <w:rPr>
                <w:sz w:val="22"/>
                <w:szCs w:val="22"/>
              </w:rPr>
              <w:t>les groupements d’intérêt économique (G.I.E.) regroupant des PME</w:t>
            </w:r>
          </w:p>
          <w:p>
            <w:pPr>
              <w:pStyle w:val="style0"/>
            </w:pPr>
            <w:r>
              <w:rPr>
                <w:sz w:val="22"/>
                <w:szCs w:val="22"/>
              </w:rPr>
              <w:t>satisfaisant aux critères définissant les PME</w:t>
            </w:r>
          </w:p>
        </w:tc>
      </w:tr>
    </w:tbl>
    <w:p>
      <w:pPr>
        <w:pStyle w:val="style38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true"/>
        </w:trPr>
        <w:tc>
          <w:tcPr>
            <w:tcW w:type="dxa" w:w="11078"/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4"/>
              <w:numPr>
                <w:ilvl w:val="3"/>
                <w:numId w:val="1"/>
              </w:numPr>
              <w:snapToGrid w:val="false"/>
            </w:pPr>
            <w:r>
              <w:rPr>
                <w:color w:val="0000FF"/>
                <w:szCs w:val="24"/>
              </w:rPr>
              <w:t>Qu’est-ce qu’une P.M.E. pour le bénéfice du crédit d’impôt ?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Elle est définie selon les critères communautaires :</w:t>
            </w:r>
          </w:p>
        </w:tc>
        <w:tc>
          <w:tcPr>
            <w:tcW w:type="dxa" w:w="5407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moins de 250 salariés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ind w:hanging="0" w:left="866" w:right="0"/>
            </w:pPr>
            <w:r>
              <w:rPr>
                <w:b/>
                <w:sz w:val="22"/>
                <w:szCs w:val="22"/>
              </w:rPr>
              <w:t>Et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i/>
                <w:sz w:val="22"/>
                <w:szCs w:val="22"/>
              </w:rPr>
              <w:t>soit</w:t>
            </w:r>
            <w:r>
              <w:rPr>
                <w:sz w:val="22"/>
                <w:szCs w:val="22"/>
              </w:rPr>
              <w:t xml:space="preserve"> chiffre d’affaires &lt; 50 M €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i/>
                <w:sz w:val="22"/>
                <w:szCs w:val="22"/>
              </w:rPr>
              <w:t>soit</w:t>
            </w:r>
            <w:r>
              <w:rPr>
                <w:sz w:val="22"/>
                <w:szCs w:val="22"/>
              </w:rPr>
              <w:t xml:space="preserve"> total du bilan &lt;43 M €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top w:color="000000" w:space="0" w:sz="4" w:val="single"/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+ une condition tenant à la détention du capital social :</w:t>
            </w:r>
          </w:p>
        </w:tc>
        <w:tc>
          <w:tcPr>
            <w:tcW w:type="dxa" w:w="540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  <w:ind w:hanging="284" w:left="284" w:right="0"/>
            </w:pPr>
            <w:r>
              <w:rPr>
                <w:sz w:val="22"/>
                <w:szCs w:val="22"/>
              </w:rPr>
              <w:t>-</w:t>
              <w:tab/>
              <w:t>au moins 75 % du capital est détenu de manière continue par :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rFonts w:ascii="Wingdings" w:cs="Wingdings" w:eastAsia="Wingdings" w:hAnsi="Wingdings"/>
                <w:sz w:val="22"/>
                <w:szCs w:val="22"/>
              </w:rPr>
              <w:t></w:t>
            </w:r>
            <w:r>
              <w:rPr>
                <w:sz w:val="22"/>
                <w:szCs w:val="22"/>
              </w:rPr>
              <w:tab/>
              <w:t>des personnes physiques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  <w:ind w:hanging="0" w:left="866" w:right="0"/>
            </w:pPr>
            <w:r>
              <w:rPr>
                <w:b/>
                <w:sz w:val="22"/>
                <w:szCs w:val="22"/>
              </w:rPr>
              <w:t>Ou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  <w:ind w:hanging="284" w:left="284" w:right="0"/>
            </w:pPr>
            <w:r>
              <w:rPr>
                <w:rFonts w:ascii="Wingdings" w:cs="Wingdings" w:eastAsia="Wingdings" w:hAnsi="Wingdings"/>
                <w:sz w:val="22"/>
                <w:szCs w:val="22"/>
              </w:rPr>
              <w:t></w:t>
            </w:r>
            <w:r>
              <w:rPr>
                <w:sz w:val="22"/>
                <w:szCs w:val="22"/>
              </w:rPr>
              <w:tab/>
              <w:t>une société « PME » dont au moins 75 % du capital est détenu par des personnes physiques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sz w:val="22"/>
                <w:szCs w:val="22"/>
              </w:rPr>
              <w:t>Une holding ?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sz w:val="22"/>
                <w:szCs w:val="22"/>
              </w:rPr>
              <w:t xml:space="preserve">oui </w:t>
            </w:r>
            <w:r>
              <w:rPr>
                <w:b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 xml:space="preserve"> un seul niveau d’interposition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54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sz w:val="22"/>
                <w:szCs w:val="22"/>
              </w:rPr>
              <w:t>+ possibilité de participation de certaines structures d’investissement, sous conditions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top w:color="000000" w:space="0" w:sz="4" w:val="single"/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+ une condition tenant à la durée de la qualité de PME :</w:t>
            </w:r>
          </w:p>
        </w:tc>
        <w:tc>
          <w:tcPr>
            <w:tcW w:type="dxa" w:w="540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sz w:val="22"/>
                <w:szCs w:val="22"/>
              </w:rPr>
              <w:t xml:space="preserve">les différents critères doivent être remplis pendant les </w:t>
            </w:r>
            <w:r>
              <w:rPr>
                <w:b/>
                <w:sz w:val="22"/>
                <w:szCs w:val="22"/>
              </w:rPr>
              <w:t>24 mois</w:t>
            </w:r>
            <w:r>
              <w:rPr>
                <w:sz w:val="22"/>
                <w:szCs w:val="22"/>
              </w:rPr>
              <w:t xml:space="preserve"> qui suivent l’embauche d’un salarié dédié ou d’un volontaire international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top w:color="000000" w:space="0" w:sz="4" w:val="single"/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2"/>
              <w:numPr>
                <w:ilvl w:val="1"/>
                <w:numId w:val="1"/>
              </w:numPr>
              <w:snapToGrid w:val="false"/>
            </w:pPr>
            <w:r>
              <w:rPr>
                <w:sz w:val="22"/>
                <w:szCs w:val="22"/>
              </w:rPr>
              <w:t>Et si groupe fiscal ?</w:t>
            </w:r>
          </w:p>
        </w:tc>
        <w:tc>
          <w:tcPr>
            <w:tcW w:type="dxa" w:w="540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Les conditions tenant à l’effectif, au chiffre d’affaires ou au bilan s’apprécient au niveau du groupe et non des sociétés membres prises individuellement</w:t>
            </w:r>
          </w:p>
        </w:tc>
        <w:tc>
          <w:tcPr>
            <w:tcW w:type="dxa" w:w="540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style0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true"/>
        </w:trPr>
        <w:tc>
          <w:tcPr>
            <w:tcW w:type="dxa" w:w="11078"/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4"/>
              <w:numPr>
                <w:ilvl w:val="3"/>
                <w:numId w:val="1"/>
              </w:numPr>
              <w:snapToGrid w:val="false"/>
            </w:pPr>
            <w:r>
              <w:rPr>
                <w:color w:val="0000FF"/>
                <w:szCs w:val="24"/>
              </w:rPr>
              <w:t>Quel régime fiscal ?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-</w:t>
              <w:tab/>
              <w:t>imposition à l’impôt sur les sociétés</w:t>
            </w:r>
          </w:p>
        </w:tc>
        <w:tc>
          <w:tcPr>
            <w:tcW w:type="dxa" w:w="540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5671"/>
            <w:tcBorders>
              <w:top w:color="000000" w:space="0" w:sz="4" w:val="single"/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-</w:t>
              <w:tab/>
              <w:t>imposition à l’impôt sur le revenu</w:t>
            </w:r>
          </w:p>
        </w:tc>
        <w:tc>
          <w:tcPr>
            <w:tcW w:type="dxa" w:w="540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snapToGrid w:val="false"/>
              <w:ind w:hanging="284" w:left="284" w:right="0"/>
            </w:pPr>
            <w:r>
              <w:rPr>
                <w:sz w:val="22"/>
                <w:szCs w:val="22"/>
              </w:rPr>
              <w:t xml:space="preserve">selon un régime </w:t>
            </w:r>
            <w:r>
              <w:rPr>
                <w:sz w:val="22"/>
                <w:szCs w:val="22"/>
                <w:u w:val="single"/>
              </w:rPr>
              <w:t>réel</w:t>
            </w:r>
            <w:r>
              <w:rPr>
                <w:sz w:val="22"/>
                <w:szCs w:val="22"/>
              </w:rPr>
              <w:t xml:space="preserve"> d’imposition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>quelle que soit la nature des revenus : bénéfices industriels et commerciaux ou agricoles ou non commerciaux</w:t>
            </w:r>
          </w:p>
        </w:tc>
      </w:tr>
      <w:tr>
        <w:trPr>
          <w:cantSplit w:val="false"/>
        </w:trPr>
        <w:tc>
          <w:tcPr>
            <w:tcW w:type="dxa" w:w="5671"/>
            <w:tcBorders>
              <w:top w:color="000000" w:space="0" w:sz="4" w:val="single"/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i/>
                <w:sz w:val="22"/>
                <w:szCs w:val="22"/>
              </w:rPr>
              <w:t>Peut-on cumuler</w:t>
            </w:r>
            <w:r>
              <w:rPr>
                <w:sz w:val="22"/>
                <w:szCs w:val="22"/>
              </w:rPr>
              <w:t xml:space="preserve"> des avantages fiscaux ?</w:t>
            </w:r>
          </w:p>
        </w:tc>
        <w:tc>
          <w:tcPr>
            <w:tcW w:type="dxa" w:w="540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5671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Cumul possible avec les exonérations temporaires d’impôt sur les bénéfices :</w:t>
            </w:r>
          </w:p>
        </w:tc>
        <w:tc>
          <w:tcPr>
            <w:tcW w:type="dxa" w:w="540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snapToGrid w:val="false"/>
              <w:ind w:hanging="284" w:left="284" w:right="0"/>
            </w:pPr>
            <w:r>
              <w:rPr>
                <w:sz w:val="22"/>
                <w:szCs w:val="22"/>
              </w:rPr>
              <w:t>entreprises nouvelles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>jeunes entreprises innovantes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>entreprises implantées en zone franche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>entreprises implantées en Corse</w:t>
            </w:r>
          </w:p>
        </w:tc>
      </w:tr>
    </w:tbl>
    <w:p>
      <w:pPr>
        <w:pStyle w:val="style38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true"/>
        </w:trPr>
        <w:tc>
          <w:tcPr>
            <w:tcW w:type="dxa" w:w="11078"/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Dépenses éligibles :</w:t>
            </w:r>
          </w:p>
        </w:tc>
      </w:tr>
      <w:tr>
        <w:trPr>
          <w:cantSplit w:val="false"/>
        </w:trPr>
        <w:tc>
          <w:tcPr>
            <w:tcW w:type="dxa" w:w="5388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-</w:t>
              <w:tab/>
              <w:t>caractères communs :</w:t>
            </w:r>
          </w:p>
        </w:tc>
        <w:tc>
          <w:tcPr>
            <w:tcW w:type="dxa" w:w="569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snapToGrid w:val="false"/>
              <w:ind w:hanging="284" w:left="284" w:right="0"/>
            </w:pPr>
            <w:r>
              <w:rPr>
                <w:sz w:val="22"/>
                <w:szCs w:val="22"/>
              </w:rPr>
              <w:t>dépenses déductibles du résultat imposable exposées en vue de l’export (y compris à l’intérieur de l’Espace économique européen depuis le 1</w:t>
            </w:r>
            <w:r>
              <w:rPr>
                <w:sz w:val="22"/>
                <w:szCs w:val="22"/>
                <w:vertAlign w:val="superscript"/>
              </w:rPr>
              <w:t>er</w:t>
            </w:r>
            <w:r>
              <w:rPr>
                <w:sz w:val="22"/>
                <w:szCs w:val="22"/>
              </w:rPr>
              <w:t xml:space="preserve"> janvier 2006)</w:t>
            </w:r>
          </w:p>
          <w:p>
            <w:pPr>
              <w:pStyle w:val="style0"/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538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-</w:t>
              <w:tab/>
              <w:t>énumération des 6 catégories de dépenses éligibles :</w:t>
            </w:r>
          </w:p>
        </w:tc>
        <w:tc>
          <w:tcPr>
            <w:tcW w:type="dxa" w:w="56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snapToGrid w:val="false"/>
              <w:ind w:hanging="284" w:left="284" w:right="0"/>
            </w:pPr>
            <w:r>
              <w:rPr>
                <w:sz w:val="22"/>
                <w:szCs w:val="22"/>
              </w:rPr>
              <w:t>frais et indemnités de déplacement et d’hébergement liés à la prospection commerciale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>dépenses visant à réunir des informations sur les marchés et les clients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 xml:space="preserve">dépenses de participation à des salons et foires-expositions 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>dépenses visant à faire connaître les produits et services de l’entreprise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>indemnités versées aux volontaires internationaux en entreprise (à compter du 1</w:t>
            </w:r>
            <w:r>
              <w:rPr>
                <w:sz w:val="22"/>
                <w:szCs w:val="22"/>
                <w:vertAlign w:val="superscript"/>
              </w:rPr>
              <w:t>er</w:t>
            </w:r>
            <w:r>
              <w:rPr>
                <w:sz w:val="22"/>
                <w:szCs w:val="22"/>
              </w:rPr>
              <w:t xml:space="preserve"> janvier 2006)</w:t>
            </w:r>
          </w:p>
          <w:p>
            <w:pPr>
              <w:pStyle w:val="style0"/>
              <w:numPr>
                <w:ilvl w:val="0"/>
                <w:numId w:val="2"/>
              </w:numPr>
              <w:ind w:hanging="284" w:left="284" w:right="0"/>
            </w:pPr>
            <w:r>
              <w:rPr>
                <w:sz w:val="22"/>
                <w:szCs w:val="22"/>
              </w:rPr>
              <w:t>dépenses liées aux activités de conseil fournies par les opérateurs spécialisés du commerce international (à compter du 29 décembre 2007)</w:t>
            </w:r>
          </w:p>
        </w:tc>
      </w:tr>
    </w:tbl>
    <w:p>
      <w:pPr>
        <w:pStyle w:val="style38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false"/>
        </w:trPr>
        <w:tc>
          <w:tcPr>
            <w:tcW w:type="dxa" w:w="11078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1"/>
              <w:numPr>
                <w:ilvl w:val="0"/>
                <w:numId w:val="1"/>
              </w:numPr>
              <w:snapToGrid w:val="false"/>
              <w:jc w:val="center"/>
            </w:pPr>
            <w:r>
              <w:rPr>
                <w:color w:val="0000FF"/>
                <w:sz w:val="24"/>
                <w:szCs w:val="24"/>
              </w:rPr>
              <w:t>Déduction des subventions publiques reçues à raison des dépenses ouvrant droit au crédit d’impôt</w:t>
            </w:r>
          </w:p>
        </w:tc>
      </w:tr>
      <w:tr>
        <w:trPr>
          <w:cantSplit w:val="false"/>
        </w:trPr>
        <w:tc>
          <w:tcPr>
            <w:tcW w:type="dxa" w:w="1107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sz w:val="22"/>
                <w:szCs w:val="22"/>
              </w:rPr>
              <w:t>Les subventions publiques (ex : aides SIDEX accordées par Ubifrance) ou les aides régionales,</w:t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(par exemple l’ARCAF-Salon en Ile-de-France) sont déduites des bases de calcul de ce crédit.</w:t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Sont également déduites de cette base, les dépenses garanties par une assurance prospection.</w:t>
            </w:r>
          </w:p>
        </w:tc>
      </w:tr>
    </w:tbl>
    <w:p>
      <w:pPr>
        <w:pStyle w:val="style38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true"/>
        </w:trPr>
        <w:tc>
          <w:tcPr>
            <w:tcW w:type="dxa" w:w="11078"/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Fait générateur: il est nécessaire</w:t>
            </w:r>
          </w:p>
        </w:tc>
      </w:tr>
      <w:tr>
        <w:trPr>
          <w:cantSplit w:val="false"/>
        </w:trPr>
        <w:tc>
          <w:tcPr>
            <w:tcW w:type="dxa" w:w="5388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</w:pPr>
            <w:r>
              <w:rPr>
                <w:sz w:val="22"/>
                <w:szCs w:val="22"/>
              </w:rPr>
              <w:t xml:space="preserve">soit de </w:t>
            </w:r>
            <w:r>
              <w:rPr>
                <w:b/>
                <w:color w:val="0000FF"/>
                <w:sz w:val="22"/>
                <w:szCs w:val="22"/>
              </w:rPr>
              <w:t xml:space="preserve">recruter </w:t>
            </w:r>
            <w:r>
              <w:rPr>
                <w:b/>
                <w:color w:val="0000FF"/>
                <w:sz w:val="22"/>
                <w:szCs w:val="22"/>
                <w:u w:val="single"/>
              </w:rPr>
              <w:t>une</w:t>
            </w:r>
            <w:r>
              <w:rPr>
                <w:b/>
                <w:color w:val="0000FF"/>
                <w:sz w:val="22"/>
                <w:szCs w:val="22"/>
              </w:rPr>
              <w:t xml:space="preserve"> personne</w:t>
            </w:r>
            <w:r>
              <w:rPr>
                <w:sz w:val="22"/>
                <w:szCs w:val="22"/>
              </w:rPr>
              <w:t> :</w:t>
            </w:r>
          </w:p>
          <w:p>
            <w:pPr>
              <w:pStyle w:val="style38"/>
            </w:pPr>
            <w:r>
              <w:rPr>
                <w:sz w:val="22"/>
                <w:szCs w:val="22"/>
              </w:rPr>
              <w:t>salarié ou collaborateur indépendant</w:t>
            </w:r>
          </w:p>
        </w:tc>
        <w:tc>
          <w:tcPr>
            <w:tcW w:type="dxa" w:w="569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 xml:space="preserve">soit de </w:t>
            </w:r>
            <w:r>
              <w:rPr>
                <w:b/>
                <w:color w:val="0000FF"/>
                <w:sz w:val="22"/>
                <w:szCs w:val="22"/>
              </w:rPr>
              <w:t xml:space="preserve">recourir à </w:t>
            </w:r>
            <w:r>
              <w:rPr>
                <w:b/>
                <w:color w:val="0000FF"/>
                <w:sz w:val="22"/>
                <w:szCs w:val="22"/>
                <w:u w:val="single"/>
              </w:rPr>
              <w:t>un</w:t>
            </w:r>
            <w:r>
              <w:rPr>
                <w:b/>
                <w:color w:val="0000FF"/>
                <w:sz w:val="22"/>
                <w:szCs w:val="22"/>
              </w:rPr>
              <w:t xml:space="preserve"> volontaire international en entreprise</w:t>
            </w:r>
            <w:r>
              <w:rPr>
                <w:sz w:val="22"/>
                <w:szCs w:val="22"/>
              </w:rPr>
              <w:t xml:space="preserve"> (VIE)</w:t>
            </w:r>
          </w:p>
        </w:tc>
      </w:tr>
      <w:tr>
        <w:trPr>
          <w:cantSplit w:val="true"/>
        </w:trPr>
        <w:tc>
          <w:tcPr>
            <w:tcW w:type="dxa" w:w="1107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5"/>
              <w:numPr>
                <w:ilvl w:val="4"/>
                <w:numId w:val="1"/>
              </w:numPr>
              <w:snapToGrid w:val="false"/>
            </w:pPr>
            <w:r>
              <w:rPr>
                <w:sz w:val="22"/>
                <w:szCs w:val="22"/>
              </w:rPr>
              <w:t>Affectation : développement des exportations</w:t>
            </w:r>
          </w:p>
        </w:tc>
      </w:tr>
      <w:tr>
        <w:trPr>
          <w:cantSplit w:val="false"/>
        </w:trPr>
        <w:tc>
          <w:tcPr>
            <w:tcW w:type="dxa" w:w="538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38"/>
              <w:snapToGrid w:val="false"/>
              <w:jc w:val="both"/>
            </w:pPr>
            <w:r>
              <w:rPr>
                <w:sz w:val="22"/>
                <w:szCs w:val="22"/>
              </w:rPr>
              <w:t>Si le poste export nouvellement créé est pourvu par un salarié recruté antérieurement, obligation d’embauche d’un nouveau salarié dans les 6 mois</w:t>
            </w:r>
          </w:p>
        </w:tc>
        <w:tc>
          <w:tcPr>
            <w:tcW w:type="dxa" w:w="56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style38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true"/>
        </w:trPr>
        <w:tc>
          <w:tcPr>
            <w:tcW w:type="dxa" w:w="11078"/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4"/>
              <w:numPr>
                <w:ilvl w:val="3"/>
                <w:numId w:val="1"/>
              </w:numPr>
              <w:snapToGrid w:val="false"/>
            </w:pPr>
            <w:r>
              <w:rPr>
                <w:color w:val="0000FF"/>
                <w:szCs w:val="24"/>
              </w:rPr>
              <w:t>Utilisation du crédit d’impôt</w:t>
            </w:r>
          </w:p>
        </w:tc>
      </w:tr>
      <w:tr>
        <w:trPr>
          <w:cantSplit w:val="false"/>
        </w:trPr>
        <w:tc>
          <w:tcPr>
            <w:tcW w:type="dxa" w:w="3828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6"/>
              <w:numPr>
                <w:ilvl w:val="5"/>
                <w:numId w:val="1"/>
              </w:numPr>
              <w:snapToGrid w:val="false"/>
            </w:pPr>
            <w:r>
              <w:rPr>
                <w:sz w:val="22"/>
                <w:szCs w:val="22"/>
              </w:rPr>
              <w:t>Entreprise</w:t>
            </w:r>
          </w:p>
        </w:tc>
        <w:tc>
          <w:tcPr>
            <w:tcW w:type="dxa" w:w="3544"/>
            <w:tcBorders>
              <w:lef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6"/>
              <w:numPr>
                <w:ilvl w:val="5"/>
                <w:numId w:val="1"/>
              </w:numPr>
              <w:snapToGrid w:val="false"/>
            </w:pPr>
            <w:r>
              <w:rPr>
                <w:sz w:val="22"/>
                <w:szCs w:val="22"/>
              </w:rPr>
              <w:t>Groupe</w:t>
            </w:r>
          </w:p>
        </w:tc>
        <w:tc>
          <w:tcPr>
            <w:tcW w:type="dxa" w:w="3706"/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sz w:val="22"/>
                <w:szCs w:val="22"/>
                <w:u w:val="single"/>
              </w:rPr>
              <w:t>Sociétés de personnes</w:t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(si impôt sur le revenu)</w:t>
            </w:r>
          </w:p>
        </w:tc>
      </w:tr>
      <w:tr>
        <w:trPr>
          <w:cantSplit w:val="false"/>
        </w:trPr>
        <w:tc>
          <w:tcPr>
            <w:tcW w:type="dxa" w:w="3828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numPr>
                <w:ilvl w:val="0"/>
                <w:numId w:val="4"/>
              </w:numPr>
              <w:snapToGrid w:val="false"/>
              <w:ind w:hanging="284" w:left="284" w:right="0"/>
            </w:pPr>
            <w:r>
              <w:rPr>
                <w:sz w:val="22"/>
                <w:szCs w:val="22"/>
              </w:rPr>
              <w:t xml:space="preserve">imputation sur l’impôt sur le revenu ou l’impôt sur les sociétés dû par la PME au titre </w:t>
            </w:r>
            <w:r>
              <w:rPr>
                <w:b/>
                <w:sz w:val="22"/>
                <w:szCs w:val="22"/>
              </w:rPr>
              <w:t>des années ou exercices d’engagement des dépenses éligibles</w:t>
            </w:r>
          </w:p>
          <w:p>
            <w:pPr>
              <w:pStyle w:val="style0"/>
              <w:numPr>
                <w:ilvl w:val="0"/>
                <w:numId w:val="4"/>
              </w:numPr>
              <w:ind w:hanging="284" w:left="284" w:right="0"/>
            </w:pPr>
            <w:r>
              <w:rPr>
                <w:sz w:val="22"/>
                <w:szCs w:val="22"/>
              </w:rPr>
              <w:t>le solde non imputé est restitué</w:t>
            </w:r>
          </w:p>
        </w:tc>
        <w:tc>
          <w:tcPr>
            <w:tcW w:type="dxa" w:w="3544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numPr>
                <w:ilvl w:val="0"/>
                <w:numId w:val="4"/>
              </w:numPr>
              <w:snapToGrid w:val="false"/>
              <w:ind w:hanging="284" w:left="284" w:right="0"/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>ère</w:t>
            </w:r>
            <w:r>
              <w:rPr>
                <w:sz w:val="22"/>
                <w:szCs w:val="22"/>
              </w:rPr>
              <w:t xml:space="preserve"> phase : le crédit d’impôt est calculé par chaque société membre du groupe</w:t>
            </w:r>
          </w:p>
          <w:p>
            <w:pPr>
              <w:pStyle w:val="style0"/>
              <w:numPr>
                <w:ilvl w:val="0"/>
                <w:numId w:val="4"/>
              </w:numPr>
              <w:ind w:hanging="284" w:left="284" w:right="0"/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ème</w:t>
            </w:r>
            <w:r>
              <w:rPr>
                <w:sz w:val="22"/>
                <w:szCs w:val="22"/>
              </w:rPr>
              <w:t xml:space="preserve"> phase : le crédit d’impôt est transféré à la société-mère</w:t>
            </w:r>
          </w:p>
        </w:tc>
        <w:tc>
          <w:tcPr>
            <w:tcW w:type="dxa" w:w="370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</w:pPr>
            <w:r>
              <w:rPr>
                <w:sz w:val="22"/>
                <w:szCs w:val="22"/>
              </w:rPr>
              <w:t>Le crédit d’impôt est transféré à chaque associé en proportion de ses droits</w:t>
            </w:r>
          </w:p>
          <w:p>
            <w:pPr>
              <w:pStyle w:val="style0"/>
            </w:pPr>
            <w:r>
              <w:rPr>
                <w:b/>
                <w:sz w:val="22"/>
                <w:szCs w:val="22"/>
              </w:rPr>
              <w:t xml:space="preserve">Toutefois, </w:t>
            </w:r>
            <w:r>
              <w:rPr>
                <w:sz w:val="22"/>
                <w:szCs w:val="22"/>
              </w:rPr>
              <w:t xml:space="preserve">les associés ne pourront l’imputer sur leur propre impôt que </w:t>
            </w:r>
            <w:r>
              <w:rPr>
                <w:b/>
                <w:sz w:val="22"/>
                <w:szCs w:val="22"/>
              </w:rPr>
              <w:t xml:space="preserve">s’ils </w:t>
            </w:r>
            <w:r>
              <w:rPr>
                <w:sz w:val="22"/>
                <w:szCs w:val="22"/>
              </w:rPr>
              <w:t xml:space="preserve">participent </w:t>
            </w:r>
            <w:r>
              <w:rPr>
                <w:sz w:val="22"/>
                <w:szCs w:val="22"/>
                <w:u w:val="single"/>
              </w:rPr>
              <w:t>personnellement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u w:val="single"/>
              </w:rPr>
              <w:t>directement et de façon continue</w:t>
            </w:r>
            <w:r>
              <w:rPr>
                <w:sz w:val="22"/>
                <w:szCs w:val="22"/>
              </w:rPr>
              <w:t xml:space="preserve"> à l’activité de l’entreprise. A défaut, cette part du crédit d’impôt est </w:t>
            </w:r>
            <w:r>
              <w:rPr>
                <w:sz w:val="22"/>
                <w:szCs w:val="22"/>
                <w:u w:val="single"/>
              </w:rPr>
              <w:t>perdue</w:t>
            </w:r>
          </w:p>
        </w:tc>
      </w:tr>
    </w:tbl>
    <w:p>
      <w:pPr>
        <w:pStyle w:val="style0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false"/>
        </w:trPr>
        <w:tc>
          <w:tcPr>
            <w:tcW w:type="dxa" w:w="11078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1"/>
              <w:numPr>
                <w:ilvl w:val="0"/>
                <w:numId w:val="1"/>
              </w:numPr>
              <w:snapToGrid w:val="false"/>
              <w:jc w:val="center"/>
            </w:pPr>
            <w:r>
              <w:rPr>
                <w:color w:val="0000FF"/>
                <w:sz w:val="24"/>
                <w:szCs w:val="24"/>
              </w:rPr>
              <w:t>Obligation déclarative</w:t>
            </w:r>
          </w:p>
        </w:tc>
      </w:tr>
      <w:tr>
        <w:trPr>
          <w:cantSplit w:val="false"/>
        </w:trPr>
        <w:tc>
          <w:tcPr>
            <w:tcW w:type="dxa" w:w="1107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sz w:val="22"/>
                <w:szCs w:val="22"/>
              </w:rPr>
              <w:t>Une déclaration spécifique : modèle 2079-P-SD</w:t>
            </w:r>
          </w:p>
        </w:tc>
      </w:tr>
    </w:tbl>
    <w:p>
      <w:pPr>
        <w:pStyle w:val="style38"/>
        <w:ind w:hanging="0" w:left="-709" w:right="0"/>
      </w:pPr>
      <w:r>
        <w:rPr/>
      </w:r>
    </w:p>
    <w:tbl>
      <w:tblPr>
        <w:jc w:val="left"/>
        <w:tblInd w:type="dxa" w:w="-1003"/>
        <w:tblBorders>
          <w:top w:color="000000" w:space="0" w:sz="4" w:val="single"/>
          <w:left w:color="000000" w:space="0" w:sz="4" w:val="single"/>
          <w:right w:color="000000" w:space="0" w:sz="4" w:val="single"/>
        </w:tblBorders>
      </w:tblPr>
      <w:tblGrid>
        <w:gridCol w:w="11078"/>
      </w:tblGrid>
      <w:tr>
        <w:trPr>
          <w:cantSplit w:val="false"/>
        </w:trPr>
        <w:tc>
          <w:tcPr>
            <w:tcW w:type="dxa" w:w="11078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1"/>
              <w:numPr>
                <w:ilvl w:val="0"/>
                <w:numId w:val="1"/>
              </w:numPr>
              <w:snapToGrid w:val="false"/>
              <w:jc w:val="center"/>
            </w:pPr>
            <w:r>
              <w:rPr>
                <w:color w:val="0000FF"/>
                <w:sz w:val="24"/>
                <w:szCs w:val="24"/>
              </w:rPr>
              <w:t>Précisions :</w:t>
            </w:r>
          </w:p>
        </w:tc>
      </w:tr>
      <w:tr>
        <w:trPr>
          <w:trHeight w:hRule="atLeast" w:val="65"/>
          <w:cantSplit w:val="false"/>
        </w:trPr>
        <w:tc>
          <w:tcPr>
            <w:tcW w:type="dxa" w:w="11078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style0"/>
        <w:ind w:hanging="0" w:left="-993" w:right="-994"/>
      </w:pPr>
      <w:r>
        <w:rPr/>
      </w:r>
    </w:p>
    <w:p>
      <w:pPr>
        <w:pStyle w:val="style0"/>
        <w:ind w:hanging="0" w:left="-993" w:right="-994"/>
        <w:jc w:val="both"/>
      </w:pPr>
      <w:r>
        <w:rPr>
          <w:i/>
          <w:sz w:val="22"/>
          <w:szCs w:val="22"/>
        </w:rPr>
        <w:t xml:space="preserve">Les commentaires administratifs relatifs au crédit d’impôt pour dépenses de prospection commerciale institué par la loi de finances pour 2005 (n° 2004-1484 du 30 décembre 2004) – article 244 quater H du code général des impôts ont été publiés dans le </w:t>
      </w:r>
      <w:r>
        <w:rPr>
          <w:b/>
          <w:i/>
          <w:sz w:val="22"/>
          <w:szCs w:val="22"/>
        </w:rPr>
        <w:t>Bulletin Officiel des Impôts 4 A-9-05</w:t>
      </w:r>
      <w:r>
        <w:rPr>
          <w:i/>
          <w:sz w:val="22"/>
          <w:szCs w:val="22"/>
        </w:rPr>
        <w:t xml:space="preserve"> (instruction n° 70 du 18 avril 2005) et complété par les </w:t>
      </w:r>
      <w:r>
        <w:rPr>
          <w:b/>
          <w:i/>
          <w:sz w:val="22"/>
          <w:szCs w:val="22"/>
        </w:rPr>
        <w:t xml:space="preserve">Bulletins Officiel des Impôts 4 A-7-06 et 4 A-9-08 </w:t>
      </w:r>
      <w:r>
        <w:rPr>
          <w:i/>
          <w:sz w:val="22"/>
          <w:szCs w:val="22"/>
        </w:rPr>
        <w:t xml:space="preserve">(instructions n°35 du 24 février 2006 et n°99 du 26 novembre 2008 ) accessibles sur les </w:t>
      </w:r>
      <w:r>
        <w:rPr>
          <w:b/>
          <w:i/>
          <w:sz w:val="22"/>
          <w:szCs w:val="22"/>
        </w:rPr>
        <w:t xml:space="preserve">sites internet de la D.G.I. </w:t>
      </w:r>
      <w:r>
        <w:rPr>
          <w:b/>
          <w:i/>
          <w:color w:val="0000FF"/>
          <w:sz w:val="22"/>
          <w:szCs w:val="22"/>
          <w:u w:val="single"/>
        </w:rPr>
        <w:t>http://www.impots.gouv.fr</w:t>
      </w:r>
      <w:r>
        <w:rPr>
          <w:i/>
          <w:color w:val="0000FF"/>
          <w:sz w:val="22"/>
          <w:szCs w:val="22"/>
          <w:u w:val="single"/>
        </w:rPr>
        <w:t>.</w:t>
      </w:r>
      <w:r>
        <w:rPr>
          <w:i/>
          <w:sz w:val="22"/>
          <w:szCs w:val="22"/>
        </w:rPr>
        <w:t xml:space="preserve"> et de votre </w:t>
      </w:r>
      <w:r>
        <w:rPr>
          <w:b/>
          <w:i/>
          <w:sz w:val="22"/>
          <w:szCs w:val="22"/>
        </w:rPr>
        <w:t xml:space="preserve">Direction régionale du commerce extérieur </w:t>
      </w:r>
      <w:r>
        <w:rPr>
          <w:b/>
          <w:i/>
          <w:color w:val="0000FF"/>
          <w:sz w:val="22"/>
          <w:szCs w:val="22"/>
          <w:u w:val="single"/>
        </w:rPr>
        <w:t>http://</w:t>
      </w:r>
      <w:r>
        <w:rPr>
          <w:i/>
          <w:color w:val="0000FF"/>
          <w:sz w:val="22"/>
          <w:szCs w:val="22"/>
          <w:u w:val="single"/>
        </w:rPr>
        <w:t xml:space="preserve"> </w:t>
      </w:r>
      <w:r>
        <w:rPr>
          <w:b/>
          <w:i/>
          <w:color w:val="0000FF"/>
          <w:sz w:val="22"/>
          <w:szCs w:val="22"/>
          <w:u w:val="single"/>
        </w:rPr>
        <w:t>www.missioneco.org/iledefrance</w:t>
      </w:r>
    </w:p>
    <w:p>
      <w:pPr>
        <w:pStyle w:val="style0"/>
        <w:ind w:hanging="0" w:left="-993" w:right="-994"/>
        <w:jc w:val="both"/>
      </w:pPr>
      <w:r>
        <w:rPr>
          <w:sz w:val="22"/>
          <w:szCs w:val="22"/>
        </w:rPr>
      </w:r>
    </w:p>
    <w:sectPr>
      <w:footnotePr>
        <w:numFmt w:val="decimal"/>
      </w:footnotePr>
      <w:type w:val="nextPage"/>
      <w:pgSz w:h="16838" w:w="11906"/>
      <w:pgMar w:bottom="567" w:footer="0" w:gutter="0" w:header="0" w:left="1418" w:right="1418" w:top="56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80"/>
    <w:family w:val="auto"/>
    <w:pitch w:val="default"/>
  </w:font>
</w:fonts>
</file>

<file path=word/footnotes.xml><?xml version="1.0" encoding="utf-8"?>
<w:footnotes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8"/>
        <w:ind w:hanging="0" w:left="-709" w:right="-994"/>
      </w:pPr>
      <w:r>
        <w:rPr/>
        <w:footnoteRef/>
        <w:tab/>
        <w:t>Destiné à servir d’instrument pratique de présentation succincte de la mesure, ce document n’engage pas l’administration fiscale</w:t>
      </w:r>
    </w:p>
  </w:footnote>
  <w:footnote w:id="3">
    <w:p>
      <w:pPr>
        <w:pStyle w:val="style38"/>
        <w:ind w:hanging="0" w:left="-709" w:right="4648"/>
      </w:pPr>
      <w:r>
        <w:rPr/>
        <w:footnoteRef/>
        <w:tab/>
        <w:t>N’ont pas à répondre à la définition d’une PME</w:t>
      </w:r>
    </w:p>
  </w:footnote>
  <w:footnote w:id="4">
    <w:p>
      <w:pPr>
        <w:pStyle w:val="style38"/>
        <w:ind w:hanging="0" w:left="-709" w:right="4648"/>
      </w:pPr>
      <w:r>
        <w:rPr/>
        <w:footnoteRef/>
        <w:tab/>
        <w:t>N’ont pas à répondre à la définition d’une PME</w:t>
      </w:r>
    </w:p>
    <w:p>
      <w:pPr>
        <w:pStyle w:val="style38"/>
        <w:tabs>
          <w:tab w:leader="none" w:pos="-470" w:val="left"/>
        </w:tabs>
        <w:ind w:hanging="0" w:left="-709" w:right="0"/>
      </w:pPr>
      <w:r>
        <w:rPr/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75"/>
      <w:numFmt w:val="bullet"/>
      <w:lvlText w:val="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</w:rPr>
    </w:lvl>
  </w:abstractNum>
  <w:abstractNum w:abstractNumId="3">
    <w:lvl w:ilvl="0">
      <w:start w:val="40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OpenSymbol" w:cs="OpenSymbol" w:hAnsi="OpenSymbol" w:hint="default"/>
      </w:rPr>
    </w:lvl>
  </w:abstractNum>
  <w:abstractNum w:abstractNumId="4">
    <w:lvl w:ilvl="0">
      <w:start w:val="80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284" w:val="left"/>
      </w:tabs>
      <w:suppressAutoHyphens w:val="true"/>
      <w:jc w:val="left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fr-FR"/>
    </w:rPr>
  </w:style>
  <w:style w:styleId="style1" w:type="paragraph">
    <w:name w:val="Heading 1"/>
    <w:basedOn w:val="style0"/>
    <w:next w:val="style0"/>
    <w:pPr>
      <w:keepNext/>
      <w:numPr>
        <w:ilvl w:val="0"/>
        <w:numId w:val="1"/>
      </w:numPr>
      <w:outlineLvl w:val="0"/>
    </w:pPr>
    <w:rPr>
      <w:b/>
    </w:rPr>
  </w:style>
  <w:style w:styleId="style2" w:type="paragraph">
    <w:name w:val="Heading 2"/>
    <w:basedOn w:val="style0"/>
    <w:next w:val="style0"/>
    <w:pPr>
      <w:keepNext/>
      <w:numPr>
        <w:ilvl w:val="1"/>
        <w:numId w:val="1"/>
      </w:numPr>
      <w:outlineLvl w:val="1"/>
    </w:pPr>
    <w:rPr>
      <w:i/>
    </w:rPr>
  </w:style>
  <w:style w:styleId="style3" w:type="paragraph">
    <w:name w:val="Heading 3"/>
    <w:basedOn w:val="style0"/>
    <w:next w:val="style0"/>
    <w:pPr>
      <w:keepNext/>
      <w:numPr>
        <w:ilvl w:val="2"/>
        <w:numId w:val="1"/>
      </w:numPr>
      <w:outlineLvl w:val="2"/>
    </w:pPr>
    <w:rPr>
      <w:sz w:val="24"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jc w:val="center"/>
      <w:outlineLvl w:val="3"/>
    </w:pPr>
    <w:rPr>
      <w:b/>
      <w:sz w:val="24"/>
    </w:rPr>
  </w:style>
  <w:style w:styleId="style5" w:type="paragraph">
    <w:name w:val="Heading 5"/>
    <w:basedOn w:val="style0"/>
    <w:next w:val="style0"/>
    <w:pPr>
      <w:keepNext/>
      <w:numPr>
        <w:ilvl w:val="4"/>
        <w:numId w:val="1"/>
      </w:numPr>
      <w:jc w:val="center"/>
      <w:outlineLvl w:val="4"/>
    </w:pPr>
    <w:rPr>
      <w:sz w:val="24"/>
    </w:rPr>
  </w:style>
  <w:style w:styleId="style6" w:type="paragraph">
    <w:name w:val="Heading 6"/>
    <w:basedOn w:val="style0"/>
    <w:next w:val="style0"/>
    <w:pPr>
      <w:keepNext/>
      <w:numPr>
        <w:ilvl w:val="5"/>
        <w:numId w:val="1"/>
      </w:numPr>
      <w:jc w:val="center"/>
      <w:outlineLvl w:val="5"/>
    </w:pPr>
    <w:rPr>
      <w:sz w:val="24"/>
      <w:u w:val="single"/>
    </w:rPr>
  </w:style>
  <w:style w:styleId="style15" w:type="character">
    <w:name w:val="WW8Num2z0"/>
    <w:next w:val="style15"/>
    <w:rPr>
      <w:rFonts w:ascii="Wingdings" w:cs="Wingdings" w:hAnsi="Wingdings"/>
    </w:rPr>
  </w:style>
  <w:style w:styleId="style16" w:type="character">
    <w:name w:val="WW8Num3z0"/>
    <w:next w:val="style16"/>
    <w:rPr>
      <w:rFonts w:ascii="OpenSymbol;Arial Unicode MS" w:cs="OpenSymbol;Arial Unicode MS" w:hAnsi="OpenSymbol;Arial Unicode MS"/>
    </w:rPr>
  </w:style>
  <w:style w:styleId="style17" w:type="character">
    <w:name w:val="WW8Num4z0"/>
    <w:next w:val="style17"/>
    <w:rPr>
      <w:rFonts w:ascii="OpenSymbol;Arial Unicode MS" w:cs="OpenSymbol;Arial Unicode MS" w:hAnsi="OpenSymbol;Arial Unicode MS"/>
    </w:rPr>
  </w:style>
  <w:style w:styleId="style18" w:type="character">
    <w:name w:val="Absatz-Standardschriftart"/>
    <w:next w:val="style18"/>
    <w:rPr/>
  </w:style>
  <w:style w:styleId="style19" w:type="character">
    <w:name w:val="WW8Num1z0"/>
    <w:next w:val="style19"/>
    <w:rPr>
      <w:rFonts w:ascii="Wingdings" w:cs="Wingdings" w:hAnsi="Wingdings"/>
    </w:rPr>
  </w:style>
  <w:style w:styleId="style20" w:type="character">
    <w:name w:val="Police par défaut"/>
    <w:next w:val="style20"/>
    <w:rPr/>
  </w:style>
  <w:style w:styleId="style21" w:type="character">
    <w:name w:val="Caractères de note de bas de page"/>
    <w:basedOn w:val="style20"/>
    <w:next w:val="style21"/>
    <w:rPr>
      <w:vertAlign w:val="superscript"/>
    </w:rPr>
  </w:style>
  <w:style w:styleId="style22" w:type="character">
    <w:name w:val="Page Number"/>
    <w:basedOn w:val="style20"/>
    <w:next w:val="style22"/>
    <w:rPr/>
  </w:style>
  <w:style w:styleId="style23" w:type="character">
    <w:name w:val="Internet Link"/>
    <w:basedOn w:val="style20"/>
    <w:next w:val="style23"/>
    <w:rPr>
      <w:color w:val="0000FF"/>
      <w:u w:val="single"/>
    </w:rPr>
  </w:style>
  <w:style w:styleId="style24" w:type="character">
    <w:name w:val="Visited Internet Link"/>
    <w:basedOn w:val="style20"/>
    <w:next w:val="style24"/>
    <w:rPr>
      <w:color w:val="800080"/>
      <w:u w:val="single"/>
    </w:rPr>
  </w:style>
  <w:style w:styleId="style25" w:type="character">
    <w:name w:val="Footnote Characters"/>
    <w:next w:val="style25"/>
    <w:rPr>
      <w:vertAlign w:val="superscript"/>
    </w:rPr>
  </w:style>
  <w:style w:styleId="style26" w:type="character">
    <w:name w:val="Endnote Characters"/>
    <w:next w:val="style26"/>
    <w:rPr>
      <w:vertAlign w:val="superscript"/>
    </w:rPr>
  </w:style>
  <w:style w:styleId="style27" w:type="character">
    <w:name w:val="Caractères de note de fin"/>
    <w:next w:val="style27"/>
    <w:rPr/>
  </w:style>
  <w:style w:styleId="style28" w:type="character">
    <w:name w:val="Footnote anchor"/>
    <w:next w:val="style28"/>
    <w:rPr>
      <w:vertAlign w:val="superscript"/>
    </w:rPr>
  </w:style>
  <w:style w:styleId="style29" w:type="character">
    <w:name w:val="Endnote anchor"/>
    <w:next w:val="style29"/>
    <w:rPr>
      <w:vertAlign w:val="superscript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Lucida Sans" w:eastAsia="SimSun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Tahoma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ucida Sans"/>
    </w:rPr>
  </w:style>
  <w:style w:styleId="style35" w:type="paragraph">
    <w:name w:val="Titre"/>
    <w:basedOn w:val="style0"/>
    <w:next w:val="style31"/>
    <w:pPr>
      <w:keepNext/>
      <w:spacing w:after="120" w:before="240"/>
    </w:pPr>
    <w:rPr>
      <w:rFonts w:ascii="Arial" w:cs="Tahoma" w:eastAsia="MS Mincho" w:hAnsi="Arial"/>
      <w:sz w:val="28"/>
      <w:szCs w:val="28"/>
    </w:rPr>
  </w:style>
  <w:style w:styleId="style36" w:type="paragraph">
    <w:name w:val="Légende"/>
    <w:basedOn w:val="style0"/>
    <w:next w:val="style36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37" w:type="paragraph">
    <w:name w:val="Répertoire"/>
    <w:basedOn w:val="style0"/>
    <w:next w:val="style37"/>
    <w:pPr>
      <w:suppressLineNumbers/>
    </w:pPr>
    <w:rPr>
      <w:rFonts w:cs="Tahoma"/>
    </w:rPr>
  </w:style>
  <w:style w:styleId="style38" w:type="paragraph">
    <w:name w:val="Footnote"/>
    <w:basedOn w:val="style0"/>
    <w:next w:val="style38"/>
    <w:pPr/>
    <w:rPr/>
  </w:style>
  <w:style w:styleId="style39" w:type="paragraph">
    <w:name w:val="Footer"/>
    <w:basedOn w:val="style0"/>
    <w:next w:val="style39"/>
    <w:pPr>
      <w:tabs>
        <w:tab w:leader="none" w:pos="4536" w:val="center"/>
        <w:tab w:leader="none" w:pos="9072" w:val="right"/>
      </w:tabs>
    </w:pPr>
    <w:rPr/>
  </w:style>
  <w:style w:styleId="style40" w:type="paragraph">
    <w:name w:val="Header"/>
    <w:basedOn w:val="style0"/>
    <w:next w:val="style40"/>
    <w:pPr>
      <w:tabs>
        <w:tab w:leader="none" w:pos="4536" w:val="center"/>
        <w:tab w:leader="none" w:pos="9072" w:val="right"/>
      </w:tabs>
    </w:pPr>
    <w:rPr/>
  </w:style>
  <w:style w:styleId="style41" w:type="paragraph">
    <w:name w:val="Texte de bulles"/>
    <w:basedOn w:val="style0"/>
    <w:next w:val="style41"/>
    <w:pPr/>
    <w:rPr>
      <w:rFonts w:ascii="Tahoma" w:cs="Tahoma" w:hAnsi="Tahoma"/>
      <w:sz w:val="16"/>
      <w:szCs w:val="16"/>
    </w:rPr>
  </w:style>
  <w:style w:styleId="style42" w:type="paragraph">
    <w:name w:val="Contenu de tableau"/>
    <w:basedOn w:val="style0"/>
    <w:next w:val="style42"/>
    <w:pPr>
      <w:suppressLineNumbers/>
    </w:pPr>
    <w:rPr/>
  </w:style>
  <w:style w:styleId="style43" w:type="paragraph">
    <w:name w:val="Titre de tableau"/>
    <w:basedOn w:val="style42"/>
    <w:next w:val="style43"/>
    <w:pPr>
      <w:suppressLineNumbers/>
      <w:jc w:val="center"/>
    </w:pPr>
    <w:rPr>
      <w:b/>
      <w:bCs/>
    </w:rPr>
  </w:style>
  <w:style w:styleId="style44" w:type="paragraph">
    <w:name w:val="Contenu du cadre"/>
    <w:basedOn w:val="style31"/>
    <w:next w:val="style44"/>
    <w:pPr/>
    <w:rPr/>
  </w:style>
  <w:style w:styleId="style45" w:type="paragraph">
    <w:name w:val="Table Contents"/>
    <w:basedOn w:val="style0"/>
    <w:next w:val="style45"/>
    <w:pPr>
      <w:suppressLineNumbers/>
    </w:pPr>
    <w:rPr/>
  </w:style>
  <w:style w:styleId="style46" w:type="paragraph">
    <w:name w:val="Table Heading"/>
    <w:basedOn w:val="style45"/>
    <w:next w:val="style4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2009-01-28T17:12:00.00Z</dcterms:created>
  <dc:creator>DSF SOMME</dc:creator>
  <cp:lastModifiedBy>f.gerente</cp:lastModifiedBy>
  <cp:lastPrinted>2008-10-30T17:19:00.00Z</cp:lastPrinted>
  <dcterms:modified xsi:type="dcterms:W3CDTF">2009-01-28T17:12:00.00Z</dcterms:modified>
  <cp:revision>2</cp:revision>
  <dc:title>LE CREDIT D’IMPOT POUR DEPENSES </dc:title>
</cp:coreProperties>
</file>