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2E"/>
          <w:sz w:val="40"/>
          <w:szCs w:val="40"/>
        </w:rPr>
        <w:t xml:space="preserve">CareerOS (Project ORION)</w:t>
      </w:r>
    </w:p>
    <w:p>
      <w:pPr>
        <w:spacing w:after="300"/>
        <w:jc w:val="center"/>
      </w:pPr>
      <w:r>
        <w:rPr>
          <w:b/>
          <w:bCs/>
          <w:color w:val="2E4057"/>
          <w:sz w:val="30"/>
          <w:szCs w:val="30"/>
        </w:rPr>
        <w:t xml:space="preserve">Sprint 1 Compliance Report</w:t>
      </w:r>
    </w:p>
    <w:p>
      <w:pPr>
        <w:spacing w:after="40"/>
        <w:jc w:val="center"/>
      </w:pPr>
      <w:r>
        <w:rPr>
          <w:color w:val="6B6B6B"/>
          <w:sz w:val="21"/>
          <w:szCs w:val="21"/>
        </w:rPr>
        <w:t xml:space="preserve">Prepared for: Chief Architect</w:t>
      </w:r>
    </w:p>
    <w:p>
      <w:pPr>
        <w:spacing w:after="40"/>
        <w:jc w:val="center"/>
      </w:pPr>
      <w:r>
        <w:rPr>
          <w:color w:val="6B6B6B"/>
          <w:sz w:val="21"/>
          <w:szCs w:val="21"/>
        </w:rPr>
        <w:t xml:space="preserve">Prepared by: Claude, Chief Software Engineer</w:t>
      </w:r>
    </w:p>
    <w:p>
      <w:pPr>
        <w:spacing w:after="400"/>
        <w:jc w:val="center"/>
      </w:pPr>
      <w:r>
        <w:rPr>
          <w:color w:val="6B6B6B"/>
          <w:sz w:val="21"/>
          <w:szCs w:val="21"/>
        </w:rPr>
        <w:t xml:space="preserve">Date: 3 August 2026</w:t>
      </w:r>
    </w:p>
    <w:p>
      <w:pPr>
        <w:pStyle w:val="Heading1"/>
        <w:pBdr>
          <w:bottom w:val="single" w:color="2E4057" w:sz="6" w:space="4"/>
        </w:pBdr>
        <w:spacing w:after="160" w:before="360"/>
      </w:pPr>
      <w:r>
        <w:rPr>
          <w:b/>
          <w:bCs/>
          <w:color w:val="1A1A2E"/>
          <w:sz w:val="26"/>
          <w:szCs w:val="26"/>
        </w:rPr>
        <w:t xml:space="preserve">Executive Summary</w:t>
      </w:r>
    </w:p>
    <w:p>
      <w:pPr>
        <w:spacing w:after="140"/>
      </w:pPr>
      <w:r>
        <w:rPr>
          <w:color w:val="1A1A2E"/>
          <w:sz w:val="21"/>
          <w:szCs w:val="21"/>
        </w:rPr>
        <w:t xml:space="preserve">Sprint 1 delivered the engineering foundation for CareerOS (Project ORION) exactly as scoped by the Master Engineering Prompt v2.0: Docker Compose, FastAPI, PostgreSQL, Alembic, an authentication framework, configuration management, logging, health monitoring, project structure, and developer documentation. No AI, scraping, matching, or document-generation logic was implemented, consistent with the sprint's stated exclusions.</w:t>
      </w:r>
    </w:p>
    <w:p>
      <w:pPr>
        <w:spacing w:after="140"/>
      </w:pPr>
      <w:r>
        <w:rPr>
          <w:color w:val="1A1A2E"/>
          <w:sz w:val="21"/>
          <w:szCs w:val="21"/>
        </w:rPr>
        <w:t xml:space="preserve">Against the ten principles of the Engineering Constitution, Sprint 1 is fully compliant on eight (Truth First, Career Knowledge Base, Human Approval, Configuration, API First, ADR Governance, and the two principles -- Recommendation First and Explainability -- that are correctly deferred because their subject matter is out of this sprint's scope) and partially compliant on two: Docker First and Test First. Both partial items share a single root cause -- no Docker daemon was available in the environment used to build and verify this sprint -- and are flagged below with a concrete remediation step.</w:t>
      </w:r>
    </w:p>
    <w:p>
      <w:pPr>
        <w:spacing w:after="140"/>
      </w:pPr>
      <w:r>
        <w:rPr>
          <w:color w:val="1A1A2E"/>
          <w:sz w:val="21"/>
          <w:szCs w:val="21"/>
        </w:rPr>
        <w:t xml:space="preserve">Two defects were found and corrected during verification (a UUID/dialect mismatch in token lookups, and a readiness check that bypassed dependency injection). Both are fixed in the delivered code and covered by the existing test suite. Full detail in Section 4.</w:t>
      </w:r>
    </w:p>
    <w:p>
      <w:pPr>
        <w:pStyle w:val="Heading1"/>
        <w:pBdr>
          <w:bottom w:val="single" w:color="2E4057" w:sz="6" w:space="4"/>
        </w:pBdr>
        <w:spacing w:after="160" w:before="360"/>
      </w:pPr>
      <w:r>
        <w:rPr>
          <w:b/>
          <w:bCs/>
          <w:color w:val="1A1A2E"/>
          <w:sz w:val="26"/>
          <w:szCs w:val="26"/>
        </w:rPr>
        <w:t xml:space="preserve">1. Scope Compliance</w:t>
      </w:r>
    </w:p>
    <w:p>
      <w:pPr>
        <w:spacing w:after="140"/>
      </w:pPr>
      <w:r>
        <w:rPr>
          <w:color w:val="1A1A2E"/>
          <w:sz w:val="21"/>
          <w:szCs w:val="21"/>
        </w:rPr>
        <w:t xml:space="preserve">Sprint 1 was constitutionally scoped to include only the platform foundation, and to explicitly exclude AI implementation, scraping, CV generation, and business logic. Both halves of that constraint were verified against the delivered codebase:</w:t>
      </w:r>
    </w:p>
    <w:p>
      <w:pPr>
        <w:pStyle w:val="ListParagraph"/>
        <w:numPr>
          <w:ilvl w:val="0"/>
          <w:numId w:val="2"/>
        </w:numPr>
        <w:spacing w:after="80"/>
      </w:pPr>
      <w:r>
        <w:rPr>
          <w:color w:val="1A1A2E"/>
          <w:sz w:val="21"/>
          <w:szCs w:val="21"/>
        </w:rPr>
        <w:t xml:space="preserve">In scope and delivered: Docker Compose, FastAPI, PostgreSQL, Alembic, authentication framework, configuration management, logging, health monitoring, project structure, developer documentation.</w:t>
      </w:r>
    </w:p>
    <w:p>
      <w:pPr>
        <w:pStyle w:val="ListParagraph"/>
        <w:numPr>
          <w:ilvl w:val="0"/>
          <w:numId w:val="2"/>
        </w:numPr>
        <w:spacing w:after="80"/>
      </w:pPr>
      <w:r>
        <w:rPr>
          <w:color w:val="1A1A2E"/>
          <w:sz w:val="21"/>
          <w:szCs w:val="21"/>
        </w:rPr>
        <w:t xml:space="preserve">Out of scope and confirmed absent: AI/LLM integration, job-source scraping or connectors, CV/cover-letter/document generation, matching or scoring logic, recruiter/company intelligence, communication channels (email/WhatsApp/Telegram), analytics.</w:t>
      </w:r>
    </w:p>
    <w:p>
      <w:pPr>
        <w:pStyle w:val="Heading1"/>
        <w:pBdr>
          <w:bottom w:val="single" w:color="2E4057" w:sz="6" w:space="4"/>
        </w:pBdr>
        <w:spacing w:after="160" w:before="360"/>
      </w:pPr>
      <w:r>
        <w:rPr>
          <w:b/>
          <w:bCs/>
          <w:color w:val="1A1A2E"/>
          <w:sz w:val="26"/>
          <w:szCs w:val="26"/>
        </w:rPr>
        <w:t xml:space="preserve">2. Engineering Constitution Compliance Matrix</w:t>
      </w:r>
    </w:p>
    <w:p>
      <w:pPr>
        <w:spacing w:after="140"/>
      </w:pPr>
      <w:r>
        <w:rPr>
          <w:color w:val="1A1A2E"/>
          <w:sz w:val="21"/>
          <w:szCs w:val="21"/>
        </w:rPr>
        <w:t xml:space="preserve">Each of the ten mandatory principles is assessed against what was actually built, not against future intent.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500"/>
        <w:gridCol w:w="1780"/>
      </w:tblGrid>
      <w:tr>
        <w:trPr>
          <w:tblHeader/>
        </w:trPr>
        <w:tc>
          <w:tcPr>
            <w:tcW w:type="dxa" w:w="2600"/>
            <w:shd w:fill="2E4057" w:val="clear"/>
            <w:vAlign w:val="center"/>
          </w:tcPr>
          <w:p>
            <w:r>
              <w:rPr>
                <w:b/>
                <w:bCs/>
                <w:color w:val="FFFFFF"/>
                <w:sz w:val="19"/>
                <w:szCs w:val="19"/>
              </w:rPr>
              <w:t xml:space="preserve">Principle</w:t>
            </w:r>
          </w:p>
        </w:tc>
        <w:tc>
          <w:tcPr>
            <w:tcW w:type="dxa" w:w="4200"/>
            <w:shd w:fill="2E4057" w:val="clear"/>
            <w:vAlign w:val="center"/>
          </w:tcPr>
          <w:p>
            <w:r>
              <w:rPr>
                <w:b/>
                <w:bCs/>
                <w:color w:val="FFFFFF"/>
                <w:sz w:val="19"/>
                <w:szCs w:val="19"/>
              </w:rPr>
              <w:t xml:space="preserve">Requirement</w:t>
            </w:r>
          </w:p>
        </w:tc>
        <w:tc>
          <w:tcPr>
            <w:tcW w:type="dxa" w:w="1500"/>
            <w:shd w:fill="2E4057" w:val="clear"/>
            <w:vAlign w:val="center"/>
          </w:tcPr>
          <w:p>
            <w:r>
              <w:rPr>
                <w:b/>
                <w:bCs/>
                <w:color w:val="FFFFFF"/>
                <w:sz w:val="19"/>
                <w:szCs w:val="19"/>
              </w:rPr>
              <w:t xml:space="preserve">Status</w:t>
            </w:r>
          </w:p>
        </w:tc>
        <w:tc>
          <w:tcPr>
            <w:tcW w:type="dxa" w:w="1780"/>
            <w:shd w:fill="2E4057" w:val="clear"/>
            <w:vAlign w:val="center"/>
          </w:tcPr>
          <w:p>
            <w:r>
              <w:rPr>
                <w:b/>
                <w:bCs/>
                <w:color w:val="FFFFFF"/>
                <w:sz w:val="19"/>
                <w:szCs w:val="19"/>
              </w:rPr>
              <w:t xml:space="preserve">Evidence</w:t>
            </w:r>
          </w:p>
        </w:tc>
      </w:tr>
      <w:tr>
        <w:tc>
          <w:tcPr>
            <w:tcW w:type="dxa" w:w="2600"/>
            <w:vAlign w:val="center"/>
          </w:tcPr>
          <w:p>
            <w:r>
              <w:rPr>
                <w:b/>
                <w:bCs/>
                <w:color w:val="1A1A2E"/>
                <w:sz w:val="19"/>
                <w:szCs w:val="19"/>
              </w:rPr>
              <w:t xml:space="preserve">Truth First</w:t>
            </w:r>
          </w:p>
        </w:tc>
        <w:tc>
          <w:tcPr>
            <w:tcW w:type="dxa" w:w="4200"/>
            <w:vAlign w:val="center"/>
          </w:tcPr>
          <w:p>
            <w:r>
              <w:rPr>
                <w:color w:val="1A1A2E"/>
                <w:sz w:val="19"/>
                <w:szCs w:val="19"/>
              </w:rPr>
              <w:t xml:space="preserve">No fabricated experience, certifications, employment, achievements, qualifications, or projects.</w:t>
            </w:r>
          </w:p>
        </w:tc>
        <w:tc>
          <w:tcPr>
            <w:tcW w:type="dxa" w:w="2000"/>
            <w:shd w:fill="E3F3E8" w:val="clear"/>
            <w:vAlign w:val="center"/>
          </w:tcPr>
          <w:p>
            <w:pPr>
              <w:jc w:val="center"/>
            </w:pPr>
            <w:r>
              <w:rPr>
                <w:b/>
                <w:bCs/>
                <w:color w:val="1B7A43"/>
                <w:sz w:val="19"/>
                <w:szCs w:val="19"/>
              </w:rPr>
              <w:t xml:space="preserve">Compliant</w:t>
            </w:r>
          </w:p>
        </w:tc>
        <w:tc>
          <w:tcPr>
            <w:tcW w:type="dxa" w:w="1780"/>
            <w:vAlign w:val="center"/>
          </w:tcPr>
          <w:p>
            <w:r>
              <w:rPr>
                <w:color w:val="1A1A2E"/>
                <w:sz w:val="19"/>
                <w:szCs w:val="19"/>
              </w:rPr>
              <w:t xml:space="preserve">No document-generation or content-fabrication logic exists in Sprint 1. Nothing in the codebase produces claims about the candidate. Not yet exercised because Document Generation Service is out of scope.</w:t>
            </w:r>
          </w:p>
        </w:tc>
      </w:tr>
      <w:tr>
        <w:tc>
          <w:tcPr>
            <w:tcW w:type="dxa" w:w="2600"/>
            <w:vAlign w:val="center"/>
          </w:tcPr>
          <w:p>
            <w:r>
              <w:rPr>
                <w:b/>
                <w:bCs/>
                <w:color w:val="1A1A2E"/>
                <w:sz w:val="19"/>
                <w:szCs w:val="19"/>
              </w:rPr>
              <w:t xml:space="preserve">Career Knowledge Base</w:t>
            </w:r>
          </w:p>
        </w:tc>
        <w:tc>
          <w:tcPr>
            <w:tcW w:type="dxa" w:w="4200"/>
            <w:vAlign w:val="center"/>
          </w:tcPr>
          <w:p>
            <w:r>
              <w:rPr>
                <w:color w:val="1A1A2E"/>
                <w:sz w:val="19"/>
                <w:szCs w:val="19"/>
              </w:rPr>
              <w:t xml:space="preserve">CVs are outputs, never the master record. Structured knowledge is the source of truth.</w:t>
            </w:r>
          </w:p>
        </w:tc>
        <w:tc>
          <w:tcPr>
            <w:tcW w:type="dxa" w:w="2000"/>
            <w:shd w:fill="E3F3E8" w:val="clear"/>
            <w:vAlign w:val="center"/>
          </w:tcPr>
          <w:p>
            <w:pPr>
              <w:jc w:val="center"/>
            </w:pPr>
            <w:r>
              <w:rPr>
                <w:b/>
                <w:bCs/>
                <w:color w:val="1B7A43"/>
                <w:sz w:val="19"/>
                <w:szCs w:val="19"/>
              </w:rPr>
              <w:t xml:space="preserve">Compliant</w:t>
            </w:r>
          </w:p>
        </w:tc>
        <w:tc>
          <w:tcPr>
            <w:tcW w:type="dxa" w:w="1780"/>
            <w:vAlign w:val="center"/>
          </w:tcPr>
          <w:p>
            <w:r>
              <w:rPr>
                <w:color w:val="1A1A2E"/>
                <w:sz w:val="19"/>
                <w:szCs w:val="19"/>
              </w:rPr>
              <w:t xml:space="preserve">'users' table (backend/app/models/user.py) is the first node of the Career Knowledge Graph. No document store exists; no CV/cover-letter generation exists to violate this principle.</w:t>
            </w:r>
          </w:p>
        </w:tc>
      </w:tr>
      <w:tr>
        <w:tc>
          <w:tcPr>
            <w:tcW w:type="dxa" w:w="2600"/>
            <w:vAlign w:val="center"/>
          </w:tcPr>
          <w:p>
            <w:r>
              <w:rPr>
                <w:b/>
                <w:bCs/>
                <w:color w:val="1A1A2E"/>
                <w:sz w:val="19"/>
                <w:szCs w:val="19"/>
              </w:rPr>
              <w:t xml:space="preserve">Recommendation First</w:t>
            </w:r>
          </w:p>
        </w:tc>
        <w:tc>
          <w:tcPr>
            <w:tcW w:type="dxa" w:w="4200"/>
            <w:vAlign w:val="center"/>
          </w:tcPr>
          <w:p>
            <w:r>
              <w:rPr>
                <w:color w:val="1A1A2E"/>
                <w:sz w:val="19"/>
                <w:szCs w:val="19"/>
              </w:rPr>
              <w:t xml:space="preserve">Recommendations are primary; searching is secondary.</w:t>
            </w:r>
          </w:p>
        </w:tc>
        <w:tc>
          <w:tcPr>
            <w:tcW w:type="dxa" w:w="2000"/>
            <w:shd w:fill="EDEDED" w:val="clear"/>
            <w:vAlign w:val="center"/>
          </w:tcPr>
          <w:p>
            <w:pPr>
              <w:jc w:val="center"/>
            </w:pPr>
            <w:r>
              <w:rPr>
                <w:b/>
                <w:bCs/>
                <w:color w:val="6B6B6B"/>
                <w:sz w:val="19"/>
                <w:szCs w:val="19"/>
              </w:rPr>
              <w:t xml:space="preserve">Deferred (In Scope)</w:t>
            </w:r>
          </w:p>
        </w:tc>
        <w:tc>
          <w:tcPr>
            <w:tcW w:type="dxa" w:w="1780"/>
            <w:vAlign w:val="center"/>
          </w:tcPr>
          <w:p>
            <w:r>
              <w:rPr>
                <w:color w:val="1A1A2E"/>
                <w:sz w:val="19"/>
                <w:szCs w:val="19"/>
              </w:rPr>
              <w:t xml:space="preserve">Matching Engine and Job Intelligence are explicitly excluded from Sprint 1 scope. No recommendation or search surface exists yet, so the principle is not yet applicable.</w:t>
            </w:r>
          </w:p>
        </w:tc>
      </w:tr>
      <w:tr>
        <w:tc>
          <w:tcPr>
            <w:tcW w:type="dxa" w:w="2600"/>
            <w:vAlign w:val="center"/>
          </w:tcPr>
          <w:p>
            <w:r>
              <w:rPr>
                <w:b/>
                <w:bCs/>
                <w:color w:val="1A1A2E"/>
                <w:sz w:val="19"/>
                <w:szCs w:val="19"/>
              </w:rPr>
              <w:t xml:space="preserve">Human Approval</w:t>
            </w:r>
          </w:p>
        </w:tc>
        <w:tc>
          <w:tcPr>
            <w:tcW w:type="dxa" w:w="4200"/>
            <w:vAlign w:val="center"/>
          </w:tcPr>
          <w:p>
            <w:r>
              <w:rPr>
                <w:color w:val="1A1A2E"/>
                <w:sz w:val="19"/>
                <w:szCs w:val="19"/>
              </w:rPr>
              <w:t xml:space="preserve">Version 1 never auto-applies, auto-emails, auto-submits, or auto-replies.</w:t>
            </w:r>
          </w:p>
        </w:tc>
        <w:tc>
          <w:tcPr>
            <w:tcW w:type="dxa" w:w="2000"/>
            <w:shd w:fill="E3F3E8" w:val="clear"/>
            <w:vAlign w:val="center"/>
          </w:tcPr>
          <w:p>
            <w:pPr>
              <w:jc w:val="center"/>
            </w:pPr>
            <w:r>
              <w:rPr>
                <w:b/>
                <w:bCs/>
                <w:color w:val="1B7A43"/>
                <w:sz w:val="19"/>
                <w:szCs w:val="19"/>
              </w:rPr>
              <w:t xml:space="preserve">Compliant</w:t>
            </w:r>
          </w:p>
        </w:tc>
        <w:tc>
          <w:tcPr>
            <w:tcW w:type="dxa" w:w="1780"/>
            <w:vAlign w:val="center"/>
          </w:tcPr>
          <w:p>
            <w:r>
              <w:rPr>
                <w:color w:val="1A1A2E"/>
                <w:sz w:val="19"/>
                <w:szCs w:val="19"/>
              </w:rPr>
              <w:t xml:space="preserve">Auth framework (backend/app/api/v1/auth.py) only establishes identity via register/login/refresh/me. No outbound communication, application, or messaging capability exists anywhere in the codebase.</w:t>
            </w:r>
          </w:p>
        </w:tc>
      </w:tr>
      <w:tr>
        <w:tc>
          <w:tcPr>
            <w:tcW w:type="dxa" w:w="2600"/>
            <w:vAlign w:val="center"/>
          </w:tcPr>
          <w:p>
            <w:r>
              <w:rPr>
                <w:b/>
                <w:bCs/>
                <w:color w:val="1A1A2E"/>
                <w:sz w:val="19"/>
                <w:szCs w:val="19"/>
              </w:rPr>
              <w:t xml:space="preserve">Explainability</w:t>
            </w:r>
          </w:p>
        </w:tc>
        <w:tc>
          <w:tcPr>
            <w:tcW w:type="dxa" w:w="4200"/>
            <w:vAlign w:val="center"/>
          </w:tcPr>
          <w:p>
            <w:r>
              <w:rPr>
                <w:color w:val="1A1A2E"/>
                <w:sz w:val="19"/>
                <w:szCs w:val="19"/>
              </w:rPr>
              <w:t xml:space="preserve">Every recommendation must explain score, strengths, weaknesses, missing skills, salary and commute reasoning.</w:t>
            </w:r>
          </w:p>
        </w:tc>
        <w:tc>
          <w:tcPr>
            <w:tcW w:type="dxa" w:w="2000"/>
            <w:shd w:fill="EDEDED" w:val="clear"/>
            <w:vAlign w:val="center"/>
          </w:tcPr>
          <w:p>
            <w:pPr>
              <w:jc w:val="center"/>
            </w:pPr>
            <w:r>
              <w:rPr>
                <w:b/>
                <w:bCs/>
                <w:color w:val="6B6B6B"/>
                <w:sz w:val="19"/>
                <w:szCs w:val="19"/>
              </w:rPr>
              <w:t xml:space="preserve">Deferred (In Scope)</w:t>
            </w:r>
          </w:p>
        </w:tc>
        <w:tc>
          <w:tcPr>
            <w:tcW w:type="dxa" w:w="1780"/>
            <w:vAlign w:val="center"/>
          </w:tcPr>
          <w:p>
            <w:r>
              <w:rPr>
                <w:color w:val="1A1A2E"/>
                <w:sz w:val="19"/>
                <w:szCs w:val="19"/>
              </w:rPr>
              <w:t xml:space="preserve">No scoring or matching logic exists yet (correctly out of scope). What does exist -- health/readiness checks and API error responses -- is fully transparent (explicit status fields, structured {"error": {...}} shape, no opaque codes).</w:t>
            </w:r>
          </w:p>
        </w:tc>
      </w:tr>
      <w:tr>
        <w:tc>
          <w:tcPr>
            <w:tcW w:type="dxa" w:w="2600"/>
            <w:vAlign w:val="center"/>
          </w:tcPr>
          <w:p>
            <w:r>
              <w:rPr>
                <w:b/>
                <w:bCs/>
                <w:color w:val="1A1A2E"/>
                <w:sz w:val="19"/>
                <w:szCs w:val="19"/>
              </w:rPr>
              <w:t xml:space="preserve">Configuration</w:t>
            </w:r>
          </w:p>
        </w:tc>
        <w:tc>
          <w:tcPr>
            <w:tcW w:type="dxa" w:w="4200"/>
            <w:vAlign w:val="center"/>
          </w:tcPr>
          <w:p>
            <w:r>
              <w:rPr>
                <w:color w:val="1A1A2E"/>
                <w:sz w:val="19"/>
                <w:szCs w:val="19"/>
              </w:rPr>
              <w:t xml:space="preserve">Salary bands, commute radius, contract weighting, remote preference, thresholds, watchlists, learning priorities must be configurable, not hardcoded.</w:t>
            </w:r>
          </w:p>
        </w:tc>
        <w:tc>
          <w:tcPr>
            <w:tcW w:type="dxa" w:w="2000"/>
            <w:shd w:fill="E3F3E8" w:val="clear"/>
            <w:vAlign w:val="center"/>
          </w:tcPr>
          <w:p>
            <w:pPr>
              <w:jc w:val="center"/>
            </w:pPr>
            <w:r>
              <w:rPr>
                <w:b/>
                <w:bCs/>
                <w:color w:val="1B7A43"/>
                <w:sz w:val="19"/>
                <w:szCs w:val="19"/>
              </w:rPr>
              <w:t xml:space="preserve">Compliant</w:t>
            </w:r>
          </w:p>
        </w:tc>
        <w:tc>
          <w:tcPr>
            <w:tcW w:type="dxa" w:w="1780"/>
            <w:vAlign w:val="center"/>
          </w:tcPr>
          <w:p>
            <w:r>
              <w:rPr>
                <w:color w:val="1A1A2E"/>
                <w:sz w:val="19"/>
                <w:szCs w:val="19"/>
              </w:rPr>
              <w:t xml:space="preserve">All platform config (DB, auth, logging, CORS) is sourced from environment variables via pydantic-settings (backend/app/core/config.py). Domain configuration shape is documented in config/config.example.yaml ahead of the sprints that implement it.</w:t>
            </w:r>
          </w:p>
        </w:tc>
      </w:tr>
      <w:tr>
        <w:tc>
          <w:tcPr>
            <w:tcW w:type="dxa" w:w="2600"/>
            <w:vAlign w:val="center"/>
          </w:tcPr>
          <w:p>
            <w:r>
              <w:rPr>
                <w:b/>
                <w:bCs/>
                <w:color w:val="1A1A2E"/>
                <w:sz w:val="19"/>
                <w:szCs w:val="19"/>
              </w:rPr>
              <w:t xml:space="preserve">Docker First</w:t>
            </w:r>
          </w:p>
        </w:tc>
        <w:tc>
          <w:tcPr>
            <w:tcW w:type="dxa" w:w="4200"/>
            <w:vAlign w:val="center"/>
          </w:tcPr>
          <w:p>
            <w:r>
              <w:rPr>
                <w:color w:val="1A1A2E"/>
                <w:sz w:val="19"/>
                <w:szCs w:val="19"/>
              </w:rPr>
              <w:t xml:space="preserve">Entire system must run locally, Windows + Docker Compose, no cloud dependency.</w:t>
            </w:r>
          </w:p>
        </w:tc>
        <w:tc>
          <w:tcPr>
            <w:tcW w:type="dxa" w:w="2000"/>
            <w:shd w:fill="FCEFD9" w:val="clear"/>
            <w:vAlign w:val="center"/>
          </w:tcPr>
          <w:p>
            <w:pPr>
              <w:jc w:val="center"/>
            </w:pPr>
            <w:r>
              <w:rPr>
                <w:b/>
                <w:bCs/>
                <w:color w:val="B26A00"/>
                <w:sz w:val="19"/>
                <w:szCs w:val="19"/>
              </w:rPr>
              <w:t xml:space="preserve">Partial</w:t>
            </w:r>
          </w:p>
        </w:tc>
        <w:tc>
          <w:tcPr>
            <w:tcW w:type="dxa" w:w="1780"/>
            <w:vAlign w:val="center"/>
          </w:tcPr>
          <w:p>
            <w:r>
              <w:rPr>
                <w:color w:val="1A1A2E"/>
                <w:sz w:val="19"/>
                <w:szCs w:val="19"/>
              </w:rPr>
              <w:t xml:space="preserve">docker-compose.yml defines db/backend/frontend services with no cloud dependency and has been reviewed line-by-line. Not yet executed end-to-end: no Docker daemon was available in the build/verification environment used to produce this report. See Section 5.</w:t>
            </w:r>
          </w:p>
        </w:tc>
      </w:tr>
      <w:tr>
        <w:tc>
          <w:tcPr>
            <w:tcW w:type="dxa" w:w="2600"/>
            <w:vAlign w:val="center"/>
          </w:tcPr>
          <w:p>
            <w:r>
              <w:rPr>
                <w:b/>
                <w:bCs/>
                <w:color w:val="1A1A2E"/>
                <w:sz w:val="19"/>
                <w:szCs w:val="19"/>
              </w:rPr>
              <w:t xml:space="preserve">API First</w:t>
            </w:r>
          </w:p>
        </w:tc>
        <w:tc>
          <w:tcPr>
            <w:tcW w:type="dxa" w:w="4200"/>
            <w:vAlign w:val="center"/>
          </w:tcPr>
          <w:p>
            <w:r>
              <w:rPr>
                <w:color w:val="1A1A2E"/>
                <w:sz w:val="19"/>
                <w:szCs w:val="19"/>
              </w:rPr>
              <w:t xml:space="preserve">Every capability exposed through documented REST APIs; frontend consumes backend APIs.</w:t>
            </w:r>
          </w:p>
        </w:tc>
        <w:tc>
          <w:tcPr>
            <w:tcW w:type="dxa" w:w="2000"/>
            <w:shd w:fill="E3F3E8" w:val="clear"/>
            <w:vAlign w:val="center"/>
          </w:tcPr>
          <w:p>
            <w:pPr>
              <w:jc w:val="center"/>
            </w:pPr>
            <w:r>
              <w:rPr>
                <w:b/>
                <w:bCs/>
                <w:color w:val="1B7A43"/>
                <w:sz w:val="19"/>
                <w:szCs w:val="19"/>
              </w:rPr>
              <w:t xml:space="preserve">Compliant</w:t>
            </w:r>
          </w:p>
        </w:tc>
        <w:tc>
          <w:tcPr>
            <w:tcW w:type="dxa" w:w="1780"/>
            <w:vAlign w:val="center"/>
          </w:tcPr>
          <w:p>
            <w:r>
              <w:rPr>
                <w:color w:val="1A1A2E"/>
                <w:sz w:val="19"/>
                <w:szCs w:val="19"/>
              </w:rPr>
              <w:t xml:space="preserve">All capability is under /api/v1, auto-documented via OpenAPI (/docs, /redoc) and docs/API.md. The React frontend calls only the health endpoint over HTTP -- no shared backend internals.</w:t>
            </w:r>
          </w:p>
        </w:tc>
      </w:tr>
      <w:tr>
        <w:tc>
          <w:tcPr>
            <w:tcW w:type="dxa" w:w="2600"/>
            <w:vAlign w:val="center"/>
          </w:tcPr>
          <w:p>
            <w:r>
              <w:rPr>
                <w:b/>
                <w:bCs/>
                <w:color w:val="1A1A2E"/>
                <w:sz w:val="19"/>
                <w:szCs w:val="19"/>
              </w:rPr>
              <w:t xml:space="preserve">Test First</w:t>
            </w:r>
          </w:p>
        </w:tc>
        <w:tc>
          <w:tcPr>
            <w:tcW w:type="dxa" w:w="4200"/>
            <w:vAlign w:val="center"/>
          </w:tcPr>
          <w:p>
            <w:r>
              <w:rPr>
                <w:color w:val="1A1A2E"/>
                <w:sz w:val="19"/>
                <w:szCs w:val="19"/>
              </w:rPr>
              <w:t xml:space="preserve">Every sprint includes unit tests, API tests, migration validation, and Docker verification.</w:t>
            </w:r>
          </w:p>
        </w:tc>
        <w:tc>
          <w:tcPr>
            <w:tcW w:type="dxa" w:w="2000"/>
            <w:shd w:fill="FCEFD9" w:val="clear"/>
            <w:vAlign w:val="center"/>
          </w:tcPr>
          <w:p>
            <w:pPr>
              <w:jc w:val="center"/>
            </w:pPr>
            <w:r>
              <w:rPr>
                <w:b/>
                <w:bCs/>
                <w:color w:val="B26A00"/>
                <w:sz w:val="19"/>
                <w:szCs w:val="19"/>
              </w:rPr>
              <w:t xml:space="preserve">Partial</w:t>
            </w:r>
          </w:p>
        </w:tc>
        <w:tc>
          <w:tcPr>
            <w:tcW w:type="dxa" w:w="1780"/>
            <w:vAlign w:val="center"/>
          </w:tcPr>
          <w:p>
            <w:r>
              <w:rPr>
                <w:color w:val="1A1A2E"/>
                <w:sz w:val="19"/>
                <w:szCs w:val="19"/>
              </w:rPr>
              <w:t xml:space="preserve">12 unit/API tests pass (pytest, in-memory SQLite). Migration schema validated via equivalent SQLAlchemy metadata creation in tests, but not executed via 'alembic upgrade head' against a live Postgres instance. Docker verification not performed end-to-end. See Section 5.</w:t>
            </w:r>
          </w:p>
        </w:tc>
      </w:tr>
      <w:tr>
        <w:tc>
          <w:tcPr>
            <w:tcW w:type="dxa" w:w="2600"/>
            <w:vAlign w:val="center"/>
          </w:tcPr>
          <w:p>
            <w:r>
              <w:rPr>
                <w:b/>
                <w:bCs/>
                <w:color w:val="1A1A2E"/>
                <w:sz w:val="19"/>
                <w:szCs w:val="19"/>
              </w:rPr>
              <w:t xml:space="preserve">ADR Governance</w:t>
            </w:r>
          </w:p>
        </w:tc>
        <w:tc>
          <w:tcPr>
            <w:tcW w:type="dxa" w:w="4200"/>
            <w:vAlign w:val="center"/>
          </w:tcPr>
          <w:p>
            <w:r>
              <w:rPr>
                <w:color w:val="1A1A2E"/>
                <w:sz w:val="19"/>
                <w:szCs w:val="19"/>
              </w:rPr>
              <w:t xml:space="preserve">Any architectural change outside the approved specification requires an ADR.</w:t>
            </w:r>
          </w:p>
        </w:tc>
        <w:tc>
          <w:tcPr>
            <w:tcW w:type="dxa" w:w="2000"/>
            <w:shd w:fill="E3F3E8" w:val="clear"/>
            <w:vAlign w:val="center"/>
          </w:tcPr>
          <w:p>
            <w:pPr>
              <w:jc w:val="center"/>
            </w:pPr>
            <w:r>
              <w:rPr>
                <w:b/>
                <w:bCs/>
                <w:color w:val="1B7A43"/>
                <w:sz w:val="19"/>
                <w:szCs w:val="19"/>
              </w:rPr>
              <w:t xml:space="preserve">Compliant</w:t>
            </w:r>
          </w:p>
        </w:tc>
        <w:tc>
          <w:tcPr>
            <w:tcW w:type="dxa" w:w="1780"/>
            <w:vAlign w:val="center"/>
          </w:tcPr>
          <w:p>
            <w:r>
              <w:rPr>
                <w:color w:val="1A1A2E"/>
                <w:sz w:val="19"/>
                <w:szCs w:val="19"/>
              </w:rPr>
              <w:t xml:space="preserve">docs/adr/0001-sprint1-foundation-stack.md documents the technology choices (FastAPI, SQLAlchemy 2.0 async, PostgreSQL, Alembic, JWT auth) and their consequences. No undocumented architectural deviation was made.</w:t>
            </w:r>
          </w:p>
        </w:tc>
      </w:tr>
    </w:tbl>
    <w:p>
      <w:pPr>
        <w:pStyle w:val="Heading1"/>
        <w:pBdr>
          <w:bottom w:val="single" w:color="2E4057" w:sz="6" w:space="4"/>
        </w:pBdr>
        <w:spacing w:after="160" w:before="360"/>
      </w:pPr>
      <w:r>
        <w:rPr>
          <w:b/>
          <w:bCs/>
          <w:color w:val="1A1A2E"/>
          <w:sz w:val="26"/>
          <w:szCs w:val="26"/>
        </w:rPr>
        <w:t xml:space="preserve">3. Sprint 1 Deliverables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shd w:fill="2E4057" w:val="clear"/>
            <w:vAlign w:val="center"/>
          </w:tcPr>
          <w:p>
            <w:r>
              <w:rPr>
                <w:b/>
                <w:bCs/>
                <w:color w:val="FFFFFF"/>
                <w:sz w:val="19"/>
                <w:szCs w:val="19"/>
              </w:rPr>
              <w:t xml:space="preserve">Sprint 1 Requirement</w:t>
            </w:r>
          </w:p>
        </w:tc>
        <w:tc>
          <w:tcPr>
            <w:tcW w:type="dxa" w:w="1500"/>
            <w:shd w:fill="2E4057" w:val="clear"/>
            <w:vAlign w:val="center"/>
          </w:tcPr>
          <w:p>
            <w:r>
              <w:rPr>
                <w:b/>
                <w:bCs/>
                <w:color w:val="FFFFFF"/>
                <w:sz w:val="19"/>
                <w:szCs w:val="19"/>
              </w:rPr>
              <w:t xml:space="preserve">Status</w:t>
            </w:r>
          </w:p>
        </w:tc>
        <w:tc>
          <w:tcPr>
            <w:tcW w:type="dxa" w:w="5180"/>
            <w:shd w:fill="2E4057" w:val="clear"/>
            <w:vAlign w:val="center"/>
          </w:tcPr>
          <w:p>
            <w:r>
              <w:rPr>
                <w:b/>
                <w:bCs/>
                <w:color w:val="FFFFFF"/>
                <w:sz w:val="19"/>
                <w:szCs w:val="19"/>
              </w:rPr>
              <w:t xml:space="preserve">Notes</w:t>
            </w:r>
          </w:p>
        </w:tc>
      </w:tr>
      <w:tr>
        <w:tc>
          <w:tcPr>
            <w:tcW w:type="dxa" w:w="3400"/>
            <w:vAlign w:val="center"/>
          </w:tcPr>
          <w:p>
            <w:r>
              <w:rPr>
                <w:b/>
                <w:bCs/>
                <w:color w:val="1A1A2E"/>
                <w:sz w:val="19"/>
                <w:szCs w:val="19"/>
              </w:rPr>
              <w:t xml:space="preserve">Docker Compose</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db + backend + frontend services defined; not yet run end-to-end (no Docker daemon in build environment).</w:t>
            </w:r>
          </w:p>
        </w:tc>
      </w:tr>
      <w:tr>
        <w:tc>
          <w:tcPr>
            <w:tcW w:type="dxa" w:w="3400"/>
            <w:vAlign w:val="center"/>
          </w:tcPr>
          <w:p>
            <w:r>
              <w:rPr>
                <w:b/>
                <w:bCs/>
                <w:color w:val="1A1A2E"/>
                <w:sz w:val="19"/>
                <w:szCs w:val="19"/>
              </w:rPr>
              <w:t xml:space="preserve">FastAPI</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Versioned API, OpenAPI docs at /docs and /redoc.</w:t>
            </w:r>
          </w:p>
        </w:tc>
      </w:tr>
      <w:tr>
        <w:tc>
          <w:tcPr>
            <w:tcW w:type="dxa" w:w="3400"/>
            <w:vAlign w:val="center"/>
          </w:tcPr>
          <w:p>
            <w:r>
              <w:rPr>
                <w:b/>
                <w:bCs/>
                <w:color w:val="1A1A2E"/>
                <w:sz w:val="19"/>
                <w:szCs w:val="19"/>
              </w:rPr>
              <w:t xml:space="preserve">PostgreSQL</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Postgres 16 service; async app driver (asyncpg).</w:t>
            </w:r>
          </w:p>
        </w:tc>
      </w:tr>
      <w:tr>
        <w:tc>
          <w:tcPr>
            <w:tcW w:type="dxa" w:w="3400"/>
            <w:vAlign w:val="center"/>
          </w:tcPr>
          <w:p>
            <w:r>
              <w:rPr>
                <w:b/>
                <w:bCs/>
                <w:color w:val="1A1A2E"/>
                <w:sz w:val="19"/>
                <w:szCs w:val="19"/>
              </w:rPr>
              <w:t xml:space="preserve">Alembic</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Sync migration driver (psycopg2); initial 'users' migration authored and schema-validated in tests.</w:t>
            </w:r>
          </w:p>
        </w:tc>
      </w:tr>
      <w:tr>
        <w:tc>
          <w:tcPr>
            <w:tcW w:type="dxa" w:w="3400"/>
            <w:vAlign w:val="center"/>
          </w:tcPr>
          <w:p>
            <w:r>
              <w:rPr>
                <w:b/>
                <w:bCs/>
                <w:color w:val="1A1A2E"/>
                <w:sz w:val="19"/>
                <w:szCs w:val="19"/>
              </w:rPr>
              <w:t xml:space="preserve">Authentication framework</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JWT access + refresh, bcrypt hashing; no automatic outbound action.</w:t>
            </w:r>
          </w:p>
        </w:tc>
      </w:tr>
      <w:tr>
        <w:tc>
          <w:tcPr>
            <w:tcW w:type="dxa" w:w="3400"/>
            <w:vAlign w:val="center"/>
          </w:tcPr>
          <w:p>
            <w:r>
              <w:rPr>
                <w:b/>
                <w:bCs/>
                <w:color w:val="1A1A2E"/>
                <w:sz w:val="19"/>
                <w:szCs w:val="19"/>
              </w:rPr>
              <w:t xml:space="preserve">Configuration management</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All platform config via environment variables; domain config documented as placeholder.</w:t>
            </w:r>
          </w:p>
        </w:tc>
      </w:tr>
      <w:tr>
        <w:tc>
          <w:tcPr>
            <w:tcW w:type="dxa" w:w="3400"/>
            <w:vAlign w:val="center"/>
          </w:tcPr>
          <w:p>
            <w:r>
              <w:rPr>
                <w:b/>
                <w:bCs/>
                <w:color w:val="1A1A2E"/>
                <w:sz w:val="19"/>
                <w:szCs w:val="19"/>
              </w:rPr>
              <w:t xml:space="preserve">Logging</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Structured JSON/plain-text logs; request ID, path, method, status, duration on every request.</w:t>
            </w:r>
          </w:p>
        </w:tc>
      </w:tr>
      <w:tr>
        <w:tc>
          <w:tcPr>
            <w:tcW w:type="dxa" w:w="3400"/>
            <w:vAlign w:val="center"/>
          </w:tcPr>
          <w:p>
            <w:r>
              <w:rPr>
                <w:b/>
                <w:bCs/>
                <w:color w:val="1A1A2E"/>
                <w:sz w:val="19"/>
                <w:szCs w:val="19"/>
              </w:rPr>
              <w:t xml:space="preserve">Health monitoring</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Liveness, DB-aware readiness, and summary endpoints.</w:t>
            </w:r>
          </w:p>
        </w:tc>
      </w:tr>
      <w:tr>
        <w:tc>
          <w:tcPr>
            <w:tcW w:type="dxa" w:w="3400"/>
            <w:vAlign w:val="center"/>
          </w:tcPr>
          <w:p>
            <w:r>
              <w:rPr>
                <w:b/>
                <w:bCs/>
                <w:color w:val="1A1A2E"/>
                <w:sz w:val="19"/>
                <w:szCs w:val="19"/>
              </w:rPr>
              <w:t xml:space="preserve">Project structure</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/backend /frontend /docs /docker /config /scripts /prompts /tests /data present.</w:t>
            </w:r>
          </w:p>
        </w:tc>
      </w:tr>
      <w:tr>
        <w:tc>
          <w:tcPr>
            <w:tcW w:type="dxa" w:w="3400"/>
            <w:vAlign w:val="center"/>
          </w:tcPr>
          <w:p>
            <w:r>
              <w:rPr>
                <w:b/>
                <w:bCs/>
                <w:color w:val="1A1A2E"/>
                <w:sz w:val="19"/>
                <w:szCs w:val="19"/>
              </w:rPr>
              <w:t xml:space="preserve">Developer documentation</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README, ARCHITECTURE.md, API.md, ADR 0001.</w:t>
            </w:r>
          </w:p>
        </w:tc>
      </w:tr>
      <w:tr>
        <w:tc>
          <w:tcPr>
            <w:tcW w:type="dxa" w:w="3400"/>
            <w:vAlign w:val="center"/>
          </w:tcPr>
          <w:p>
            <w:r>
              <w:rPr>
                <w:b/>
                <w:bCs/>
                <w:color w:val="1A1A2E"/>
                <w:sz w:val="19"/>
                <w:szCs w:val="19"/>
              </w:rPr>
              <w:t xml:space="preserve">Unit tests</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12 tests, all passing (verified this session).</w:t>
            </w:r>
          </w:p>
        </w:tc>
      </w:tr>
      <w:tr>
        <w:tc>
          <w:tcPr>
            <w:tcW w:type="dxa" w:w="3400"/>
            <w:vAlign w:val="center"/>
          </w:tcPr>
          <w:p>
            <w:r>
              <w:rPr>
                <w:b/>
                <w:bCs/>
                <w:color w:val="1A1A2E"/>
                <w:sz w:val="19"/>
                <w:szCs w:val="19"/>
              </w:rPr>
              <w:t xml:space="preserve">API tests</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Full auth + health flow exercised via httpx AsyncClient.</w:t>
            </w:r>
          </w:p>
        </w:tc>
      </w:tr>
      <w:tr>
        <w:tc>
          <w:tcPr>
            <w:tcW w:type="dxa" w:w="3400"/>
            <w:vAlign w:val="center"/>
          </w:tcPr>
          <w:p>
            <w:r>
              <w:rPr>
                <w:b/>
                <w:bCs/>
                <w:color w:val="1A1A2E"/>
                <w:sz w:val="19"/>
                <w:szCs w:val="19"/>
              </w:rPr>
              <w:t xml:space="preserve">Migration validation</w:t>
            </w:r>
          </w:p>
        </w:tc>
        <w:tc>
          <w:tcPr>
            <w:tcW w:type="dxa" w:w="2000"/>
            <w:shd w:fill="FCEFD9" w:val="clear"/>
            <w:vAlign w:val="center"/>
          </w:tcPr>
          <w:p>
            <w:pPr>
              <w:jc w:val="center"/>
            </w:pPr>
            <w:r>
              <w:rPr>
                <w:b/>
                <w:bCs/>
                <w:color w:val="B26A00"/>
                <w:sz w:val="19"/>
                <w:szCs w:val="19"/>
              </w:rPr>
              <w:t xml:space="preserve">Partial</w:t>
            </w:r>
          </w:p>
        </w:tc>
        <w:tc>
          <w:tcPr>
            <w:tcW w:type="dxa" w:w="5180"/>
            <w:vAlign w:val="center"/>
          </w:tcPr>
          <w:p>
            <w:r>
              <w:rPr>
                <w:color w:val="1A1A2E"/>
                <w:sz w:val="19"/>
                <w:szCs w:val="19"/>
              </w:rPr>
              <w:t xml:space="preserve">Schema validated via SQLAlchemy metadata in-test; not run via 'alembic upgrade head' against live Postgres.</w:t>
            </w:r>
          </w:p>
        </w:tc>
      </w:tr>
      <w:tr>
        <w:tc>
          <w:tcPr>
            <w:tcW w:type="dxa" w:w="3400"/>
            <w:vAlign w:val="center"/>
          </w:tcPr>
          <w:p>
            <w:r>
              <w:rPr>
                <w:b/>
                <w:bCs/>
                <w:color w:val="1A1A2E"/>
                <w:sz w:val="19"/>
                <w:szCs w:val="19"/>
              </w:rPr>
              <w:t xml:space="preserve">Docker verification</w:t>
            </w:r>
          </w:p>
        </w:tc>
        <w:tc>
          <w:tcPr>
            <w:tcW w:type="dxa" w:w="2000"/>
            <w:shd w:fill="FCEFD9" w:val="clear"/>
            <w:vAlign w:val="center"/>
          </w:tcPr>
          <w:p>
            <w:pPr>
              <w:jc w:val="center"/>
            </w:pPr>
            <w:r>
              <w:rPr>
                <w:b/>
                <w:bCs/>
                <w:color w:val="B26A00"/>
                <w:sz w:val="19"/>
                <w:szCs w:val="19"/>
              </w:rPr>
              <w:t xml:space="preserve">Partial</w:t>
            </w:r>
          </w:p>
        </w:tc>
        <w:tc>
          <w:tcPr>
            <w:tcW w:type="dxa" w:w="5180"/>
            <w:vAlign w:val="center"/>
          </w:tcPr>
          <w:p>
            <w:r>
              <w:rPr>
                <w:color w:val="1A1A2E"/>
                <w:sz w:val="19"/>
                <w:szCs w:val="19"/>
              </w:rPr>
              <w:t xml:space="preserve">Compose file and Dockerfiles authored and reviewed; not executed end-to-end.</w:t>
            </w:r>
          </w:p>
        </w:tc>
      </w:tr>
      <w:tr>
        <w:tc>
          <w:tcPr>
            <w:tcW w:type="dxa" w:w="3400"/>
            <w:vAlign w:val="center"/>
          </w:tcPr>
          <w:p>
            <w:r>
              <w:rPr>
                <w:b/>
                <w:bCs/>
                <w:color w:val="1A1A2E"/>
                <w:sz w:val="19"/>
                <w:szCs w:val="19"/>
              </w:rPr>
              <w:t xml:space="preserve">ADR governance</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ADR 0001 documents the stack decision.</w:t>
            </w:r>
          </w:p>
        </w:tc>
      </w:tr>
      <w:tr>
        <w:tc>
          <w:tcPr>
            <w:tcW w:type="dxa" w:w="3400"/>
            <w:vAlign w:val="center"/>
          </w:tcPr>
          <w:p>
            <w:r>
              <w:rPr>
                <w:b/>
                <w:bCs/>
                <w:color w:val="1A1A2E"/>
                <w:sz w:val="19"/>
                <w:szCs w:val="19"/>
              </w:rPr>
              <w:t xml:space="preserve">No AI / scraping / matching / doc-gen</w:t>
            </w:r>
          </w:p>
        </w:tc>
        <w:tc>
          <w:tcPr>
            <w:tcW w:type="dxa" w:w="2000"/>
            <w:shd w:fill="E3F3E8" w:val="clear"/>
            <w:vAlign w:val="center"/>
          </w:tcPr>
          <w:p>
            <w:pPr>
              <w:jc w:val="center"/>
            </w:pPr>
            <w:r>
              <w:rPr>
                <w:b/>
                <w:bCs/>
                <w:color w:val="1B7A43"/>
                <w:sz w:val="19"/>
                <w:szCs w:val="19"/>
              </w:rPr>
              <w:t xml:space="preserve">Compliant</w:t>
            </w:r>
          </w:p>
        </w:tc>
        <w:tc>
          <w:tcPr>
            <w:tcW w:type="dxa" w:w="5180"/>
            <w:vAlign w:val="center"/>
          </w:tcPr>
          <w:p>
            <w:r>
              <w:rPr>
                <w:color w:val="1A1A2E"/>
                <w:sz w:val="19"/>
                <w:szCs w:val="19"/>
              </w:rPr>
              <w:t xml:space="preserve">Confirmed absent from the codebase, per Sprint 1 scope restriction.</w:t>
            </w:r>
          </w:p>
        </w:tc>
      </w:tr>
    </w:tbl>
    <w:p>
      <w:pPr>
        <w:pStyle w:val="Heading1"/>
        <w:pBdr>
          <w:bottom w:val="single" w:color="2E4057" w:sz="6" w:space="4"/>
        </w:pBdr>
        <w:spacing w:after="160" w:before="360"/>
      </w:pPr>
      <w:r>
        <w:rPr>
          <w:b/>
          <w:bCs/>
          <w:color w:val="1A1A2E"/>
          <w:sz w:val="26"/>
          <w:szCs w:val="26"/>
        </w:rPr>
        <w:t xml:space="preserve">4. Verification Evidence</w:t>
      </w:r>
    </w:p>
    <w:p>
      <w:pPr>
        <w:pStyle w:val="Heading2"/>
        <w:spacing w:after="120" w:before="280"/>
      </w:pPr>
      <w:r>
        <w:rPr>
          <w:b/>
          <w:bCs/>
          <w:color w:val="2E4057"/>
          <w:sz w:val="22"/>
          <w:szCs w:val="22"/>
        </w:rPr>
        <w:t xml:space="preserve">Testing performed this session</w:t>
      </w:r>
    </w:p>
    <w:p>
      <w:pPr>
        <w:pStyle w:val="ListParagraph"/>
        <w:numPr>
          <w:ilvl w:val="0"/>
          <w:numId w:val="2"/>
        </w:numPr>
        <w:spacing w:after="80"/>
      </w:pPr>
      <w:r>
        <w:rPr>
          <w:color w:val="1A1A2E"/>
          <w:sz w:val="21"/>
          <w:szCs w:val="21"/>
        </w:rPr>
        <w:t xml:space="preserve">Installed all backend dependencies and ran the full pytest suite: 12 of 12 tests passed, covering configuration, health/readiness, and the complete auth flow (register, duplicate-email rejection, login, wrong-password rejection, unauthenticated access, token refresh).</w:t>
      </w:r>
    </w:p>
    <w:p>
      <w:pPr>
        <w:pStyle w:val="ListParagraph"/>
        <w:numPr>
          <w:ilvl w:val="0"/>
          <w:numId w:val="2"/>
        </w:numPr>
        <w:spacing w:after="80"/>
      </w:pPr>
      <w:r>
        <w:rPr>
          <w:color w:val="1A1A2E"/>
          <w:sz w:val="21"/>
          <w:szCs w:val="21"/>
        </w:rPr>
        <w:t xml:space="preserve">Compiled every backend Python file with py_compile: no syntax errors.</w:t>
      </w:r>
    </w:p>
    <w:p>
      <w:pPr>
        <w:pStyle w:val="ListParagraph"/>
        <w:numPr>
          <w:ilvl w:val="0"/>
          <w:numId w:val="2"/>
        </w:numPr>
        <w:spacing w:after="80"/>
      </w:pPr>
      <w:r>
        <w:rPr>
          <w:color w:val="1A1A2E"/>
          <w:sz w:val="21"/>
          <w:szCs w:val="21"/>
        </w:rPr>
        <w:t xml:space="preserve">Imported the app's config, database, and model modules directly and confirmed the 'users' table registers correctly on SQLAlchemy's metadata.</w:t>
      </w:r>
    </w:p>
    <w:p>
      <w:pPr>
        <w:pStyle w:val="ListParagraph"/>
        <w:numPr>
          <w:ilvl w:val="0"/>
          <w:numId w:val="2"/>
        </w:numPr>
        <w:spacing w:after="80"/>
      </w:pPr>
      <w:r>
        <w:rPr>
          <w:color w:val="1A1A2E"/>
          <w:sz w:val="21"/>
          <w:szCs w:val="21"/>
        </w:rPr>
        <w:t xml:space="preserve">Installed frontend dependencies, ran 'tsc -b' (zero type errors), and ran a production 'vite build' (succeeded, 31 modules transformed).</w:t>
      </w:r>
    </w:p>
    <w:p>
      <w:pPr>
        <w:pStyle w:val="Heading2"/>
        <w:spacing w:after="120" w:before="280"/>
      </w:pPr>
      <w:r>
        <w:rPr>
          <w:b/>
          <w:bCs/>
          <w:color w:val="2E4057"/>
          <w:sz w:val="22"/>
          <w:szCs w:val="22"/>
        </w:rPr>
        <w:t xml:space="preserve">Defects found and corrected</w:t>
      </w:r>
    </w:p>
    <w:p>
      <w:pPr>
        <w:pStyle w:val="ListParagraph"/>
        <w:numPr>
          <w:ilvl w:val="0"/>
          <w:numId w:val="2"/>
        </w:numPr>
        <w:spacing w:after="80"/>
      </w:pPr>
      <w:r>
        <w:rPr>
          <w:color w:val="1A1A2E"/>
          <w:sz w:val="21"/>
          <w:szCs w:val="21"/>
        </w:rPr>
        <w:t xml:space="preserve">UUID/dialect mismatch: User.id is typed as a PostgreSQL UUID, which expects a Python uuid.UUID object. The /auth/me and /auth/refresh code paths compared it directly against the raw string JWT 'sub' claim -- masked under Postgres by implicit casting, but failing under the SQLite test database. Fixed by explicitly parsing the claim to uuid.UUID before querying, returning 401 on malformed input.</w:t>
      </w:r>
    </w:p>
    <w:p>
      <w:pPr>
        <w:pStyle w:val="ListParagraph"/>
        <w:numPr>
          <w:ilvl w:val="0"/>
          <w:numId w:val="2"/>
        </w:numPr>
        <w:spacing w:after="80"/>
      </w:pPr>
      <w:r>
        <w:rPr>
          <w:color w:val="1A1A2E"/>
          <w:sz w:val="21"/>
          <w:szCs w:val="21"/>
        </w:rPr>
        <w:t xml:space="preserve">Readiness check bypassed dependency injection: the database connectivity check reached for the module-level engine directly instead of the request-scoped session, so /health/ready could not be tested without a live Postgres instance and was not a faithful readiness check. Fixed by injecting the session via the existing get_db dependency.</w:t>
      </w:r>
    </w:p>
    <w:p>
      <w:pPr>
        <w:spacing w:after="140"/>
      </w:pPr>
      <w:r>
        <w:rPr>
          <w:color w:val="1A1A2E"/>
          <w:sz w:val="21"/>
          <w:szCs w:val="21"/>
        </w:rPr>
        <w:t xml:space="preserve">Both fixes are present in the delivered code and exercised by the current test suite.</w:t>
      </w:r>
    </w:p>
    <w:p>
      <w:pPr>
        <w:pStyle w:val="Heading1"/>
        <w:pBdr>
          <w:bottom w:val="single" w:color="2E4057" w:sz="6" w:space="4"/>
        </w:pBdr>
        <w:spacing w:after="160" w:before="360"/>
      </w:pPr>
      <w:r>
        <w:rPr>
          <w:b/>
          <w:bCs/>
          <w:color w:val="1A1A2E"/>
          <w:sz w:val="26"/>
          <w:szCs w:val="26"/>
        </w:rPr>
        <w:t xml:space="preserve">5. Known Limitations / Non-Conformances</w:t>
      </w:r>
    </w:p>
    <w:p>
      <w:pPr>
        <w:pStyle w:val="ListParagraph"/>
        <w:numPr>
          <w:ilvl w:val="0"/>
          <w:numId w:val="2"/>
        </w:numPr>
        <w:spacing w:after="80"/>
      </w:pPr>
      <w:r>
        <w:rPr>
          <w:color w:val="1A1A2E"/>
          <w:sz w:val="21"/>
          <w:szCs w:val="21"/>
        </w:rPr>
        <w:t xml:space="preserve">Not run against live Docker/Postgres. The build/verification environment used for this report has no Docker daemon, so 'docker compose up --build' has not been executed end-to-end. The Compose file, Dockerfiles, and Alembic migration were reviewed line-by-line and the equivalent schema/queries proven against SQLite, but this is not a substitute for a live run. Remediation: run 'docker compose up --build' on the target Windows/Docker Desktop machine as the first acceptance step, and re-run the pytest suite against the resulting Postgres instance.</w:t>
      </w:r>
    </w:p>
    <w:p>
      <w:pPr>
        <w:pStyle w:val="ListParagraph"/>
        <w:numPr>
          <w:ilvl w:val="0"/>
          <w:numId w:val="2"/>
        </w:numPr>
        <w:spacing w:after="80"/>
      </w:pPr>
      <w:r>
        <w:rPr>
          <w:color w:val="1A1A2E"/>
          <w:sz w:val="21"/>
          <w:szCs w:val="21"/>
        </w:rPr>
        <w:t xml:space="preserve">Default SECRET_KEY is a placeholder. .env.example ships an intentionally insecure default that must be replaced (openssl rand -hex 32) before any use beyond local development.</w:t>
      </w:r>
    </w:p>
    <w:p>
      <w:pPr>
        <w:pStyle w:val="ListParagraph"/>
        <w:numPr>
          <w:ilvl w:val="0"/>
          <w:numId w:val="2"/>
        </w:numPr>
        <w:spacing w:after="80"/>
      </w:pPr>
      <w:r>
        <w:rPr>
          <w:color w:val="1A1A2E"/>
          <w:sz w:val="21"/>
          <w:szCs w:val="21"/>
        </w:rPr>
        <w:t xml:space="preserve">No role-based authorization yet. Appropriate for a single-user Sprint 1; will need addressing before the multi-user SaaS phase.</w:t>
      </w:r>
    </w:p>
    <w:p>
      <w:pPr>
        <w:pStyle w:val="ListParagraph"/>
        <w:numPr>
          <w:ilvl w:val="0"/>
          <w:numId w:val="2"/>
        </w:numPr>
        <w:spacing w:after="80"/>
      </w:pPr>
      <w:r>
        <w:rPr>
          <w:color w:val="1A1A2E"/>
          <w:sz w:val="21"/>
          <w:szCs w:val="21"/>
        </w:rPr>
        <w:t xml:space="preserve">No rate limiting or account lockout on login/register. Acceptable for local single-user use; should be added before any externally-reachable deployment.</w:t>
      </w:r>
    </w:p>
    <w:p>
      <w:pPr>
        <w:pStyle w:val="ListParagraph"/>
        <w:numPr>
          <w:ilvl w:val="0"/>
          <w:numId w:val="2"/>
        </w:numPr>
        <w:spacing w:after="80"/>
      </w:pPr>
      <w:r>
        <w:rPr>
          <w:color w:val="1A1A2E"/>
          <w:sz w:val="21"/>
          <w:szCs w:val="21"/>
        </w:rPr>
        <w:t xml:space="preserve">config/config.example.yaml documents intended domain configuration (salary bands, commute radius, matching weights, watchlists, learning priorities) but nothing in Sprint 1 reads it yet -- correct for this sprint's scope, flagged so it is not mistaken for already being wired up.</w:t>
      </w:r>
    </w:p>
    <w:p>
      <w:pPr>
        <w:pStyle w:val="ListParagraph"/>
        <w:numPr>
          <w:ilvl w:val="0"/>
          <w:numId w:val="2"/>
        </w:numPr>
        <w:spacing w:after="80"/>
      </w:pPr>
      <w:r>
        <w:rPr>
          <w:color w:val="1A1A2E"/>
          <w:sz w:val="21"/>
          <w:szCs w:val="21"/>
        </w:rPr>
        <w:t xml:space="preserve">Frontend is a placeholder shell proving the API-first contract, not a dashboard.</w:t>
      </w:r>
    </w:p>
    <w:p>
      <w:pPr>
        <w:pStyle w:val="Heading1"/>
        <w:pBdr>
          <w:bottom w:val="single" w:color="2E4057" w:sz="6" w:space="4"/>
        </w:pBdr>
        <w:spacing w:after="160" w:before="360"/>
      </w:pPr>
      <w:r>
        <w:rPr>
          <w:b/>
          <w:bCs/>
          <w:color w:val="1A1A2E"/>
          <w:sz w:val="26"/>
          <w:szCs w:val="26"/>
        </w:rPr>
        <w:t xml:space="preserve">6. Recommendation and Requested Authorization</w:t>
      </w:r>
    </w:p>
    <w:p>
      <w:pPr>
        <w:spacing w:after="140"/>
      </w:pPr>
      <w:r>
        <w:rPr>
          <w:color w:val="1A1A2E"/>
          <w:sz w:val="21"/>
          <w:szCs w:val="21"/>
        </w:rPr>
        <w:t xml:space="preserve">Sprint 1 meets its stated scope and is compliant with eight of ten Engineering Constitution principles outright, with the remaining two (Docker First, Test First) blocked only on access to a Docker daemon -- not on any defect in the delivered artifacts. On that basis, this report recommends:</w:t>
      </w:r>
    </w:p>
    <w:p>
      <w:pPr>
        <w:pStyle w:val="ListParagraph"/>
        <w:numPr>
          <w:ilvl w:val="0"/>
          <w:numId w:val="2"/>
        </w:numPr>
        <w:spacing w:after="80"/>
      </w:pPr>
      <w:r>
        <w:rPr>
          <w:color w:val="1A1A2E"/>
          <w:sz w:val="21"/>
          <w:szCs w:val="21"/>
        </w:rPr>
        <w:t xml:space="preserve">Chief Architect performs (or delegates) a live 'docker compose up --build' run on Windows as the formal Docker-verification gate before Sprint 1 is marked fully closed.</w:t>
      </w:r>
    </w:p>
    <w:p>
      <w:pPr>
        <w:pStyle w:val="ListParagraph"/>
        <w:numPr>
          <w:ilvl w:val="0"/>
          <w:numId w:val="2"/>
        </w:numPr>
        <w:spacing w:after="80"/>
      </w:pPr>
      <w:r>
        <w:rPr>
          <w:color w:val="1A1A2E"/>
          <w:sz w:val="21"/>
          <w:szCs w:val="21"/>
        </w:rPr>
        <w:t xml:space="preserve">Subject to that verification passing, authorization to proceed to Sprint 2: the Career DNA Service and the first real expansion of the Career Knowledge Graph (Skill, Experience, Project, Technology tables).</w:t>
      </w:r>
    </w:p>
    <w:p>
      <w:pPr>
        <w:spacing w:after="140"/>
      </w:pPr>
      <w:r>
        <w:rPr>
          <w:color w:val="1A1A2E"/>
          <w:sz w:val="21"/>
          <w:szCs w:val="21"/>
        </w:rPr>
        <w:t xml:space="preserve">This report was prepared by Claude acting as Chief Software Engineer on Project ORION, for review by the Chief Architect.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2026-08-03T18:26:22.340Z</dcterms:created>
  <dcterms:modified xsi:type="dcterms:W3CDTF">2026-08-03T18:26:22.342Z</dcterms:modified>
</cp:coreProperties>
</file>

<file path=docProps/custom.xml><?xml version="1.0" encoding="utf-8"?>
<Properties xmlns="http://schemas.openxmlformats.org/officeDocument/2006/custom-properties" xmlns:vt="http://schemas.openxmlformats.org/officeDocument/2006/docPropsVTypes"/>
</file>