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9534B" w:rsidRDefault="00B03676">
      <w:pPr>
        <w:rPr>
          <w:b/>
          <w:sz w:val="22"/>
          <w:szCs w:val="22"/>
        </w:rPr>
      </w:pPr>
      <w:r>
        <w:rPr>
          <w:b/>
          <w:sz w:val="22"/>
          <w:szCs w:val="22"/>
        </w:rPr>
        <w:t>SUPPLEMENT: SARS-CoV-2 testing strategies to contain school-associated transmission: model-based analysis of impact and cost of diagnostic testing, screening, and surveillance</w:t>
      </w:r>
    </w:p>
    <w:p w:rsidR="0029534B" w:rsidRDefault="0029534B">
      <w:pPr>
        <w:rPr>
          <w:b/>
          <w:sz w:val="22"/>
          <w:szCs w:val="22"/>
        </w:rPr>
      </w:pPr>
    </w:p>
    <w:p w:rsidR="0029534B" w:rsidRDefault="00B03676">
      <w:pPr>
        <w:rPr>
          <w:sz w:val="22"/>
          <w:szCs w:val="22"/>
        </w:rPr>
      </w:pPr>
      <w:r>
        <w:rPr>
          <w:sz w:val="22"/>
          <w:szCs w:val="22"/>
        </w:rPr>
        <w:t xml:space="preserve">Alyssa </w:t>
      </w:r>
      <w:proofErr w:type="spellStart"/>
      <w:r>
        <w:rPr>
          <w:sz w:val="22"/>
          <w:szCs w:val="22"/>
        </w:rPr>
        <w:t>Bilinski</w:t>
      </w:r>
      <w:proofErr w:type="spellEnd"/>
      <w:r>
        <w:rPr>
          <w:sz w:val="22"/>
          <w:szCs w:val="22"/>
        </w:rPr>
        <w:t xml:space="preserve"> PhD</w:t>
      </w:r>
      <w:r>
        <w:rPr>
          <w:sz w:val="22"/>
          <w:szCs w:val="22"/>
          <w:vertAlign w:val="superscript"/>
        </w:rPr>
        <w:t>1</w:t>
      </w:r>
      <w:r>
        <w:rPr>
          <w:sz w:val="22"/>
          <w:szCs w:val="22"/>
        </w:rPr>
        <w:t xml:space="preserve">; Andrea </w:t>
      </w:r>
      <w:proofErr w:type="spellStart"/>
      <w:r>
        <w:rPr>
          <w:sz w:val="22"/>
          <w:szCs w:val="22"/>
        </w:rPr>
        <w:t>Ciaranello</w:t>
      </w:r>
      <w:proofErr w:type="spellEnd"/>
      <w:r>
        <w:rPr>
          <w:sz w:val="22"/>
          <w:szCs w:val="22"/>
        </w:rPr>
        <w:t xml:space="preserve"> MD</w:t>
      </w:r>
      <w:r>
        <w:rPr>
          <w:sz w:val="22"/>
          <w:szCs w:val="22"/>
          <w:vertAlign w:val="superscript"/>
        </w:rPr>
        <w:t>2</w:t>
      </w:r>
      <w:r>
        <w:rPr>
          <w:sz w:val="22"/>
          <w:szCs w:val="22"/>
        </w:rPr>
        <w:t>; Meagan C. Fitzpatrick PhD</w:t>
      </w:r>
      <w:r>
        <w:rPr>
          <w:sz w:val="22"/>
          <w:szCs w:val="22"/>
          <w:vertAlign w:val="superscript"/>
        </w:rPr>
        <w:t>3</w:t>
      </w:r>
      <w:r>
        <w:rPr>
          <w:sz w:val="22"/>
          <w:szCs w:val="22"/>
        </w:rPr>
        <w:t xml:space="preserve">; John </w:t>
      </w:r>
      <w:proofErr w:type="spellStart"/>
      <w:r>
        <w:rPr>
          <w:sz w:val="22"/>
          <w:szCs w:val="22"/>
        </w:rPr>
        <w:t>G</w:t>
      </w:r>
      <w:r>
        <w:rPr>
          <w:sz w:val="22"/>
          <w:szCs w:val="22"/>
        </w:rPr>
        <w:t>iardina</w:t>
      </w:r>
      <w:proofErr w:type="spellEnd"/>
      <w:r>
        <w:rPr>
          <w:sz w:val="22"/>
          <w:szCs w:val="22"/>
        </w:rPr>
        <w:t xml:space="preserve"> MA</w:t>
      </w:r>
      <w:r>
        <w:rPr>
          <w:sz w:val="22"/>
          <w:szCs w:val="22"/>
          <w:vertAlign w:val="superscript"/>
        </w:rPr>
        <w:t>4</w:t>
      </w:r>
      <w:r>
        <w:rPr>
          <w:sz w:val="22"/>
          <w:szCs w:val="22"/>
        </w:rPr>
        <w:t xml:space="preserve">; </w:t>
      </w:r>
      <w:proofErr w:type="spellStart"/>
      <w:r>
        <w:rPr>
          <w:sz w:val="22"/>
          <w:szCs w:val="22"/>
        </w:rPr>
        <w:t>Maunank</w:t>
      </w:r>
      <w:proofErr w:type="spellEnd"/>
      <w:r>
        <w:rPr>
          <w:sz w:val="22"/>
          <w:szCs w:val="22"/>
        </w:rPr>
        <w:t xml:space="preserve"> Shah MD, PhD</w:t>
      </w:r>
      <w:r>
        <w:rPr>
          <w:sz w:val="22"/>
          <w:szCs w:val="22"/>
          <w:vertAlign w:val="superscript"/>
        </w:rPr>
        <w:t>5</w:t>
      </w:r>
      <w:r>
        <w:rPr>
          <w:sz w:val="22"/>
          <w:szCs w:val="22"/>
        </w:rPr>
        <w:t>; Joshua Salomon PhD</w:t>
      </w:r>
      <w:r>
        <w:rPr>
          <w:sz w:val="22"/>
          <w:szCs w:val="22"/>
          <w:vertAlign w:val="superscript"/>
        </w:rPr>
        <w:t>6</w:t>
      </w:r>
      <w:r>
        <w:rPr>
          <w:sz w:val="22"/>
          <w:szCs w:val="22"/>
        </w:rPr>
        <w:t>; Emily A. Kendall MD, PhD</w:t>
      </w:r>
      <w:r>
        <w:rPr>
          <w:sz w:val="22"/>
          <w:szCs w:val="22"/>
          <w:vertAlign w:val="superscript"/>
        </w:rPr>
        <w:t>5</w:t>
      </w:r>
    </w:p>
    <w:p w:rsidR="0029534B" w:rsidRDefault="0029534B">
      <w:pPr>
        <w:rPr>
          <w:sz w:val="22"/>
          <w:szCs w:val="22"/>
        </w:rPr>
      </w:pPr>
    </w:p>
    <w:p w:rsidR="0029534B" w:rsidRDefault="00B03676">
      <w:pPr>
        <w:rPr>
          <w:sz w:val="22"/>
          <w:szCs w:val="22"/>
        </w:rPr>
      </w:pPr>
      <w:r>
        <w:rPr>
          <w:sz w:val="22"/>
          <w:szCs w:val="22"/>
          <w:vertAlign w:val="superscript"/>
        </w:rPr>
        <w:t xml:space="preserve">1 </w:t>
      </w:r>
      <w:r>
        <w:rPr>
          <w:sz w:val="22"/>
          <w:szCs w:val="22"/>
        </w:rPr>
        <w:t>Department of Health Services, Policy, and Practice and Department of Biostatistics, Brown School of Public Health, Providence, RI, USA</w:t>
      </w:r>
    </w:p>
    <w:p w:rsidR="0029534B" w:rsidRDefault="00B03676">
      <w:pPr>
        <w:spacing w:line="276" w:lineRule="auto"/>
        <w:rPr>
          <w:sz w:val="22"/>
          <w:szCs w:val="22"/>
        </w:rPr>
      </w:pPr>
      <w:r>
        <w:rPr>
          <w:sz w:val="22"/>
          <w:szCs w:val="22"/>
          <w:vertAlign w:val="superscript"/>
        </w:rPr>
        <w:t xml:space="preserve">2 </w:t>
      </w:r>
      <w:r>
        <w:rPr>
          <w:sz w:val="22"/>
          <w:szCs w:val="22"/>
        </w:rPr>
        <w:t>Medical Practice Evaluation Cent</w:t>
      </w:r>
      <w:r>
        <w:rPr>
          <w:sz w:val="22"/>
          <w:szCs w:val="22"/>
        </w:rPr>
        <w:t>er and Division of Infectious Disease, Massachusetts General Hospital, Harvard Medical School, Boston, Massachusetts</w:t>
      </w:r>
    </w:p>
    <w:p w:rsidR="0029534B" w:rsidRDefault="00B03676">
      <w:pPr>
        <w:spacing w:line="276" w:lineRule="auto"/>
        <w:rPr>
          <w:sz w:val="22"/>
          <w:szCs w:val="22"/>
        </w:rPr>
      </w:pPr>
      <w:r>
        <w:rPr>
          <w:sz w:val="22"/>
          <w:szCs w:val="22"/>
          <w:vertAlign w:val="superscript"/>
        </w:rPr>
        <w:t xml:space="preserve">3 </w:t>
      </w:r>
      <w:r>
        <w:rPr>
          <w:sz w:val="22"/>
          <w:szCs w:val="22"/>
        </w:rPr>
        <w:t>Center for Vaccine Development and Global Health, University of Maryland School of Medicine, Baltimore, Maryland</w:t>
      </w:r>
    </w:p>
    <w:p w:rsidR="0029534B" w:rsidRDefault="00B03676">
      <w:pPr>
        <w:spacing w:line="276" w:lineRule="auto"/>
        <w:rPr>
          <w:sz w:val="22"/>
          <w:szCs w:val="22"/>
        </w:rPr>
      </w:pPr>
      <w:r>
        <w:rPr>
          <w:sz w:val="22"/>
          <w:szCs w:val="22"/>
          <w:vertAlign w:val="superscript"/>
        </w:rPr>
        <w:t xml:space="preserve">4 </w:t>
      </w:r>
      <w:r>
        <w:rPr>
          <w:sz w:val="22"/>
          <w:szCs w:val="22"/>
        </w:rPr>
        <w:t>Center for Health Deci</w:t>
      </w:r>
      <w:r>
        <w:rPr>
          <w:sz w:val="22"/>
          <w:szCs w:val="22"/>
        </w:rPr>
        <w:t>sion Science, Harvard T.H. Chan School of Public Health, Boston, MA</w:t>
      </w:r>
    </w:p>
    <w:p w:rsidR="0029534B" w:rsidRDefault="00B03676">
      <w:pPr>
        <w:rPr>
          <w:sz w:val="22"/>
          <w:szCs w:val="22"/>
          <w:vertAlign w:val="superscript"/>
        </w:rPr>
      </w:pPr>
      <w:r>
        <w:rPr>
          <w:sz w:val="22"/>
          <w:szCs w:val="22"/>
          <w:vertAlign w:val="superscript"/>
        </w:rPr>
        <w:t xml:space="preserve">5 </w:t>
      </w:r>
      <w:r>
        <w:rPr>
          <w:sz w:val="22"/>
          <w:szCs w:val="22"/>
        </w:rPr>
        <w:t>Division of Infectious Diseases, Johns Hopkins University School of Medicine, Baltimore, MD</w:t>
      </w:r>
    </w:p>
    <w:p w:rsidR="0029534B" w:rsidRDefault="00B03676">
      <w:pPr>
        <w:spacing w:line="276" w:lineRule="auto"/>
        <w:rPr>
          <w:sz w:val="22"/>
          <w:szCs w:val="22"/>
        </w:rPr>
      </w:pPr>
      <w:r>
        <w:rPr>
          <w:sz w:val="22"/>
          <w:szCs w:val="22"/>
          <w:vertAlign w:val="superscript"/>
        </w:rPr>
        <w:t>6</w:t>
      </w:r>
      <w:r>
        <w:rPr>
          <w:sz w:val="22"/>
          <w:szCs w:val="22"/>
        </w:rPr>
        <w:t xml:space="preserve"> Center for Health Policy and Center for Primary Care and Outcomes Research, Stanford Univers</w:t>
      </w:r>
      <w:r>
        <w:rPr>
          <w:sz w:val="22"/>
          <w:szCs w:val="22"/>
        </w:rPr>
        <w:t>ity School of Medicine, Stanford, California</w:t>
      </w: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B03676">
      <w:pPr>
        <w:rPr>
          <w:b/>
          <w:sz w:val="22"/>
          <w:szCs w:val="22"/>
          <w:u w:val="single"/>
        </w:rPr>
      </w:pPr>
      <w:r>
        <w:rPr>
          <w:b/>
          <w:sz w:val="22"/>
          <w:szCs w:val="22"/>
          <w:u w:val="single"/>
        </w:rPr>
        <w:lastRenderedPageBreak/>
        <w:t>Model Structure</w:t>
      </w:r>
    </w:p>
    <w:p w:rsidR="0029534B" w:rsidRDefault="0029534B">
      <w:pPr>
        <w:rPr>
          <w:sz w:val="22"/>
          <w:szCs w:val="22"/>
        </w:rPr>
      </w:pPr>
    </w:p>
    <w:p w:rsidR="0029534B" w:rsidRDefault="00B03676">
      <w:pPr>
        <w:rPr>
          <w:sz w:val="22"/>
          <w:szCs w:val="22"/>
        </w:rPr>
      </w:pPr>
      <w:r>
        <w:rPr>
          <w:sz w:val="22"/>
          <w:szCs w:val="22"/>
        </w:rPr>
        <w:t xml:space="preserve">We assumed an SEIR model of COVID-19 transmission, using a previously published model </w:t>
      </w:r>
      <w:hyperlink r:id="rId7">
        <w:r>
          <w:rPr>
            <w:sz w:val="22"/>
            <w:szCs w:val="22"/>
          </w:rPr>
          <w:t>(1)</w:t>
        </w:r>
      </w:hyperlink>
      <w:r>
        <w:rPr>
          <w:sz w:val="22"/>
          <w:szCs w:val="22"/>
        </w:rPr>
        <w:t xml:space="preserve">. Briefly, when individuals interacted with an agent (i.e. person) infected with SARS-CoV-2, transmission risk was proportional to duration and intensity of exposure. The model drew stochastic </w:t>
      </w:r>
      <w:r>
        <w:rPr>
          <w:sz w:val="22"/>
          <w:szCs w:val="22"/>
        </w:rPr>
        <w:t xml:space="preserve">outcomes assuming an average incubation period of three days prior to the onset of infectiousness, two days of pre-symptomatic transmission if symptoms develop </w:t>
      </w:r>
      <w:hyperlink r:id="rId8">
        <w:r>
          <w:rPr>
            <w:sz w:val="22"/>
            <w:szCs w:val="22"/>
          </w:rPr>
          <w:t>(2,3)</w:t>
        </w:r>
      </w:hyperlink>
      <w:r>
        <w:rPr>
          <w:sz w:val="22"/>
          <w:szCs w:val="22"/>
        </w:rPr>
        <w:t>, total infectious time of fi</w:t>
      </w:r>
      <w:r>
        <w:rPr>
          <w:sz w:val="22"/>
          <w:szCs w:val="22"/>
        </w:rPr>
        <w:t xml:space="preserve">ve days </w:t>
      </w:r>
      <w:hyperlink r:id="rId9">
        <w:r>
          <w:rPr>
            <w:sz w:val="22"/>
            <w:szCs w:val="22"/>
          </w:rPr>
          <w:t>(4–7)</w:t>
        </w:r>
      </w:hyperlink>
      <w:r>
        <w:rPr>
          <w:sz w:val="22"/>
          <w:szCs w:val="22"/>
        </w:rPr>
        <w:t xml:space="preserve">, and overdispersion of infectivity in adolescents and adults </w:t>
      </w:r>
      <w:hyperlink r:id="rId10">
        <w:r>
          <w:rPr>
            <w:sz w:val="22"/>
            <w:szCs w:val="22"/>
          </w:rPr>
          <w:t>(4,8)</w:t>
        </w:r>
      </w:hyperlink>
      <w:r>
        <w:rPr>
          <w:sz w:val="22"/>
          <w:szCs w:val="22"/>
        </w:rPr>
        <w:t xml:space="preserve"> (Table 1). We assumed that adults with fully asympt</w:t>
      </w:r>
      <w:r>
        <w:rPr>
          <w:sz w:val="22"/>
          <w:szCs w:val="22"/>
        </w:rPr>
        <w:t xml:space="preserve">omatic disease transmit COVID-19 at half the rate of those with any symptoms </w:t>
      </w:r>
      <w:hyperlink r:id="rId11">
        <w:r>
          <w:rPr>
            <w:sz w:val="22"/>
            <w:szCs w:val="22"/>
          </w:rPr>
          <w:t>(9)</w:t>
        </w:r>
      </w:hyperlink>
      <w:r>
        <w:rPr>
          <w:sz w:val="22"/>
          <w:szCs w:val="22"/>
        </w:rPr>
        <w:t>. Based on data from household contact tracing studies, we further specified that, in absence of vaccination, chil</w:t>
      </w:r>
      <w:r>
        <w:rPr>
          <w:sz w:val="22"/>
          <w:szCs w:val="22"/>
        </w:rPr>
        <w:t xml:space="preserve">dren under 10 were half as susceptible and half as infectious as symptomatic adolescents and adults </w:t>
      </w:r>
      <w:hyperlink r:id="rId12">
        <w:r>
          <w:rPr>
            <w:sz w:val="22"/>
            <w:szCs w:val="22"/>
          </w:rPr>
          <w:t>(10–14)</w:t>
        </w:r>
      </w:hyperlink>
      <w:r>
        <w:rPr>
          <w:sz w:val="22"/>
          <w:szCs w:val="22"/>
        </w:rPr>
        <w:t>. Beyond interactions with infectious agents within the simulation, students, staff, and their families had a probability of becoming infected through other community interactions equivalent to community per capita daily incidence assuming a 33% case detec</w:t>
      </w:r>
      <w:r>
        <w:rPr>
          <w:sz w:val="22"/>
          <w:szCs w:val="22"/>
        </w:rPr>
        <w:t>tion rate.  In vaccinated individuals, this risk was reduced by 80%; among unvaccinated adults, we upweighted community risk such that adults overall matched the community rate on average.</w:t>
      </w:r>
    </w:p>
    <w:p w:rsidR="0029534B" w:rsidRDefault="0029534B">
      <w:pPr>
        <w:rPr>
          <w:sz w:val="22"/>
          <w:szCs w:val="22"/>
        </w:rPr>
      </w:pPr>
    </w:p>
    <w:p w:rsidR="0029534B" w:rsidRDefault="00B03676">
      <w:pPr>
        <w:rPr>
          <w:sz w:val="22"/>
          <w:szCs w:val="22"/>
        </w:rPr>
      </w:pPr>
      <w:r>
        <w:rPr>
          <w:sz w:val="22"/>
          <w:szCs w:val="22"/>
        </w:rPr>
        <w:t>In scenarios without “test to stay”, symptom-driven COVID diagnost</w:t>
      </w:r>
      <w:r>
        <w:rPr>
          <w:sz w:val="22"/>
          <w:szCs w:val="22"/>
        </w:rPr>
        <w:t xml:space="preserve">ic testing still occurred outside of the school environment: individuals with COVID-19 who developed clinically-recognizable symptoms were assumed to self-isolate from out-of-household contacts (including staying home from school) and to obtain testing in </w:t>
      </w:r>
      <w:r>
        <w:rPr>
          <w:sz w:val="22"/>
          <w:szCs w:val="22"/>
        </w:rPr>
        <w:t xml:space="preserve">the community. Results became available 24 hours after the first appearance of symptoms, at which point classrooms were notified and quarantined for 10 days. Symptom-driven community-based testing, and self-isolation of symptomatic individuals who had not </w:t>
      </w:r>
      <w:r>
        <w:rPr>
          <w:sz w:val="22"/>
          <w:szCs w:val="22"/>
        </w:rPr>
        <w:t xml:space="preserve">been tested since symptom onset, were assumed to occur regardless of in-school screening practices. </w:t>
      </w:r>
    </w:p>
    <w:p w:rsidR="0029534B" w:rsidRDefault="0029534B">
      <w:pPr>
        <w:rPr>
          <w:sz w:val="22"/>
          <w:szCs w:val="22"/>
        </w:rPr>
      </w:pPr>
    </w:p>
    <w:p w:rsidR="0029534B" w:rsidRDefault="00B03676">
      <w:pPr>
        <w:rPr>
          <w:sz w:val="22"/>
          <w:szCs w:val="22"/>
        </w:rPr>
      </w:pPr>
      <w:r>
        <w:rPr>
          <w:sz w:val="22"/>
          <w:szCs w:val="22"/>
        </w:rPr>
        <w:t>For in-school testing, we assumed (a) specimens (e.g., anterior nasal swabs) were collected from each student and teacher, and (b) aliquots from up to eig</w:t>
      </w:r>
      <w:r>
        <w:rPr>
          <w:sz w:val="22"/>
          <w:szCs w:val="22"/>
        </w:rPr>
        <w:t xml:space="preserve">ht specimens obtained in a single classroom were combined for pooled PCR testing, with negligible loss of sensitivity to detect active infection </w:t>
      </w:r>
      <w:hyperlink r:id="rId13">
        <w:r>
          <w:rPr>
            <w:sz w:val="22"/>
            <w:szCs w:val="22"/>
          </w:rPr>
          <w:t>(15,16)</w:t>
        </w:r>
      </w:hyperlink>
      <w:r>
        <w:rPr>
          <w:sz w:val="22"/>
          <w:szCs w:val="22"/>
        </w:rPr>
        <w:t xml:space="preserve"> When a pooled specimen yielded a positive</w:t>
      </w:r>
      <w:r>
        <w:rPr>
          <w:sz w:val="22"/>
          <w:szCs w:val="22"/>
        </w:rPr>
        <w:t xml:space="preserve"> result, all individual specimens that had been included in the pool were immediately tested separately using PCR to identify the positive individual(s). </w:t>
      </w:r>
    </w:p>
    <w:p w:rsidR="0029534B" w:rsidRDefault="0029534B">
      <w:pPr>
        <w:rPr>
          <w:sz w:val="22"/>
          <w:szCs w:val="22"/>
        </w:rPr>
      </w:pPr>
    </w:p>
    <w:p w:rsidR="0029534B" w:rsidRDefault="00B03676">
      <w:pPr>
        <w:rPr>
          <w:sz w:val="22"/>
          <w:szCs w:val="22"/>
          <w:u w:val="single"/>
        </w:rPr>
      </w:pPr>
      <w:r>
        <w:rPr>
          <w:b/>
          <w:sz w:val="22"/>
          <w:szCs w:val="22"/>
          <w:u w:val="single"/>
        </w:rPr>
        <w:t>Model Parameterization and Calibration</w:t>
      </w:r>
    </w:p>
    <w:p w:rsidR="0029534B" w:rsidRDefault="0029534B">
      <w:pPr>
        <w:rPr>
          <w:sz w:val="22"/>
          <w:szCs w:val="22"/>
        </w:rPr>
      </w:pPr>
    </w:p>
    <w:p w:rsidR="0029534B" w:rsidRDefault="00B03676">
      <w:pPr>
        <w:rPr>
          <w:sz w:val="22"/>
          <w:szCs w:val="22"/>
        </w:rPr>
      </w:pPr>
      <w:r>
        <w:rPr>
          <w:sz w:val="22"/>
          <w:szCs w:val="22"/>
        </w:rPr>
        <w:t>Model parameterization is discussed at length in the Supplem</w:t>
      </w:r>
      <w:r>
        <w:rPr>
          <w:sz w:val="22"/>
          <w:szCs w:val="22"/>
        </w:rPr>
        <w:t xml:space="preserve">ent of </w:t>
      </w:r>
      <w:hyperlink r:id="rId14">
        <w:r>
          <w:rPr>
            <w:sz w:val="22"/>
            <w:szCs w:val="22"/>
          </w:rPr>
          <w:t>(1)</w:t>
        </w:r>
      </w:hyperlink>
      <w:r>
        <w:rPr>
          <w:sz w:val="22"/>
          <w:szCs w:val="22"/>
        </w:rPr>
        <w:t xml:space="preserve">.  Briefly, we first identified household attack rates (including differential susceptibility and infectiousness of young children) </w:t>
      </w:r>
      <w:hyperlink r:id="rId15">
        <w:r>
          <w:rPr>
            <w:sz w:val="22"/>
            <w:szCs w:val="22"/>
          </w:rPr>
          <w:t>(17–19)</w:t>
        </w:r>
      </w:hyperlink>
      <w:r>
        <w:rPr>
          <w:sz w:val="22"/>
          <w:szCs w:val="22"/>
        </w:rPr>
        <w:t xml:space="preserve">.  We first adjusted these for the length of time spent in school and reduced infectiousness of asymptomatic individuals </w:t>
      </w:r>
      <w:hyperlink r:id="rId16">
        <w:r>
          <w:rPr>
            <w:sz w:val="22"/>
            <w:szCs w:val="22"/>
          </w:rPr>
          <w:t>(9)</w:t>
        </w:r>
      </w:hyperlink>
      <w:r>
        <w:rPr>
          <w:sz w:val="22"/>
          <w:szCs w:val="22"/>
        </w:rPr>
        <w:t xml:space="preserve"> to estimate attack rates with no or minimal mitigati</w:t>
      </w:r>
      <w:r>
        <w:rPr>
          <w:sz w:val="22"/>
          <w:szCs w:val="22"/>
        </w:rPr>
        <w:t>on.  We then further adjusted them for a range of mitigation strategies.  To partially validate our model, we compared our estimates of in-school attack rate and in-school R</w:t>
      </w:r>
      <w:r>
        <w:rPr>
          <w:sz w:val="22"/>
          <w:szCs w:val="22"/>
          <w:vertAlign w:val="subscript"/>
        </w:rPr>
        <w:t>t</w:t>
      </w:r>
      <w:r>
        <w:rPr>
          <w:sz w:val="22"/>
          <w:szCs w:val="22"/>
        </w:rPr>
        <w:t xml:space="preserve"> to those from empirical studies.  We estimated in-school R</w:t>
      </w:r>
      <w:r>
        <w:rPr>
          <w:sz w:val="22"/>
          <w:szCs w:val="22"/>
          <w:vertAlign w:val="subscript"/>
        </w:rPr>
        <w:t xml:space="preserve">t </w:t>
      </w:r>
      <w:r>
        <w:rPr>
          <w:sz w:val="22"/>
          <w:szCs w:val="22"/>
        </w:rPr>
        <w:t xml:space="preserve">with high mitigation </w:t>
      </w:r>
      <w:r>
        <w:rPr>
          <w:sz w:val="22"/>
          <w:szCs w:val="22"/>
        </w:rPr>
        <w:t xml:space="preserve">and classroom quarantine and “bubbles” to be 0.2 for elementary schools and 0.64 in high schools, consistent with estimates from schools during 2020-2021 (e.g., </w:t>
      </w:r>
      <w:hyperlink r:id="rId17">
        <w:r>
          <w:rPr>
            <w:sz w:val="22"/>
            <w:szCs w:val="22"/>
          </w:rPr>
          <w:t>(20)</w:t>
        </w:r>
      </w:hyperlink>
      <w:r>
        <w:rPr>
          <w:sz w:val="22"/>
          <w:szCs w:val="22"/>
        </w:rPr>
        <w:t>).  Our estimates also reflec</w:t>
      </w:r>
      <w:r>
        <w:rPr>
          <w:sz w:val="22"/>
          <w:szCs w:val="22"/>
        </w:rPr>
        <w:t xml:space="preserve">t the wide range of attack rates across mitigation levels identified both in data directly from schools </w:t>
      </w:r>
      <w:hyperlink r:id="rId18">
        <w:r>
          <w:rPr>
            <w:sz w:val="22"/>
            <w:szCs w:val="22"/>
          </w:rPr>
          <w:t>(21–23)</w:t>
        </w:r>
      </w:hyperlink>
      <w:r>
        <w:rPr>
          <w:sz w:val="22"/>
          <w:szCs w:val="22"/>
        </w:rPr>
        <w:t xml:space="preserve"> and from household/population-level estimates </w:t>
      </w:r>
      <w:hyperlink r:id="rId19">
        <w:r>
          <w:rPr>
            <w:sz w:val="22"/>
            <w:szCs w:val="22"/>
          </w:rPr>
          <w:t>(24,25)</w:t>
        </w:r>
      </w:hyperlink>
      <w:r>
        <w:rPr>
          <w:sz w:val="22"/>
          <w:szCs w:val="22"/>
        </w:rPr>
        <w:t xml:space="preserve">, as well as the association between community incidence level and transmission risk </w:t>
      </w:r>
      <w:hyperlink r:id="rId20">
        <w:r>
          <w:rPr>
            <w:sz w:val="22"/>
            <w:szCs w:val="22"/>
          </w:rPr>
          <w:t>(26)</w:t>
        </w:r>
      </w:hyperlink>
      <w:r>
        <w:rPr>
          <w:sz w:val="22"/>
          <w:szCs w:val="22"/>
        </w:rPr>
        <w:t>.</w:t>
      </w:r>
    </w:p>
    <w:p w:rsidR="0029534B" w:rsidRDefault="0029534B">
      <w:pPr>
        <w:rPr>
          <w:sz w:val="22"/>
          <w:szCs w:val="22"/>
        </w:rPr>
      </w:pPr>
    </w:p>
    <w:p w:rsidR="0029534B" w:rsidRDefault="00B03676">
      <w:pPr>
        <w:rPr>
          <w:sz w:val="22"/>
          <w:szCs w:val="22"/>
        </w:rPr>
      </w:pPr>
      <w:r>
        <w:rPr>
          <w:sz w:val="22"/>
          <w:szCs w:val="22"/>
        </w:rPr>
        <w:t xml:space="preserve">We assumed that the delta variant is twice as transmissible than the </w:t>
      </w:r>
      <w:r>
        <w:rPr>
          <w:sz w:val="22"/>
          <w:szCs w:val="22"/>
        </w:rPr>
        <w:t xml:space="preserve">wild type variant </w:t>
      </w:r>
      <w:hyperlink r:id="rId21">
        <w:r>
          <w:rPr>
            <w:sz w:val="22"/>
            <w:szCs w:val="22"/>
          </w:rPr>
          <w:t>(27,28)</w:t>
        </w:r>
      </w:hyperlink>
      <w:r>
        <w:rPr>
          <w:sz w:val="22"/>
          <w:szCs w:val="22"/>
        </w:rPr>
        <w:t xml:space="preserve"> and that this multiplicative increase is constant across levels of mitigation.  The latter assumption is uncertain and  requires further empirical evaluation in differe</w:t>
      </w:r>
      <w:r>
        <w:rPr>
          <w:sz w:val="22"/>
          <w:szCs w:val="22"/>
        </w:rPr>
        <w:t xml:space="preserve">nt contexts; for example, while it may be realistic </w:t>
      </w:r>
      <w:r>
        <w:rPr>
          <w:sz w:val="22"/>
          <w:szCs w:val="22"/>
        </w:rPr>
        <w:lastRenderedPageBreak/>
        <w:t>with cloth masks, early anecdotal evidence from health care settings suggests that high filtration masks (e.g. N95, KN95) may protect nearly as well against the delta variant as they do against wild type.</w:t>
      </w:r>
      <w:r>
        <w:rPr>
          <w:sz w:val="22"/>
          <w:szCs w:val="22"/>
        </w:rPr>
        <w:t xml:space="preserve">  We also assumed that the delta variant has 80% vaccine efficacy, a decrease compared to the wild type </w:t>
      </w:r>
      <w:hyperlink r:id="rId22">
        <w:r>
          <w:rPr>
            <w:sz w:val="22"/>
            <w:szCs w:val="22"/>
          </w:rPr>
          <w:t>(29,30)</w:t>
        </w:r>
      </w:hyperlink>
      <w:r>
        <w:rPr>
          <w:sz w:val="22"/>
          <w:szCs w:val="22"/>
        </w:rPr>
        <w:t xml:space="preserve">.  Some emerging estimates of vaccine efficacy are lower, potentially suggesting a </w:t>
      </w:r>
      <w:r>
        <w:rPr>
          <w:sz w:val="22"/>
          <w:szCs w:val="22"/>
        </w:rPr>
        <w:t>conservative estimate of the value of screening.</w:t>
      </w:r>
    </w:p>
    <w:p w:rsidR="0029534B" w:rsidRDefault="0029534B">
      <w:pPr>
        <w:rPr>
          <w:sz w:val="22"/>
          <w:szCs w:val="22"/>
        </w:rPr>
      </w:pPr>
    </w:p>
    <w:p w:rsidR="0029534B" w:rsidRDefault="00B03676">
      <w:pPr>
        <w:rPr>
          <w:sz w:val="22"/>
          <w:szCs w:val="22"/>
        </w:rPr>
      </w:pPr>
      <w:r>
        <w:rPr>
          <w:sz w:val="22"/>
          <w:szCs w:val="22"/>
        </w:rPr>
        <w:t>For our base case, we assume high mitigation with the delta variant (R</w:t>
      </w:r>
      <w:r>
        <w:rPr>
          <w:sz w:val="22"/>
          <w:szCs w:val="22"/>
          <w:vertAlign w:val="subscript"/>
        </w:rPr>
        <w:t>t</w:t>
      </w:r>
      <w:r>
        <w:rPr>
          <w:sz w:val="22"/>
          <w:szCs w:val="22"/>
        </w:rPr>
        <w:t xml:space="preserve"> of approximately 0.4 in elementary schools and 1.2 in middle schools) to reflect the population of schools most likely to implement te</w:t>
      </w:r>
      <w:r>
        <w:rPr>
          <w:sz w:val="22"/>
          <w:szCs w:val="22"/>
        </w:rPr>
        <w:t>sting and likely ordering of interventions (e.g., testing will likely only be implemented in schools that have already implemented masking).  We also present results with moderate mitigation, doubling the attack rate of the base case, to display the impact</w:t>
      </w:r>
      <w:r>
        <w:rPr>
          <w:sz w:val="22"/>
          <w:szCs w:val="22"/>
        </w:rPr>
        <w:t xml:space="preserve"> of testing in the context of reduced mitigation interventions in schools.</w:t>
      </w:r>
    </w:p>
    <w:p w:rsidR="0029534B" w:rsidRDefault="0029534B">
      <w:pPr>
        <w:rPr>
          <w:sz w:val="22"/>
          <w:szCs w:val="22"/>
        </w:rPr>
      </w:pPr>
    </w:p>
    <w:p w:rsidR="0029534B" w:rsidRDefault="00B03676">
      <w:pPr>
        <w:rPr>
          <w:sz w:val="22"/>
          <w:szCs w:val="22"/>
          <w:u w:val="single"/>
        </w:rPr>
      </w:pPr>
      <w:r>
        <w:rPr>
          <w:b/>
          <w:sz w:val="22"/>
          <w:szCs w:val="22"/>
          <w:u w:val="single"/>
        </w:rPr>
        <w:t>Surveillance Thresholds</w:t>
      </w:r>
    </w:p>
    <w:p w:rsidR="0029534B" w:rsidRDefault="0029534B">
      <w:pPr>
        <w:rPr>
          <w:sz w:val="22"/>
          <w:szCs w:val="22"/>
        </w:rPr>
      </w:pPr>
    </w:p>
    <w:p w:rsidR="0029534B" w:rsidRDefault="00B03676">
      <w:pPr>
        <w:rPr>
          <w:sz w:val="22"/>
          <w:szCs w:val="22"/>
        </w:rPr>
      </w:pPr>
      <w:r>
        <w:rPr>
          <w:sz w:val="22"/>
          <w:szCs w:val="22"/>
        </w:rPr>
        <w:t xml:space="preserve">Within a small school community, it is challenging to set an optimal threshold for triggering further investigation when conducting surveillance.  We expect some COVID-19 cases to enter a school from the community </w:t>
      </w:r>
      <w:r>
        <w:rPr>
          <w:i/>
          <w:sz w:val="22"/>
          <w:szCs w:val="22"/>
        </w:rPr>
        <w:t xml:space="preserve">even if no transmission occurs within the </w:t>
      </w:r>
      <w:r>
        <w:rPr>
          <w:i/>
          <w:sz w:val="22"/>
          <w:szCs w:val="22"/>
        </w:rPr>
        <w:t>school community</w:t>
      </w:r>
      <w:r>
        <w:rPr>
          <w:sz w:val="22"/>
          <w:szCs w:val="22"/>
        </w:rPr>
        <w:t>, and ideally the threshold for triggering additional testing should take this into account</w:t>
      </w:r>
      <w:r>
        <w:rPr>
          <w:sz w:val="22"/>
          <w:szCs w:val="22"/>
        </w:rPr>
        <w:t>.  However, when testing only a small fraction of the school (10-20%), the expected number of asymptomatic cases detected per testing episode, assuming no in-school transmission, is generally close to 0.  In the paper, we chose a 1-case trigger threshold f</w:t>
      </w:r>
      <w:r>
        <w:rPr>
          <w:sz w:val="22"/>
          <w:szCs w:val="22"/>
        </w:rPr>
        <w:t>or 3 reasons:</w:t>
      </w:r>
    </w:p>
    <w:p w:rsidR="0029534B" w:rsidRDefault="0029534B">
      <w:pPr>
        <w:rPr>
          <w:sz w:val="22"/>
          <w:szCs w:val="22"/>
        </w:rPr>
      </w:pPr>
    </w:p>
    <w:p w:rsidR="0029534B" w:rsidRDefault="00B03676">
      <w:pPr>
        <w:numPr>
          <w:ilvl w:val="0"/>
          <w:numId w:val="1"/>
        </w:numPr>
        <w:rPr>
          <w:sz w:val="22"/>
          <w:szCs w:val="22"/>
        </w:rPr>
      </w:pPr>
      <w:r>
        <w:rPr>
          <w:sz w:val="22"/>
          <w:szCs w:val="22"/>
        </w:rPr>
        <w:t>At low-to-moderate community notification rates (1-25 cases per 100,000/day), no surveillance scenario with a threshold above 1 could detect even large outbreaks of at least 10 in-school transmissions with any regularity: the maximum probabi</w:t>
      </w:r>
      <w:r>
        <w:rPr>
          <w:sz w:val="22"/>
          <w:szCs w:val="22"/>
        </w:rPr>
        <w:t>lity of detection (i.e., maximum sensitivity) was 35% for a 2-case threshold at 25 cases per 100,000/day.  By contrast, a 1-case threshold had a detection probability of 30-75% across 1-25 cases per 100,000/day, while maintaining low rates of false positiv</w:t>
      </w:r>
      <w:r>
        <w:rPr>
          <w:sz w:val="22"/>
          <w:szCs w:val="22"/>
        </w:rPr>
        <w:t>e triggers.</w:t>
      </w:r>
    </w:p>
    <w:p w:rsidR="0029534B" w:rsidRDefault="00B03676">
      <w:pPr>
        <w:numPr>
          <w:ilvl w:val="0"/>
          <w:numId w:val="1"/>
        </w:numPr>
        <w:rPr>
          <w:sz w:val="22"/>
          <w:szCs w:val="22"/>
        </w:rPr>
      </w:pPr>
      <w:r>
        <w:rPr>
          <w:sz w:val="22"/>
          <w:szCs w:val="22"/>
        </w:rPr>
        <w:t>In our model, there was generally at least some in-school transmission at high levels of community incidence, making threshold selection less of a concern, since false positives would be rare under any threshold. (For the same reason, surveilla</w:t>
      </w:r>
      <w:r>
        <w:rPr>
          <w:sz w:val="22"/>
          <w:szCs w:val="22"/>
        </w:rPr>
        <w:t>nce testing as a method of detecting outbreaks is less useful at these levels, although a benefit remains if community case detection is low, which makes schools less likely to be aware of local incidence risks.)</w:t>
      </w:r>
    </w:p>
    <w:p w:rsidR="0029534B" w:rsidRDefault="00B03676">
      <w:pPr>
        <w:numPr>
          <w:ilvl w:val="0"/>
          <w:numId w:val="1"/>
        </w:numPr>
        <w:rPr>
          <w:sz w:val="22"/>
          <w:szCs w:val="22"/>
        </w:rPr>
      </w:pPr>
      <w:r>
        <w:rPr>
          <w:sz w:val="22"/>
          <w:szCs w:val="22"/>
        </w:rPr>
        <w:t>If, in practice, a school calibrated the ex</w:t>
      </w:r>
      <w:r>
        <w:rPr>
          <w:sz w:val="22"/>
          <w:szCs w:val="22"/>
        </w:rPr>
        <w:t xml:space="preserve">pected number of cases and associated threshold to the </w:t>
      </w:r>
      <w:r>
        <w:rPr>
          <w:i/>
          <w:sz w:val="22"/>
          <w:szCs w:val="22"/>
        </w:rPr>
        <w:t>observed</w:t>
      </w:r>
      <w:r>
        <w:rPr>
          <w:sz w:val="22"/>
          <w:szCs w:val="22"/>
        </w:rPr>
        <w:t xml:space="preserve"> community incidence rate, this would be a significant underestimate (and for most community incidence levels we evaluated would be near 0).  (However, it is not straightforward to correct for </w:t>
      </w:r>
      <w:r>
        <w:rPr>
          <w:sz w:val="22"/>
          <w:szCs w:val="22"/>
        </w:rPr>
        <w:t xml:space="preserve">case detection, as there is no public, </w:t>
      </w:r>
      <w:proofErr w:type="gramStart"/>
      <w:r>
        <w:rPr>
          <w:sz w:val="22"/>
          <w:szCs w:val="22"/>
        </w:rPr>
        <w:t>consistently-collected</w:t>
      </w:r>
      <w:proofErr w:type="gramEnd"/>
      <w:r>
        <w:rPr>
          <w:sz w:val="22"/>
          <w:szCs w:val="22"/>
        </w:rPr>
        <w:t xml:space="preserve"> data source in the United States for estimating case detection rate, and most school leaders with whom we spoke would not be comfortable making such an estimate.</w:t>
      </w:r>
      <w:r>
        <w:rPr>
          <w:sz w:val="22"/>
          <w:szCs w:val="22"/>
          <w:vertAlign w:val="superscript"/>
        </w:rPr>
        <w:footnoteReference w:id="1"/>
      </w:r>
      <w:r>
        <w:rPr>
          <w:sz w:val="22"/>
          <w:szCs w:val="22"/>
        </w:rPr>
        <w:t>)</w:t>
      </w:r>
    </w:p>
    <w:p w:rsidR="0029534B" w:rsidRDefault="0029534B">
      <w:pPr>
        <w:ind w:left="720"/>
        <w:rPr>
          <w:sz w:val="22"/>
          <w:szCs w:val="22"/>
        </w:rPr>
      </w:pPr>
    </w:p>
    <w:p w:rsidR="0029534B" w:rsidRDefault="00B03676">
      <w:pPr>
        <w:rPr>
          <w:sz w:val="22"/>
          <w:szCs w:val="22"/>
        </w:rPr>
      </w:pPr>
      <w:r>
        <w:rPr>
          <w:sz w:val="22"/>
          <w:szCs w:val="22"/>
        </w:rPr>
        <w:t>Nevertheless, schools (or sc</w:t>
      </w:r>
      <w:r>
        <w:rPr>
          <w:sz w:val="22"/>
          <w:szCs w:val="22"/>
        </w:rPr>
        <w:t xml:space="preserve">hool districts more broadly) should adapt surveillance thresholds to meet their needs and level of caution.  Our model is a </w:t>
      </w:r>
      <w:proofErr w:type="spellStart"/>
      <w:r>
        <w:rPr>
          <w:sz w:val="22"/>
          <w:szCs w:val="22"/>
        </w:rPr>
        <w:t>st</w:t>
      </w:r>
      <w:proofErr w:type="spellEnd"/>
      <w:r>
        <w:rPr>
          <w:sz w:val="22"/>
          <w:szCs w:val="22"/>
        </w:rPr>
        <w:t xml:space="preserve"> example over a single month for a single school.  A </w:t>
      </w:r>
      <w:r>
        <w:rPr>
          <w:sz w:val="22"/>
          <w:szCs w:val="22"/>
        </w:rPr>
        <w:lastRenderedPageBreak/>
        <w:t xml:space="preserve">longer-term strategy might include dynamic switching back to surveillance as </w:t>
      </w:r>
      <w:r>
        <w:rPr>
          <w:sz w:val="22"/>
          <w:szCs w:val="22"/>
        </w:rPr>
        <w:t>well as stricter trigger thresholds when community incidence is high or when surveying large districts.</w:t>
      </w: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B03676">
      <w:pPr>
        <w:rPr>
          <w:b/>
          <w:sz w:val="22"/>
          <w:szCs w:val="22"/>
        </w:rPr>
      </w:pPr>
      <w:r>
        <w:rPr>
          <w:b/>
          <w:sz w:val="22"/>
          <w:szCs w:val="22"/>
        </w:rPr>
        <w:lastRenderedPageBreak/>
        <w:t>Fig S1. Model diagram</w:t>
      </w:r>
    </w:p>
    <w:p w:rsidR="0029534B" w:rsidRDefault="00B03676">
      <w:pPr>
        <w:rPr>
          <w:sz w:val="22"/>
          <w:szCs w:val="22"/>
        </w:rPr>
      </w:pPr>
      <w:r>
        <w:rPr>
          <w:noProof/>
          <w:sz w:val="22"/>
          <w:szCs w:val="22"/>
        </w:rPr>
        <w:drawing>
          <wp:inline distT="114300" distB="114300" distL="114300" distR="114300">
            <wp:extent cx="5943600" cy="22225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943600" cy="2222500"/>
                    </a:xfrm>
                    <a:prstGeom prst="rect">
                      <a:avLst/>
                    </a:prstGeom>
                    <a:ln/>
                  </pic:spPr>
                </pic:pic>
              </a:graphicData>
            </a:graphic>
          </wp:inline>
        </w:drawing>
      </w: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sectPr w:rsidR="0029534B">
          <w:headerReference w:type="default" r:id="rId24"/>
          <w:pgSz w:w="12240" w:h="15840"/>
          <w:pgMar w:top="1440" w:right="1440" w:bottom="1440" w:left="1440" w:header="720" w:footer="720" w:gutter="0"/>
          <w:pgNumType w:start="1"/>
          <w:cols w:space="720"/>
        </w:sectPr>
      </w:pPr>
    </w:p>
    <w:p w:rsidR="0029534B" w:rsidRDefault="00B03676">
      <w:pPr>
        <w:rPr>
          <w:sz w:val="22"/>
          <w:szCs w:val="22"/>
        </w:rPr>
      </w:pPr>
      <w:r>
        <w:rPr>
          <w:b/>
          <w:sz w:val="22"/>
          <w:szCs w:val="22"/>
        </w:rPr>
        <w:lastRenderedPageBreak/>
        <w:t xml:space="preserve">Fig S2. Surveillance characteristics.  </w:t>
      </w:r>
      <w:r>
        <w:rPr>
          <w:sz w:val="22"/>
          <w:szCs w:val="22"/>
        </w:rPr>
        <w:t>Color indicates the percentage of the school screened weekly (from unvaccinated individuals) under surveillance, while the line type indicates the transmission level.  The left panels depict the probability of trigger</w:t>
      </w:r>
      <w:r>
        <w:rPr>
          <w:sz w:val="22"/>
          <w:szCs w:val="22"/>
        </w:rPr>
        <w:t>ing screening.  The middle panels depict the probability of in-school transmission, conditional on triggering screening (“true positives”).  The right panels depict the probability of fewer than 3 in-school transmissions given no screening trigger (“true n</w:t>
      </w:r>
      <w:r>
        <w:rPr>
          <w:sz w:val="22"/>
          <w:szCs w:val="22"/>
        </w:rPr>
        <w:t>egatives”).</w:t>
      </w:r>
    </w:p>
    <w:p w:rsidR="0029534B" w:rsidRDefault="0029534B">
      <w:pPr>
        <w:rPr>
          <w:b/>
          <w:sz w:val="22"/>
          <w:szCs w:val="22"/>
        </w:rPr>
      </w:pPr>
    </w:p>
    <w:p w:rsidR="0029534B" w:rsidRDefault="00B03676">
      <w:pPr>
        <w:rPr>
          <w:b/>
          <w:sz w:val="22"/>
          <w:szCs w:val="22"/>
        </w:rPr>
        <w:sectPr w:rsidR="0029534B">
          <w:pgSz w:w="15840" w:h="12240" w:orient="landscape"/>
          <w:pgMar w:top="1440" w:right="1440" w:bottom="1440" w:left="1440" w:header="720" w:footer="720" w:gutter="0"/>
          <w:cols w:space="720"/>
        </w:sectPr>
      </w:pPr>
      <w:r>
        <w:rPr>
          <w:b/>
          <w:noProof/>
          <w:sz w:val="22"/>
          <w:szCs w:val="22"/>
        </w:rPr>
        <w:drawing>
          <wp:inline distT="114300" distB="114300" distL="114300" distR="114300">
            <wp:extent cx="8262938" cy="4590521"/>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8262938" cy="4590521"/>
                    </a:xfrm>
                    <a:prstGeom prst="rect">
                      <a:avLst/>
                    </a:prstGeom>
                    <a:ln/>
                  </pic:spPr>
                </pic:pic>
              </a:graphicData>
            </a:graphic>
          </wp:inline>
        </w:drawing>
      </w:r>
    </w:p>
    <w:p w:rsidR="0029534B" w:rsidRDefault="00B03676">
      <w:pPr>
        <w:rPr>
          <w:sz w:val="22"/>
          <w:szCs w:val="22"/>
        </w:rPr>
      </w:pPr>
      <w:r>
        <w:rPr>
          <w:b/>
          <w:sz w:val="22"/>
          <w:szCs w:val="22"/>
        </w:rPr>
        <w:lastRenderedPageBreak/>
        <w:t xml:space="preserve">Fig S3. Testing costs, as dollars per student per month, in an elementary school. </w:t>
      </w:r>
      <w:r>
        <w:rPr>
          <w:sz w:val="22"/>
          <w:szCs w:val="22"/>
        </w:rPr>
        <w:t>When exposed students quarantine at home, costs plateau at higher levels of incidence as classroom quarantines cause screening days to be missed; potent</w:t>
      </w:r>
      <w:r>
        <w:rPr>
          <w:sz w:val="22"/>
          <w:szCs w:val="22"/>
        </w:rPr>
        <w:t>ial costs of community-based testing by exposed students or their contacts are not modeled. For a “test to stay” strategy that provides in-school rapid testing to symptomatic students and exposed contacts, testing costs increase as incidence rises.</w:t>
      </w:r>
    </w:p>
    <w:p w:rsidR="0029534B" w:rsidRDefault="0029534B">
      <w:pPr>
        <w:rPr>
          <w:sz w:val="22"/>
          <w:szCs w:val="22"/>
        </w:rPr>
      </w:pPr>
    </w:p>
    <w:p w:rsidR="0029534B" w:rsidRDefault="00B03676">
      <w:pPr>
        <w:jc w:val="center"/>
        <w:rPr>
          <w:sz w:val="22"/>
          <w:szCs w:val="22"/>
        </w:rPr>
      </w:pPr>
      <w:r>
        <w:rPr>
          <w:noProof/>
          <w:sz w:val="22"/>
          <w:szCs w:val="22"/>
        </w:rPr>
        <w:drawing>
          <wp:inline distT="114300" distB="114300" distL="114300" distR="114300">
            <wp:extent cx="5943600" cy="52070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943600" cy="5207000"/>
                    </a:xfrm>
                    <a:prstGeom prst="rect">
                      <a:avLst/>
                    </a:prstGeom>
                    <a:ln/>
                  </pic:spPr>
                </pic:pic>
              </a:graphicData>
            </a:graphic>
          </wp:inline>
        </w:drawing>
      </w:r>
    </w:p>
    <w:p w:rsidR="0029534B" w:rsidRDefault="0029534B">
      <w:pPr>
        <w:rPr>
          <w:b/>
          <w:sz w:val="22"/>
          <w:szCs w:val="22"/>
        </w:rPr>
      </w:pPr>
    </w:p>
    <w:p w:rsidR="0029534B" w:rsidRDefault="00B03676">
      <w:pPr>
        <w:rPr>
          <w:b/>
          <w:sz w:val="22"/>
          <w:szCs w:val="22"/>
        </w:rPr>
      </w:pPr>
      <w:r>
        <w:br w:type="page"/>
      </w:r>
    </w:p>
    <w:p w:rsidR="0029534B" w:rsidRDefault="00B03676">
      <w:pPr>
        <w:rPr>
          <w:sz w:val="22"/>
          <w:szCs w:val="22"/>
        </w:rPr>
      </w:pPr>
      <w:r>
        <w:rPr>
          <w:b/>
          <w:sz w:val="22"/>
          <w:szCs w:val="22"/>
        </w:rPr>
        <w:lastRenderedPageBreak/>
        <w:t xml:space="preserve">Fig S4. Testing costs, as dollars per student per month, in a middle school.  </w:t>
      </w:r>
      <w:r>
        <w:rPr>
          <w:sz w:val="22"/>
          <w:szCs w:val="22"/>
        </w:rPr>
        <w:t>When exposed students quarantine at home, costs plateau at higher levels of incidence as classroom quarantines cause screening days to be missed; potential costs of community-bas</w:t>
      </w:r>
      <w:r>
        <w:rPr>
          <w:sz w:val="22"/>
          <w:szCs w:val="22"/>
        </w:rPr>
        <w:t>ed testing by exposed students or their contacts are not modeled. For a “test to stay” strategy that provides in-school rapid testing to symptomatic students and exposed contacts, testing costs increase as incidence rises.</w:t>
      </w:r>
    </w:p>
    <w:p w:rsidR="0029534B" w:rsidRDefault="0029534B">
      <w:pPr>
        <w:rPr>
          <w:b/>
          <w:sz w:val="22"/>
          <w:szCs w:val="22"/>
        </w:rPr>
      </w:pPr>
    </w:p>
    <w:p w:rsidR="0029534B" w:rsidRDefault="0029534B">
      <w:pPr>
        <w:rPr>
          <w:sz w:val="22"/>
          <w:szCs w:val="22"/>
        </w:rPr>
      </w:pPr>
    </w:p>
    <w:p w:rsidR="0029534B" w:rsidRDefault="00B03676">
      <w:pPr>
        <w:jc w:val="center"/>
        <w:rPr>
          <w:b/>
          <w:sz w:val="22"/>
          <w:szCs w:val="22"/>
        </w:rPr>
      </w:pPr>
      <w:r>
        <w:rPr>
          <w:noProof/>
          <w:sz w:val="22"/>
          <w:szCs w:val="22"/>
        </w:rPr>
        <w:drawing>
          <wp:inline distT="114300" distB="114300" distL="114300" distR="114300">
            <wp:extent cx="5943600" cy="52070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943600" cy="5207000"/>
                    </a:xfrm>
                    <a:prstGeom prst="rect">
                      <a:avLst/>
                    </a:prstGeom>
                    <a:ln/>
                  </pic:spPr>
                </pic:pic>
              </a:graphicData>
            </a:graphic>
          </wp:inline>
        </w:drawing>
      </w:r>
    </w:p>
    <w:p w:rsidR="0029534B" w:rsidRDefault="00B03676">
      <w:pPr>
        <w:rPr>
          <w:b/>
          <w:sz w:val="22"/>
          <w:szCs w:val="22"/>
        </w:rPr>
      </w:pPr>
      <w:r>
        <w:br w:type="page"/>
      </w:r>
    </w:p>
    <w:p w:rsidR="0029534B" w:rsidRDefault="00B03676">
      <w:pPr>
        <w:rPr>
          <w:sz w:val="22"/>
          <w:szCs w:val="22"/>
        </w:rPr>
      </w:pPr>
      <w:r>
        <w:rPr>
          <w:b/>
          <w:sz w:val="22"/>
          <w:szCs w:val="22"/>
        </w:rPr>
        <w:lastRenderedPageBreak/>
        <w:t>Fig S5. Childcare or parent</w:t>
      </w:r>
      <w:r>
        <w:rPr>
          <w:b/>
          <w:sz w:val="22"/>
          <w:szCs w:val="22"/>
        </w:rPr>
        <w:t xml:space="preserve"> productivity costs (elementary school). </w:t>
      </w:r>
      <w:r>
        <w:rPr>
          <w:sz w:val="22"/>
          <w:szCs w:val="22"/>
        </w:rPr>
        <w:t xml:space="preserve">Planned costs reflect scheduled days of remote learning, and unplanned costs reflect days spent in isolation or quarantine. Rows reflect two different approaches to managing exposed contacts (quarantine for 10 days </w:t>
      </w:r>
      <w:r>
        <w:rPr>
          <w:sz w:val="22"/>
          <w:szCs w:val="22"/>
        </w:rPr>
        <w:t xml:space="preserve">at home, top row; or staying at school with a week of daily rapid tests, bottom row). “Test to stay” is not modeled for Hybrid and Remote schedules. </w:t>
      </w:r>
    </w:p>
    <w:p w:rsidR="0029534B" w:rsidRDefault="0029534B">
      <w:pPr>
        <w:rPr>
          <w:sz w:val="22"/>
          <w:szCs w:val="22"/>
        </w:rPr>
      </w:pPr>
    </w:p>
    <w:p w:rsidR="0029534B" w:rsidRDefault="00B03676">
      <w:pPr>
        <w:rPr>
          <w:sz w:val="22"/>
          <w:szCs w:val="22"/>
        </w:rPr>
      </w:pPr>
      <w:r>
        <w:rPr>
          <w:noProof/>
          <w:sz w:val="22"/>
          <w:szCs w:val="22"/>
        </w:rPr>
        <w:drawing>
          <wp:inline distT="114300" distB="114300" distL="114300" distR="114300">
            <wp:extent cx="5943600" cy="41656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943600" cy="4165600"/>
                    </a:xfrm>
                    <a:prstGeom prst="rect">
                      <a:avLst/>
                    </a:prstGeom>
                    <a:ln/>
                  </pic:spPr>
                </pic:pic>
              </a:graphicData>
            </a:graphic>
          </wp:inline>
        </w:drawing>
      </w: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B03676">
      <w:pPr>
        <w:rPr>
          <w:b/>
          <w:sz w:val="22"/>
          <w:szCs w:val="22"/>
        </w:rPr>
      </w:pPr>
      <w:r>
        <w:br w:type="page"/>
      </w:r>
    </w:p>
    <w:p w:rsidR="0029534B" w:rsidRDefault="00B03676">
      <w:pPr>
        <w:rPr>
          <w:sz w:val="22"/>
          <w:szCs w:val="22"/>
        </w:rPr>
      </w:pPr>
      <w:r>
        <w:rPr>
          <w:b/>
          <w:sz w:val="22"/>
          <w:szCs w:val="22"/>
        </w:rPr>
        <w:lastRenderedPageBreak/>
        <w:t xml:space="preserve">Fig S6. Childcare or parent productivity costs (middle school). </w:t>
      </w:r>
      <w:r>
        <w:rPr>
          <w:sz w:val="22"/>
          <w:szCs w:val="22"/>
        </w:rPr>
        <w:t>We assume that for a combination o</w:t>
      </w:r>
      <w:r>
        <w:rPr>
          <w:sz w:val="22"/>
          <w:szCs w:val="22"/>
        </w:rPr>
        <w:t xml:space="preserve">f health and logistical reasons, full classrooms quarantine after exposure. If only unvaccinated students were asked to quarantine, then costs of 5-Day + Quarantine scenarios would be reduced. </w:t>
      </w:r>
    </w:p>
    <w:p w:rsidR="0029534B" w:rsidRDefault="0029534B">
      <w:pPr>
        <w:rPr>
          <w:sz w:val="22"/>
          <w:szCs w:val="22"/>
        </w:rPr>
      </w:pPr>
    </w:p>
    <w:p w:rsidR="0029534B" w:rsidRDefault="0029534B">
      <w:pPr>
        <w:rPr>
          <w:sz w:val="22"/>
          <w:szCs w:val="22"/>
        </w:rPr>
      </w:pPr>
    </w:p>
    <w:p w:rsidR="0029534B" w:rsidRDefault="00B03676">
      <w:pPr>
        <w:rPr>
          <w:sz w:val="22"/>
          <w:szCs w:val="22"/>
        </w:rPr>
      </w:pPr>
      <w:r>
        <w:rPr>
          <w:noProof/>
          <w:sz w:val="22"/>
          <w:szCs w:val="22"/>
        </w:rPr>
        <w:drawing>
          <wp:inline distT="114300" distB="114300" distL="114300" distR="114300">
            <wp:extent cx="5943600" cy="41656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943600" cy="4165600"/>
                    </a:xfrm>
                    <a:prstGeom prst="rect">
                      <a:avLst/>
                    </a:prstGeom>
                    <a:ln/>
                  </pic:spPr>
                </pic:pic>
              </a:graphicData>
            </a:graphic>
          </wp:inline>
        </w:drawing>
      </w:r>
    </w:p>
    <w:p w:rsidR="0029534B" w:rsidRDefault="0029534B">
      <w:pPr>
        <w:rPr>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B03676">
      <w:pPr>
        <w:rPr>
          <w:b/>
          <w:sz w:val="22"/>
          <w:szCs w:val="22"/>
        </w:rPr>
      </w:pPr>
      <w:r>
        <w:br w:type="page"/>
      </w:r>
    </w:p>
    <w:p w:rsidR="0029534B" w:rsidRDefault="00B03676">
      <w:pPr>
        <w:rPr>
          <w:sz w:val="22"/>
          <w:szCs w:val="22"/>
        </w:rPr>
      </w:pPr>
      <w:r>
        <w:rPr>
          <w:b/>
          <w:sz w:val="22"/>
          <w:szCs w:val="22"/>
        </w:rPr>
        <w:lastRenderedPageBreak/>
        <w:t>Fig S7. Costs associated with rapid antigen screening tests</w:t>
      </w:r>
      <w:r>
        <w:rPr>
          <w:sz w:val="22"/>
          <w:szCs w:val="22"/>
        </w:rPr>
        <w:t xml:space="preserve"> (weekly tests at $12 per test + $8 per sample collection, PCR confirmation of positive results with same one-day turnaround, 0.5% false positive rapid tests, no change in sensitivity for acute inf</w:t>
      </w:r>
      <w:r>
        <w:rPr>
          <w:sz w:val="22"/>
          <w:szCs w:val="22"/>
        </w:rPr>
        <w:t>ection) compared to the costs of schedule-based mitigation and of full-time in-person attendance without asymptomatic screening.</w:t>
      </w:r>
    </w:p>
    <w:p w:rsidR="0029534B" w:rsidRDefault="0029534B">
      <w:pPr>
        <w:rPr>
          <w:sz w:val="22"/>
          <w:szCs w:val="22"/>
        </w:rPr>
      </w:pPr>
    </w:p>
    <w:p w:rsidR="0029534B" w:rsidRDefault="00B03676">
      <w:pPr>
        <w:rPr>
          <w:sz w:val="22"/>
          <w:szCs w:val="22"/>
        </w:rPr>
      </w:pPr>
      <w:r>
        <w:rPr>
          <w:noProof/>
          <w:sz w:val="22"/>
          <w:szCs w:val="22"/>
        </w:rPr>
        <w:drawing>
          <wp:inline distT="114300" distB="114300" distL="114300" distR="114300">
            <wp:extent cx="5943600" cy="52070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5943600" cy="5207000"/>
                    </a:xfrm>
                    <a:prstGeom prst="rect">
                      <a:avLst/>
                    </a:prstGeom>
                    <a:ln/>
                  </pic:spPr>
                </pic:pic>
              </a:graphicData>
            </a:graphic>
          </wp:inline>
        </w:drawing>
      </w: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B03676">
      <w:pPr>
        <w:rPr>
          <w:b/>
          <w:sz w:val="22"/>
          <w:szCs w:val="22"/>
        </w:rPr>
      </w:pPr>
      <w:r>
        <w:br w:type="page"/>
      </w:r>
    </w:p>
    <w:p w:rsidR="0029534B" w:rsidRDefault="00B03676">
      <w:pPr>
        <w:rPr>
          <w:b/>
          <w:sz w:val="22"/>
          <w:szCs w:val="22"/>
        </w:rPr>
      </w:pPr>
      <w:r>
        <w:rPr>
          <w:b/>
          <w:sz w:val="22"/>
          <w:szCs w:val="22"/>
        </w:rPr>
        <w:lastRenderedPageBreak/>
        <w:t>Fig S8. Cost-effectiveness of rapid screening (cost per infection directly averted among students and staff), com</w:t>
      </w:r>
      <w:r>
        <w:rPr>
          <w:b/>
          <w:sz w:val="22"/>
          <w:szCs w:val="22"/>
        </w:rPr>
        <w:t xml:space="preserve">paring weekly screening to full-time attendance without screening, under the same rapid screening assumptions as in Figure S7.  </w:t>
      </w:r>
      <w:r>
        <w:rPr>
          <w:sz w:val="22"/>
          <w:szCs w:val="22"/>
        </w:rPr>
        <w:t xml:space="preserve">For testing costs (orange), we show the strategy of weekly screening in which exposed contacts quarantine at home (solid line), </w:t>
      </w:r>
      <w:r>
        <w:rPr>
          <w:sz w:val="22"/>
          <w:szCs w:val="22"/>
        </w:rPr>
        <w:t>which dominates the “test to stay” strategy.  By “dominates”, we mean that if optimizing over test costs only, it is strictly higher value to quarantine contacts, rather than implement test-to-stay.  Likewise, for combined costs of testing plus childcare (</w:t>
      </w:r>
      <w:r>
        <w:rPr>
          <w:sz w:val="22"/>
          <w:szCs w:val="22"/>
        </w:rPr>
        <w:t>blue), we show the strategy of weekly screening with exposed contacts undergoing daily rapid tests to stay at school (dashed line), which dominates at-home quarantine.</w:t>
      </w:r>
    </w:p>
    <w:p w:rsidR="0029534B" w:rsidRDefault="0029534B">
      <w:pPr>
        <w:rPr>
          <w:b/>
          <w:sz w:val="22"/>
          <w:szCs w:val="22"/>
        </w:rPr>
      </w:pPr>
    </w:p>
    <w:p w:rsidR="0029534B" w:rsidRDefault="00B03676">
      <w:pPr>
        <w:rPr>
          <w:b/>
          <w:sz w:val="22"/>
          <w:szCs w:val="22"/>
        </w:rPr>
      </w:pPr>
      <w:r>
        <w:rPr>
          <w:b/>
          <w:noProof/>
          <w:sz w:val="22"/>
          <w:szCs w:val="22"/>
        </w:rPr>
        <w:drawing>
          <wp:inline distT="114300" distB="114300" distL="114300" distR="114300">
            <wp:extent cx="5943600" cy="33020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943600" cy="3302000"/>
                    </a:xfrm>
                    <a:prstGeom prst="rect">
                      <a:avLst/>
                    </a:prstGeom>
                    <a:ln/>
                  </pic:spPr>
                </pic:pic>
              </a:graphicData>
            </a:graphic>
          </wp:inline>
        </w:drawing>
      </w: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B03676">
      <w:pPr>
        <w:rPr>
          <w:b/>
          <w:sz w:val="22"/>
          <w:szCs w:val="22"/>
        </w:rPr>
      </w:pPr>
      <w:r>
        <w:rPr>
          <w:b/>
          <w:sz w:val="22"/>
          <w:szCs w:val="22"/>
        </w:rPr>
        <w:lastRenderedPageBreak/>
        <w:t>Fig S9. Cost-effectiveness of weekly screening (cost per infection directly averted among students and staff), comparing screening to full-time attendance without screening, assuming a two-fold increase in transmission rate over the base case (due to incre</w:t>
      </w:r>
      <w:r>
        <w:rPr>
          <w:b/>
          <w:sz w:val="22"/>
          <w:szCs w:val="22"/>
        </w:rPr>
        <w:t xml:space="preserve">ased variant transmissibility or reduced in-school mitigation).  </w:t>
      </w:r>
      <w:r>
        <w:rPr>
          <w:sz w:val="22"/>
          <w:szCs w:val="22"/>
        </w:rPr>
        <w:t>For testing costs (orange), we show the strategy of weekly screening in which exposed contacts quarantine at home (solid line), which dominates the “test to stay” strategy.  By “dominates”, w</w:t>
      </w:r>
      <w:r>
        <w:rPr>
          <w:sz w:val="22"/>
          <w:szCs w:val="22"/>
        </w:rPr>
        <w:t>e mean that if optimizing over test costs only, it is strictly higher value to quarantine contacts, rather than implement test-to-stay.  Likewise, for combined costs of testing plus childcare (blue), we show the strategy of weekly screening with exposed co</w:t>
      </w:r>
      <w:r>
        <w:rPr>
          <w:sz w:val="22"/>
          <w:szCs w:val="22"/>
        </w:rPr>
        <w:t>ntacts undergoing daily rapid tests to stay at school (dashed line), which dominates at-home quarantine.</w:t>
      </w:r>
    </w:p>
    <w:p w:rsidR="0029534B" w:rsidRDefault="0029534B">
      <w:pPr>
        <w:rPr>
          <w:b/>
          <w:sz w:val="22"/>
          <w:szCs w:val="22"/>
        </w:rPr>
      </w:pPr>
    </w:p>
    <w:p w:rsidR="0029534B" w:rsidRDefault="00B03676">
      <w:pPr>
        <w:rPr>
          <w:b/>
          <w:sz w:val="22"/>
          <w:szCs w:val="22"/>
        </w:rPr>
      </w:pPr>
      <w:r>
        <w:rPr>
          <w:b/>
          <w:noProof/>
          <w:sz w:val="22"/>
          <w:szCs w:val="22"/>
        </w:rPr>
        <w:drawing>
          <wp:inline distT="114300" distB="114300" distL="114300" distR="114300">
            <wp:extent cx="5943600" cy="33020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943600" cy="3302000"/>
                    </a:xfrm>
                    <a:prstGeom prst="rect">
                      <a:avLst/>
                    </a:prstGeom>
                    <a:ln/>
                  </pic:spPr>
                </pic:pic>
              </a:graphicData>
            </a:graphic>
          </wp:inline>
        </w:drawing>
      </w:r>
    </w:p>
    <w:p w:rsidR="0029534B" w:rsidRDefault="0029534B">
      <w:pPr>
        <w:rPr>
          <w:b/>
          <w:sz w:val="22"/>
          <w:szCs w:val="22"/>
        </w:rPr>
      </w:pPr>
    </w:p>
    <w:p w:rsidR="0029534B" w:rsidRDefault="0029534B">
      <w:pPr>
        <w:rPr>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B03676">
      <w:pPr>
        <w:rPr>
          <w:b/>
          <w:sz w:val="22"/>
          <w:szCs w:val="22"/>
        </w:rPr>
      </w:pPr>
      <w:r>
        <w:br w:type="page"/>
      </w:r>
    </w:p>
    <w:p w:rsidR="0029534B" w:rsidRDefault="00B03676">
      <w:pPr>
        <w:rPr>
          <w:sz w:val="22"/>
          <w:szCs w:val="22"/>
        </w:rPr>
      </w:pPr>
      <w:r>
        <w:rPr>
          <w:b/>
          <w:sz w:val="22"/>
          <w:szCs w:val="22"/>
        </w:rPr>
        <w:lastRenderedPageBreak/>
        <w:t xml:space="preserve">Fig S10. One-way sensitivity analyses, transmission effects of weekly screening. </w:t>
      </w:r>
      <w:r>
        <w:rPr>
          <w:sz w:val="22"/>
          <w:szCs w:val="22"/>
        </w:rPr>
        <w:t>The outcome is the absolute difference in incidence (infections of students or teachers per school per month) between 5-day attendance with and without weekly screening, in an elementary (A) and middle school (B). The dotted horizontal line indicates the o</w:t>
      </w:r>
      <w:r>
        <w:rPr>
          <w:sz w:val="22"/>
          <w:szCs w:val="22"/>
        </w:rPr>
        <w:t xml:space="preserve">utcome when all parameters are at their base values (values indicated in gray text in the row where that parameter is varied). </w:t>
      </w:r>
    </w:p>
    <w:p w:rsidR="0029534B" w:rsidRDefault="00B03676">
      <w:pPr>
        <w:jc w:val="center"/>
        <w:rPr>
          <w:sz w:val="22"/>
          <w:szCs w:val="22"/>
        </w:rPr>
      </w:pPr>
      <w:r>
        <w:rPr>
          <w:noProof/>
          <w:sz w:val="22"/>
          <w:szCs w:val="22"/>
        </w:rPr>
        <w:drawing>
          <wp:inline distT="114300" distB="114300" distL="114300" distR="114300">
            <wp:extent cx="5943600" cy="32512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5943600" cy="3251200"/>
                    </a:xfrm>
                    <a:prstGeom prst="rect">
                      <a:avLst/>
                    </a:prstGeom>
                    <a:ln/>
                  </pic:spPr>
                </pic:pic>
              </a:graphicData>
            </a:graphic>
          </wp:inline>
        </w:drawing>
      </w:r>
    </w:p>
    <w:p w:rsidR="0029534B" w:rsidRDefault="00B03676">
      <w:pPr>
        <w:jc w:val="center"/>
        <w:rPr>
          <w:sz w:val="22"/>
          <w:szCs w:val="22"/>
        </w:rPr>
      </w:pPr>
      <w:r>
        <w:rPr>
          <w:noProof/>
          <w:sz w:val="22"/>
          <w:szCs w:val="22"/>
        </w:rPr>
        <w:drawing>
          <wp:inline distT="114300" distB="114300" distL="114300" distR="114300">
            <wp:extent cx="5943600" cy="3251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5943600" cy="3251200"/>
                    </a:xfrm>
                    <a:prstGeom prst="rect">
                      <a:avLst/>
                    </a:prstGeom>
                    <a:ln/>
                  </pic:spPr>
                </pic:pic>
              </a:graphicData>
            </a:graphic>
          </wp:inline>
        </w:drawing>
      </w:r>
    </w:p>
    <w:p w:rsidR="0029534B" w:rsidRDefault="0029534B">
      <w:pPr>
        <w:jc w:val="center"/>
        <w:rPr>
          <w:sz w:val="22"/>
          <w:szCs w:val="22"/>
        </w:rPr>
      </w:pPr>
    </w:p>
    <w:p w:rsidR="0029534B" w:rsidRDefault="0029534B">
      <w:pPr>
        <w:rPr>
          <w:sz w:val="22"/>
          <w:szCs w:val="22"/>
        </w:rPr>
      </w:pPr>
    </w:p>
    <w:p w:rsidR="0029534B" w:rsidRDefault="0029534B">
      <w:pPr>
        <w:rPr>
          <w:sz w:val="22"/>
          <w:szCs w:val="22"/>
        </w:rPr>
      </w:pPr>
    </w:p>
    <w:p w:rsidR="0029534B" w:rsidRDefault="0029534B">
      <w:pPr>
        <w:rPr>
          <w:sz w:val="22"/>
          <w:szCs w:val="22"/>
        </w:rPr>
      </w:pPr>
    </w:p>
    <w:p w:rsidR="0029534B" w:rsidRDefault="00B03676">
      <w:pPr>
        <w:rPr>
          <w:b/>
          <w:sz w:val="22"/>
          <w:szCs w:val="22"/>
        </w:rPr>
      </w:pPr>
      <w:r>
        <w:rPr>
          <w:b/>
          <w:sz w:val="22"/>
          <w:szCs w:val="22"/>
        </w:rPr>
        <w:lastRenderedPageBreak/>
        <w:t>Table S1. Comparison of transmission, case-detection, operational, and cost outcomes between different schedules and scr</w:t>
      </w:r>
      <w:r>
        <w:rPr>
          <w:b/>
          <w:sz w:val="22"/>
          <w:szCs w:val="22"/>
        </w:rPr>
        <w:t xml:space="preserve">eening frequencies </w:t>
      </w:r>
    </w:p>
    <w:p w:rsidR="0029534B" w:rsidRDefault="0029534B">
      <w:pPr>
        <w:rPr>
          <w:sz w:val="22"/>
          <w:szCs w:val="22"/>
        </w:rPr>
      </w:pPr>
    </w:p>
    <w:p w:rsidR="0029534B" w:rsidRDefault="0029534B">
      <w:pPr>
        <w:rPr>
          <w:sz w:val="22"/>
          <w:szCs w:val="22"/>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900"/>
        <w:gridCol w:w="1035"/>
        <w:gridCol w:w="1125"/>
        <w:gridCol w:w="1080"/>
        <w:gridCol w:w="1080"/>
        <w:gridCol w:w="1260"/>
        <w:gridCol w:w="1350"/>
      </w:tblGrid>
      <w:tr w:rsidR="0029534B">
        <w:tc>
          <w:tcPr>
            <w:tcW w:w="1530" w:type="dxa"/>
            <w:shd w:val="clear" w:color="auto" w:fill="auto"/>
            <w:tcMar>
              <w:top w:w="0" w:type="dxa"/>
              <w:left w:w="0" w:type="dxa"/>
              <w:bottom w:w="0" w:type="dxa"/>
              <w:right w:w="0" w:type="dxa"/>
            </w:tcMar>
          </w:tcPr>
          <w:p w:rsidR="0029534B" w:rsidRDefault="0029534B">
            <w:pPr>
              <w:widowControl w:val="0"/>
              <w:pBdr>
                <w:top w:val="nil"/>
                <w:left w:val="nil"/>
                <w:bottom w:val="nil"/>
                <w:right w:val="nil"/>
                <w:between w:val="nil"/>
              </w:pBdr>
              <w:rPr>
                <w:sz w:val="22"/>
                <w:szCs w:val="22"/>
              </w:rPr>
            </w:pPr>
          </w:p>
        </w:tc>
        <w:tc>
          <w:tcPr>
            <w:tcW w:w="900" w:type="dxa"/>
            <w:shd w:val="clear" w:color="auto" w:fill="auto"/>
            <w:tcMar>
              <w:top w:w="0" w:type="dxa"/>
              <w:left w:w="0" w:type="dxa"/>
              <w:bottom w:w="0" w:type="dxa"/>
              <w:right w:w="0" w:type="dxa"/>
            </w:tcMar>
          </w:tcPr>
          <w:p w:rsidR="0029534B" w:rsidRDefault="00B03676">
            <w:pPr>
              <w:widowControl w:val="0"/>
              <w:pBdr>
                <w:top w:val="nil"/>
                <w:left w:val="nil"/>
                <w:bottom w:val="nil"/>
                <w:right w:val="nil"/>
                <w:between w:val="nil"/>
              </w:pBdr>
              <w:rPr>
                <w:sz w:val="22"/>
                <w:szCs w:val="22"/>
              </w:rPr>
            </w:pPr>
            <w:r>
              <w:rPr>
                <w:sz w:val="22"/>
                <w:szCs w:val="22"/>
              </w:rPr>
              <w:t>Infected (proportion of school per month)</w:t>
            </w:r>
          </w:p>
        </w:tc>
        <w:tc>
          <w:tcPr>
            <w:tcW w:w="1035" w:type="dxa"/>
            <w:shd w:val="clear" w:color="auto" w:fill="auto"/>
            <w:tcMar>
              <w:top w:w="0" w:type="dxa"/>
              <w:left w:w="0" w:type="dxa"/>
              <w:bottom w:w="0" w:type="dxa"/>
              <w:right w:w="0" w:type="dxa"/>
            </w:tcMar>
          </w:tcPr>
          <w:p w:rsidR="0029534B" w:rsidRDefault="00B03676">
            <w:pPr>
              <w:widowControl w:val="0"/>
              <w:pBdr>
                <w:top w:val="nil"/>
                <w:left w:val="nil"/>
                <w:bottom w:val="nil"/>
                <w:right w:val="nil"/>
                <w:between w:val="nil"/>
              </w:pBdr>
              <w:rPr>
                <w:sz w:val="22"/>
                <w:szCs w:val="22"/>
              </w:rPr>
            </w:pPr>
            <w:r>
              <w:rPr>
                <w:sz w:val="22"/>
                <w:szCs w:val="22"/>
              </w:rPr>
              <w:t>Difference in proportion of school infected, per month vs full-time without screening</w:t>
            </w:r>
          </w:p>
        </w:tc>
        <w:tc>
          <w:tcPr>
            <w:tcW w:w="1125" w:type="dxa"/>
            <w:shd w:val="clear" w:color="auto" w:fill="auto"/>
            <w:tcMar>
              <w:top w:w="0" w:type="dxa"/>
              <w:left w:w="0" w:type="dxa"/>
              <w:bottom w:w="0" w:type="dxa"/>
              <w:right w:w="0" w:type="dxa"/>
            </w:tcMar>
          </w:tcPr>
          <w:p w:rsidR="0029534B" w:rsidRDefault="00B03676">
            <w:pPr>
              <w:widowControl w:val="0"/>
              <w:pBdr>
                <w:top w:val="nil"/>
                <w:left w:val="nil"/>
                <w:bottom w:val="nil"/>
                <w:right w:val="nil"/>
                <w:between w:val="nil"/>
              </w:pBdr>
              <w:rPr>
                <w:sz w:val="22"/>
                <w:szCs w:val="22"/>
              </w:rPr>
            </w:pPr>
            <w:r>
              <w:rPr>
                <w:sz w:val="22"/>
                <w:szCs w:val="22"/>
              </w:rPr>
              <w:t>Proportion of incremental infections prevented (of difference between 5-day no screening and Remote)</w:t>
            </w:r>
          </w:p>
        </w:tc>
        <w:tc>
          <w:tcPr>
            <w:tcW w:w="1080" w:type="dxa"/>
            <w:shd w:val="clear" w:color="auto" w:fill="auto"/>
            <w:tcMar>
              <w:top w:w="0" w:type="dxa"/>
              <w:left w:w="0" w:type="dxa"/>
              <w:bottom w:w="0" w:type="dxa"/>
              <w:right w:w="0" w:type="dxa"/>
            </w:tcMar>
          </w:tcPr>
          <w:p w:rsidR="0029534B" w:rsidRDefault="00B03676">
            <w:pPr>
              <w:widowControl w:val="0"/>
              <w:pBdr>
                <w:top w:val="nil"/>
                <w:left w:val="nil"/>
                <w:bottom w:val="nil"/>
                <w:right w:val="nil"/>
                <w:between w:val="nil"/>
              </w:pBdr>
              <w:rPr>
                <w:sz w:val="22"/>
                <w:szCs w:val="22"/>
              </w:rPr>
            </w:pPr>
            <w:r>
              <w:rPr>
                <w:sz w:val="22"/>
                <w:szCs w:val="22"/>
              </w:rPr>
              <w:t>Prop</w:t>
            </w:r>
            <w:r>
              <w:rPr>
                <w:sz w:val="22"/>
                <w:szCs w:val="22"/>
              </w:rPr>
              <w:t>ortion of cases detected</w:t>
            </w:r>
          </w:p>
        </w:tc>
        <w:tc>
          <w:tcPr>
            <w:tcW w:w="1080" w:type="dxa"/>
            <w:shd w:val="clear" w:color="auto" w:fill="auto"/>
            <w:tcMar>
              <w:top w:w="0" w:type="dxa"/>
              <w:left w:w="0" w:type="dxa"/>
              <w:bottom w:w="0" w:type="dxa"/>
              <w:right w:w="0" w:type="dxa"/>
            </w:tcMar>
          </w:tcPr>
          <w:p w:rsidR="0029534B" w:rsidRDefault="00B03676">
            <w:pPr>
              <w:widowControl w:val="0"/>
              <w:pBdr>
                <w:top w:val="nil"/>
                <w:left w:val="nil"/>
                <w:bottom w:val="nil"/>
                <w:right w:val="nil"/>
                <w:between w:val="nil"/>
              </w:pBdr>
              <w:rPr>
                <w:sz w:val="22"/>
                <w:szCs w:val="22"/>
              </w:rPr>
            </w:pPr>
            <w:r>
              <w:rPr>
                <w:sz w:val="22"/>
                <w:szCs w:val="22"/>
              </w:rPr>
              <w:t>In-person attendance (proportion of school days)</w:t>
            </w:r>
          </w:p>
        </w:tc>
        <w:tc>
          <w:tcPr>
            <w:tcW w:w="1260" w:type="dxa"/>
            <w:shd w:val="clear" w:color="auto" w:fill="auto"/>
            <w:tcMar>
              <w:top w:w="0" w:type="dxa"/>
              <w:left w:w="0" w:type="dxa"/>
              <w:bottom w:w="0" w:type="dxa"/>
              <w:right w:w="0" w:type="dxa"/>
            </w:tcMar>
          </w:tcPr>
          <w:p w:rsidR="0029534B" w:rsidRDefault="00B03676">
            <w:pPr>
              <w:widowControl w:val="0"/>
              <w:pBdr>
                <w:top w:val="nil"/>
                <w:left w:val="nil"/>
                <w:bottom w:val="nil"/>
                <w:right w:val="nil"/>
                <w:between w:val="nil"/>
              </w:pBdr>
              <w:rPr>
                <w:sz w:val="22"/>
                <w:szCs w:val="22"/>
              </w:rPr>
            </w:pPr>
            <w:r>
              <w:rPr>
                <w:sz w:val="22"/>
                <w:szCs w:val="22"/>
              </w:rPr>
              <w:t>Testing costs ($ per student per month)</w:t>
            </w:r>
          </w:p>
        </w:tc>
        <w:tc>
          <w:tcPr>
            <w:tcW w:w="1350" w:type="dxa"/>
            <w:shd w:val="clear" w:color="auto" w:fill="auto"/>
            <w:tcMar>
              <w:top w:w="0" w:type="dxa"/>
              <w:left w:w="0" w:type="dxa"/>
              <w:bottom w:w="0" w:type="dxa"/>
              <w:right w:w="0" w:type="dxa"/>
            </w:tcMar>
          </w:tcPr>
          <w:p w:rsidR="0029534B" w:rsidRDefault="00B03676">
            <w:pPr>
              <w:widowControl w:val="0"/>
              <w:pBdr>
                <w:top w:val="nil"/>
                <w:left w:val="nil"/>
                <w:bottom w:val="nil"/>
                <w:right w:val="nil"/>
                <w:between w:val="nil"/>
              </w:pBdr>
              <w:ind w:right="180"/>
              <w:rPr>
                <w:sz w:val="22"/>
                <w:szCs w:val="22"/>
              </w:rPr>
            </w:pPr>
            <w:r>
              <w:rPr>
                <w:sz w:val="22"/>
                <w:szCs w:val="22"/>
              </w:rPr>
              <w:t xml:space="preserve">Testing + </w:t>
            </w:r>
            <w:proofErr w:type="gramStart"/>
            <w:r>
              <w:rPr>
                <w:sz w:val="22"/>
                <w:szCs w:val="22"/>
              </w:rPr>
              <w:t>child care</w:t>
            </w:r>
            <w:proofErr w:type="gramEnd"/>
            <w:r>
              <w:rPr>
                <w:sz w:val="22"/>
                <w:szCs w:val="22"/>
              </w:rPr>
              <w:t xml:space="preserve"> costs ($ per student per month)</w:t>
            </w:r>
          </w:p>
        </w:tc>
      </w:tr>
      <w:tr w:rsidR="0029534B" w:rsidTr="00AD03F0">
        <w:trPr>
          <w:trHeight w:val="240"/>
        </w:trPr>
        <w:tc>
          <w:tcPr>
            <w:tcW w:w="9360" w:type="dxa"/>
            <w:gridSpan w:val="8"/>
            <w:tcBorders>
              <w:bottom w:val="single" w:sz="4" w:space="0" w:color="auto"/>
            </w:tcBorders>
            <w:shd w:val="clear" w:color="auto" w:fill="auto"/>
            <w:tcMar>
              <w:top w:w="0" w:type="dxa"/>
              <w:left w:w="0" w:type="dxa"/>
              <w:bottom w:w="0" w:type="dxa"/>
              <w:right w:w="0" w:type="dxa"/>
            </w:tcMar>
          </w:tcPr>
          <w:p w:rsidR="0029534B" w:rsidRDefault="00B03676">
            <w:pPr>
              <w:widowControl w:val="0"/>
              <w:pBdr>
                <w:top w:val="nil"/>
                <w:left w:val="nil"/>
                <w:bottom w:val="nil"/>
                <w:right w:val="nil"/>
                <w:between w:val="nil"/>
              </w:pBdr>
              <w:rPr>
                <w:sz w:val="22"/>
                <w:szCs w:val="22"/>
              </w:rPr>
            </w:pPr>
            <w:r>
              <w:rPr>
                <w:sz w:val="22"/>
                <w:szCs w:val="22"/>
              </w:rPr>
              <w:t xml:space="preserve">Elementary school, community notification rate 10/100k/day </w:t>
            </w:r>
          </w:p>
        </w:tc>
      </w:tr>
      <w:tr w:rsidR="0029534B" w:rsidTr="00AD03F0">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t xml:space="preserve">5-Day, no </w:t>
            </w:r>
            <w:proofErr w:type="gramStart"/>
            <w:r>
              <w:rPr>
                <w:b/>
                <w:sz w:val="22"/>
                <w:szCs w:val="22"/>
              </w:rPr>
              <w:t>screening,  quarantine</w:t>
            </w:r>
            <w:proofErr w:type="gramEnd"/>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0.01</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0.23</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0.989</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0</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19.03</w:t>
            </w:r>
          </w:p>
        </w:tc>
      </w:tr>
      <w:tr w:rsidR="0029534B" w:rsidTr="00AD03F0">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t>5-Day, no screening, test-to-stay</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0.01</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0.0002</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-0.06</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0.23</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0.999</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3.47</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4.36</w:t>
            </w:r>
          </w:p>
        </w:tc>
      </w:tr>
      <w:tr w:rsidR="0029534B" w:rsidTr="00AD03F0">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t>5-Day, weekly 10% surveillance, quarantine</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0.009</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-0.0005</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0.19</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0.31</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0.985</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18.93</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44.94</w:t>
            </w:r>
          </w:p>
        </w:tc>
      </w:tr>
      <w:tr w:rsidR="0029534B" w:rsidTr="00AD03F0">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t>5-Day, weekly 10% surveillance, test-to-stay</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0.01</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-0.0002</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0.06</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0.35</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0.999</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24.25</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25.56</w:t>
            </w:r>
          </w:p>
        </w:tc>
      </w:tr>
      <w:tr w:rsidR="0029534B" w:rsidTr="00AD03F0">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t>5-Day, weekly 20% surveillance, quarantine</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0.009</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-0.0007</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0.25</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0.39</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0.981</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27.09</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58.97</w:t>
            </w:r>
          </w:p>
        </w:tc>
      </w:tr>
      <w:tr w:rsidR="0029534B" w:rsidTr="00AD03F0">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t>5-Day, weekly 20% surveillance, test-to-stay</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0.009</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-0.0005</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0.17</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0.44</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0.999</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33.98</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35.59</w:t>
            </w:r>
          </w:p>
        </w:tc>
      </w:tr>
      <w:tr w:rsidR="0029534B" w:rsidTr="00AD03F0">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t>5-Day, 1x/week screening, quarantine</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0.008</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-0.0016</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0.57</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0.66</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0.97</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69.42</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120.26</w:t>
            </w:r>
          </w:p>
        </w:tc>
      </w:tr>
      <w:tr w:rsidR="0029534B" w:rsidTr="00AD03F0">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lastRenderedPageBreak/>
              <w:t>5-Day, 1x/week screening, test-to-stay</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0.009</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-0.0013</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0.46</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0.73</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0.999</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77.81</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80.25</w:t>
            </w:r>
          </w:p>
        </w:tc>
      </w:tr>
      <w:tr w:rsidR="0029534B" w:rsidTr="00AD03F0">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t>5-Day, 2x/week screening, quarantine</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0.008</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-0.0019</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0.69</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0.77</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0.968</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124.19</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178.24</w:t>
            </w:r>
          </w:p>
        </w:tc>
      </w:tr>
      <w:tr w:rsidR="0029534B" w:rsidTr="00AD03F0">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t>5-Day, 2x/week weekly screening, test-to-stay</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0.008</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-0.0017</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0.61</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0.88</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0.998</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134.03</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136.86</w:t>
            </w:r>
          </w:p>
        </w:tc>
      </w:tr>
      <w:tr w:rsidR="0029534B" w:rsidTr="00AD03F0">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t>Hybrid</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0.007</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-0.0025</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0.92</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0.23</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0.397</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0</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421.76</w:t>
            </w:r>
          </w:p>
        </w:tc>
      </w:tr>
      <w:tr w:rsidR="0029534B" w:rsidTr="00AD03F0">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t>Remote</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0.007</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-0.0028</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1</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0</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695.32</w:t>
            </w:r>
          </w:p>
        </w:tc>
      </w:tr>
      <w:tr w:rsidR="0029534B" w:rsidTr="00AD03F0">
        <w:tc>
          <w:tcPr>
            <w:tcW w:w="9360" w:type="dxa"/>
            <w:gridSpan w:val="8"/>
            <w:tcBorders>
              <w:top w:val="single" w:sz="4" w:space="0" w:color="auto"/>
              <w:bottom w:val="single" w:sz="4" w:space="0" w:color="auto"/>
            </w:tcBorders>
            <w:shd w:val="clear" w:color="auto" w:fill="auto"/>
            <w:tcMar>
              <w:top w:w="0" w:type="dxa"/>
              <w:left w:w="0" w:type="dxa"/>
              <w:bottom w:w="0" w:type="dxa"/>
              <w:right w:w="0" w:type="dxa"/>
            </w:tcMar>
            <w:vAlign w:val="bottom"/>
          </w:tcPr>
          <w:p w:rsidR="0029534B" w:rsidRDefault="00B03676" w:rsidP="00AD03F0">
            <w:pPr>
              <w:widowControl w:val="0"/>
              <w:rPr>
                <w:sz w:val="22"/>
                <w:szCs w:val="22"/>
              </w:rPr>
            </w:pPr>
            <w:r>
              <w:rPr>
                <w:sz w:val="22"/>
                <w:szCs w:val="22"/>
              </w:rPr>
              <w:t xml:space="preserve">Elementary school, community notification rate 50/100k/day </w:t>
            </w:r>
          </w:p>
        </w:tc>
      </w:tr>
      <w:tr w:rsidR="0029534B" w:rsidTr="00AD03F0">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t xml:space="preserve">5-Day, no </w:t>
            </w:r>
            <w:proofErr w:type="gramStart"/>
            <w:r>
              <w:rPr>
                <w:b/>
                <w:sz w:val="22"/>
                <w:szCs w:val="22"/>
              </w:rPr>
              <w:t>screening,  quarantine</w:t>
            </w:r>
            <w:proofErr w:type="gramEnd"/>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0.046</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0.22</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0.957</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0</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71.99</w:t>
            </w:r>
          </w:p>
        </w:tc>
      </w:tr>
      <w:tr w:rsidR="0029534B" w:rsidTr="00AD03F0">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t>5-Day, no screening, test-to-stay</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0.047</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0.0013</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-0.1</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0.25</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0.997</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14.73</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19.41</w:t>
            </w:r>
          </w:p>
        </w:tc>
      </w:tr>
      <w:tr w:rsidR="0029534B" w:rsidTr="00AD03F0">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t>5-Day, weekly 10% surveillance, quarantine</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0.042</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-0.0034</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0.28</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0.45</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0.912</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46.65</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194.49</w:t>
            </w:r>
          </w:p>
        </w:tc>
      </w:tr>
      <w:tr w:rsidR="0029534B" w:rsidTr="00AD03F0">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t>5-Day, weekly 10% surveillance, test-to-stay</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0.043</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-0.0026</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0.21</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0.55</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0.994</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80.29</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89.69</w:t>
            </w:r>
          </w:p>
        </w:tc>
      </w:tr>
      <w:tr w:rsidR="0029534B" w:rsidTr="00AD03F0">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t>5-Day, weekly 20% surveillance, quarantine</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0.041</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-0.0054</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0.44</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0.54</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0.896</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57.65</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233.33</w:t>
            </w:r>
          </w:p>
        </w:tc>
      </w:tr>
      <w:tr w:rsidR="0029534B" w:rsidTr="00AD03F0">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t>5-Day, weekly 20% surveillance, test-to-stay</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0.042</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-0.0038</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0.32</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0.66</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0.994</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107.6</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118.43</w:t>
            </w:r>
          </w:p>
        </w:tc>
      </w:tr>
      <w:tr w:rsidR="0029534B" w:rsidTr="00AD03F0">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t>5-Day, 1x/week screening, quarantine</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0.039</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-0.0069</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0.57</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0.63</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0.877</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72.52</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278.98</w:t>
            </w:r>
          </w:p>
        </w:tc>
      </w:tr>
      <w:tr w:rsidR="0029534B" w:rsidTr="00AD03F0">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lastRenderedPageBreak/>
              <w:t>5-Day, 1x/week screening, test-to-stay</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0.04</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-0.0056</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0.46</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0.74</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0.993</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107.84</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119.56</w:t>
            </w:r>
          </w:p>
        </w:tc>
      </w:tr>
      <w:tr w:rsidR="0029534B" w:rsidTr="00AD03F0">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t>5-Day, 2x/week screening, quarantine</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0.038</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-0.0084</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0.69</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0.73</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0.87</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126.85</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345.93</w:t>
            </w:r>
          </w:p>
        </w:tc>
      </w:tr>
      <w:tr w:rsidR="0029534B" w:rsidTr="00AD03F0">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t>5-Day, 2x/week weekly screening, test-to-stay</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0.039</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-0.0064</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0.53</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0.89</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0.992</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169.93</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183.79</w:t>
            </w:r>
          </w:p>
        </w:tc>
      </w:tr>
      <w:tr w:rsidR="0029534B" w:rsidTr="00AD03F0">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t>Hybrid</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0.036</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-0.0099</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0.81</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0.22</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0.389</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0</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435.62</w:t>
            </w:r>
          </w:p>
        </w:tc>
      </w:tr>
      <w:tr w:rsidR="0029534B" w:rsidTr="00AD03F0">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t>Remote</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0.034</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-0.0121</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1</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0</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695.32</w:t>
            </w:r>
          </w:p>
        </w:tc>
      </w:tr>
      <w:tr w:rsidR="0029534B" w:rsidTr="00AD03F0">
        <w:tc>
          <w:tcPr>
            <w:tcW w:w="9360" w:type="dxa"/>
            <w:gridSpan w:val="8"/>
            <w:tcBorders>
              <w:top w:val="single" w:sz="4" w:space="0" w:color="auto"/>
            </w:tcBorders>
            <w:shd w:val="clear" w:color="auto" w:fill="auto"/>
            <w:tcMar>
              <w:top w:w="0" w:type="dxa"/>
              <w:left w:w="0" w:type="dxa"/>
              <w:bottom w:w="0" w:type="dxa"/>
              <w:right w:w="0" w:type="dxa"/>
            </w:tcMar>
            <w:vAlign w:val="bottom"/>
          </w:tcPr>
          <w:p w:rsidR="0029534B" w:rsidRDefault="00B03676" w:rsidP="00AD03F0">
            <w:pPr>
              <w:widowControl w:val="0"/>
              <w:rPr>
                <w:sz w:val="22"/>
                <w:szCs w:val="22"/>
              </w:rPr>
            </w:pPr>
            <w:r>
              <w:rPr>
                <w:sz w:val="22"/>
                <w:szCs w:val="22"/>
              </w:rPr>
              <w:t xml:space="preserve">Middle school, community notification rate 10/100k/day </w:t>
            </w:r>
          </w:p>
        </w:tc>
      </w:tr>
      <w:tr w:rsidR="0029534B" w:rsidTr="00AD03F0">
        <w:trPr>
          <w:trHeight w:val="114"/>
        </w:trPr>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t xml:space="preserve">5-Day, no </w:t>
            </w:r>
            <w:proofErr w:type="gramStart"/>
            <w:r>
              <w:rPr>
                <w:b/>
                <w:sz w:val="22"/>
                <w:szCs w:val="22"/>
              </w:rPr>
              <w:t>screening,  quarantine</w:t>
            </w:r>
            <w:proofErr w:type="gramEnd"/>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0.012</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0.23</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0.992</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0</w:t>
            </w:r>
          </w:p>
        </w:tc>
        <w:tc>
          <w:tcPr>
            <w:tcW w:w="1350" w:type="dxa"/>
            <w:tcBorders>
              <w:lef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13.48</w:t>
            </w:r>
          </w:p>
        </w:tc>
      </w:tr>
      <w:tr w:rsidR="0029534B" w:rsidTr="00AD03F0">
        <w:trPr>
          <w:trHeight w:val="114"/>
        </w:trPr>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t>5-Day, no screening, test-to-stay</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0.013</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0.0006</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-0.12</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0.26</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0.999</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46.62</w:t>
            </w:r>
          </w:p>
        </w:tc>
        <w:tc>
          <w:tcPr>
            <w:tcW w:w="1350" w:type="dxa"/>
            <w:tcBorders>
              <w:lef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68.93</w:t>
            </w:r>
          </w:p>
        </w:tc>
      </w:tr>
      <w:tr w:rsidR="0029534B" w:rsidTr="00AD03F0">
        <w:trPr>
          <w:trHeight w:val="114"/>
        </w:trPr>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t>5-Day, weekly 10% surveillance, quarantine</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0.011</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-0.0013</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0.27</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0.34</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0.989</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4.47</w:t>
            </w:r>
          </w:p>
        </w:tc>
        <w:tc>
          <w:tcPr>
            <w:tcW w:w="1350" w:type="dxa"/>
            <w:tcBorders>
              <w:lef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5.76</w:t>
            </w:r>
          </w:p>
        </w:tc>
      </w:tr>
      <w:tr w:rsidR="0029534B" w:rsidTr="00AD03F0">
        <w:trPr>
          <w:trHeight w:val="114"/>
        </w:trPr>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t>5-Day, weekly 10% surveillance, test-to-stay</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0.011</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-0.0008</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0.16</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0.42</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0.999</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55.46</w:t>
            </w:r>
          </w:p>
        </w:tc>
        <w:tc>
          <w:tcPr>
            <w:tcW w:w="1350" w:type="dxa"/>
            <w:tcBorders>
              <w:lef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57.6</w:t>
            </w:r>
          </w:p>
        </w:tc>
      </w:tr>
      <w:tr w:rsidR="0029534B" w:rsidTr="00AD03F0">
        <w:trPr>
          <w:trHeight w:val="114"/>
        </w:trPr>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t>5-Day, weekly 20% surveillance, quarantine</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0.011</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-0.0017</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0.34</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0.43</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0.987</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23.84</w:t>
            </w:r>
          </w:p>
        </w:tc>
        <w:tc>
          <w:tcPr>
            <w:tcW w:w="1350" w:type="dxa"/>
            <w:tcBorders>
              <w:lef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42.07</w:t>
            </w:r>
          </w:p>
        </w:tc>
      </w:tr>
      <w:tr w:rsidR="0029534B" w:rsidTr="00AD03F0">
        <w:trPr>
          <w:trHeight w:val="114"/>
        </w:trPr>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t>5-Day, weekly 20% surveillance, test-to-stay</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0.011</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-0.0015</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0.3</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0.52</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0.999</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31.24</w:t>
            </w:r>
          </w:p>
        </w:tc>
        <w:tc>
          <w:tcPr>
            <w:tcW w:w="1350" w:type="dxa"/>
            <w:tcBorders>
              <w:lef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33.09</w:t>
            </w:r>
          </w:p>
        </w:tc>
      </w:tr>
      <w:tr w:rsidR="0029534B" w:rsidTr="00AD03F0">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t>5-Day, 1x/week screening, quarantine</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0.009</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-0.0028</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0.57</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0.64</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0.982</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70.06</w:t>
            </w:r>
          </w:p>
        </w:tc>
        <w:tc>
          <w:tcPr>
            <w:tcW w:w="1350" w:type="dxa"/>
            <w:tcBorders>
              <w:lef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100.16</w:t>
            </w:r>
          </w:p>
        </w:tc>
      </w:tr>
      <w:tr w:rsidR="0029534B" w:rsidTr="00AD03F0">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lastRenderedPageBreak/>
              <w:t>5-Day, 1x/week screening, test-to-stay</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0.01</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-0.0027</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0.54</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0.74</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0.998</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78.57</w:t>
            </w:r>
          </w:p>
        </w:tc>
        <w:tc>
          <w:tcPr>
            <w:tcW w:w="1350" w:type="dxa"/>
            <w:tcBorders>
              <w:lef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81.31</w:t>
            </w:r>
          </w:p>
        </w:tc>
      </w:tr>
      <w:tr w:rsidR="0029534B" w:rsidTr="00AD03F0">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t>5-Day, 2x/week screening, quarantine</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0.009</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-0.0035</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0.7</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0.77</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0.982</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125.35</w:t>
            </w:r>
          </w:p>
        </w:tc>
        <w:tc>
          <w:tcPr>
            <w:tcW w:w="1350" w:type="dxa"/>
            <w:tcBorders>
              <w:lef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155.67</w:t>
            </w:r>
          </w:p>
        </w:tc>
      </w:tr>
      <w:tr w:rsidR="0029534B" w:rsidTr="00AD03F0">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t>5-Day, 2x/week weekly screening, test-to-stay</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0.009</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-0.0031</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0.62</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0.9</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0.998</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135.35</w:t>
            </w:r>
          </w:p>
        </w:tc>
        <w:tc>
          <w:tcPr>
            <w:tcW w:w="1350" w:type="dxa"/>
            <w:tcBorders>
              <w:lef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138.51</w:t>
            </w:r>
          </w:p>
        </w:tc>
      </w:tr>
      <w:tr w:rsidR="0029534B" w:rsidTr="00AD03F0">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t>Hybrid</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0.008</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-0.0044</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0.89</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0.22</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0.398</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0</w:t>
            </w:r>
          </w:p>
        </w:tc>
        <w:tc>
          <w:tcPr>
            <w:tcW w:w="1350" w:type="dxa"/>
            <w:tcBorders>
              <w:lef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413.93</w:t>
            </w:r>
          </w:p>
        </w:tc>
      </w:tr>
      <w:tr w:rsidR="0029534B" w:rsidTr="00AD03F0">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t>Remote</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0.007</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-0.005</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1</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0</w:t>
            </w:r>
          </w:p>
        </w:tc>
        <w:tc>
          <w:tcPr>
            <w:tcW w:w="1350" w:type="dxa"/>
            <w:tcBorders>
              <w:lef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684.79</w:t>
            </w:r>
          </w:p>
        </w:tc>
      </w:tr>
      <w:tr w:rsidR="0029534B" w:rsidTr="00AD03F0">
        <w:tc>
          <w:tcPr>
            <w:tcW w:w="9360" w:type="dxa"/>
            <w:gridSpan w:val="8"/>
            <w:shd w:val="clear" w:color="auto" w:fill="auto"/>
            <w:tcMar>
              <w:top w:w="0" w:type="dxa"/>
              <w:left w:w="0" w:type="dxa"/>
              <w:bottom w:w="0" w:type="dxa"/>
              <w:right w:w="0" w:type="dxa"/>
            </w:tcMar>
            <w:vAlign w:val="bottom"/>
          </w:tcPr>
          <w:p w:rsidR="0029534B" w:rsidRDefault="00B03676" w:rsidP="00AD03F0">
            <w:pPr>
              <w:widowControl w:val="0"/>
              <w:rPr>
                <w:sz w:val="22"/>
                <w:szCs w:val="22"/>
              </w:rPr>
            </w:pPr>
            <w:r>
              <w:rPr>
                <w:sz w:val="22"/>
                <w:szCs w:val="22"/>
              </w:rPr>
              <w:t xml:space="preserve">Middle school, community notification rate 50/100k/day </w:t>
            </w:r>
          </w:p>
        </w:tc>
      </w:tr>
      <w:tr w:rsidR="0029534B" w:rsidTr="00AD03F0">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t xml:space="preserve">5-Day, no </w:t>
            </w:r>
            <w:proofErr w:type="gramStart"/>
            <w:r>
              <w:rPr>
                <w:b/>
                <w:sz w:val="22"/>
                <w:szCs w:val="22"/>
              </w:rPr>
              <w:t>screening,  quarantine</w:t>
            </w:r>
            <w:proofErr w:type="gramEnd"/>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0.055</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0.22</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0.973</w:t>
            </w:r>
          </w:p>
        </w:tc>
        <w:tc>
          <w:tcPr>
            <w:tcW w:w="1260" w:type="dxa"/>
            <w:tcBorders>
              <w:lef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0</w:t>
            </w:r>
          </w:p>
        </w:tc>
        <w:tc>
          <w:tcPr>
            <w:tcW w:w="1350" w:type="dxa"/>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45.46</w:t>
            </w:r>
          </w:p>
        </w:tc>
      </w:tr>
      <w:tr w:rsidR="0029534B" w:rsidTr="00AD03F0">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t>5-Day, no screening, test-to-stay</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0.058</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0.0023</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-0.11</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0.28</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0.996</w:t>
            </w:r>
          </w:p>
        </w:tc>
        <w:tc>
          <w:tcPr>
            <w:tcW w:w="1260" w:type="dxa"/>
            <w:tcBorders>
              <w:lef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71.78</w:t>
            </w:r>
          </w:p>
        </w:tc>
        <w:tc>
          <w:tcPr>
            <w:tcW w:w="1350" w:type="dxa"/>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171.71</w:t>
            </w:r>
          </w:p>
        </w:tc>
      </w:tr>
      <w:tr w:rsidR="0029534B" w:rsidTr="00AD03F0">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t>5-Day, weekly 10% surveillance, quarantine</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0.049</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-0.0062</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0.31</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0.44</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0.947</w:t>
            </w:r>
          </w:p>
        </w:tc>
        <w:tc>
          <w:tcPr>
            <w:tcW w:w="1260" w:type="dxa"/>
            <w:tcBorders>
              <w:lef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18.18</w:t>
            </w:r>
          </w:p>
        </w:tc>
        <w:tc>
          <w:tcPr>
            <w:tcW w:w="1350" w:type="dxa"/>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24.48</w:t>
            </w:r>
          </w:p>
        </w:tc>
      </w:tr>
      <w:tr w:rsidR="0029534B" w:rsidTr="00AD03F0">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t>5-Day, weekly 10% surveillance, test-to-stay</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0.051</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-0.0049</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0.24</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0.59</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0.993</w:t>
            </w:r>
          </w:p>
        </w:tc>
        <w:tc>
          <w:tcPr>
            <w:tcW w:w="1260" w:type="dxa"/>
            <w:tcBorders>
              <w:lef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117.73</w:t>
            </w:r>
          </w:p>
        </w:tc>
        <w:tc>
          <w:tcPr>
            <w:tcW w:w="1350" w:type="dxa"/>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129.93</w:t>
            </w:r>
          </w:p>
        </w:tc>
      </w:tr>
      <w:tr w:rsidR="0029534B" w:rsidTr="00AD03F0">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t>5-Day, weekly 20% surveillance, quarantine</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0.047</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-0.0089</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0.44</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0.51</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0.94</w:t>
            </w:r>
          </w:p>
        </w:tc>
        <w:tc>
          <w:tcPr>
            <w:tcW w:w="1260" w:type="dxa"/>
            <w:tcBorders>
              <w:lef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52.13</w:t>
            </w:r>
          </w:p>
        </w:tc>
        <w:tc>
          <w:tcPr>
            <w:tcW w:w="1350" w:type="dxa"/>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139.47</w:t>
            </w:r>
          </w:p>
        </w:tc>
      </w:tr>
      <w:tr w:rsidR="0029534B" w:rsidTr="00AD03F0">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t>5-Day, weekly 20% surveillance, test-to-stay</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0.048</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-0.0073</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0.36</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0.66</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0.993</w:t>
            </w:r>
          </w:p>
        </w:tc>
        <w:tc>
          <w:tcPr>
            <w:tcW w:w="1260" w:type="dxa"/>
            <w:tcBorders>
              <w:lef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92.72</w:t>
            </w:r>
          </w:p>
        </w:tc>
        <w:tc>
          <w:tcPr>
            <w:tcW w:w="1350" w:type="dxa"/>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104.17</w:t>
            </w:r>
          </w:p>
        </w:tc>
      </w:tr>
      <w:tr w:rsidR="0029534B" w:rsidTr="00AD03F0">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t>5-Day, 1x/week screening, quarantine</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0.044</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-0.0118</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0.58</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0.63</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0.931</w:t>
            </w:r>
          </w:p>
        </w:tc>
        <w:tc>
          <w:tcPr>
            <w:tcW w:w="1260" w:type="dxa"/>
            <w:tcBorders>
              <w:left w:val="single" w:sz="4" w:space="0" w:color="auto"/>
            </w:tcBorders>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74.8</w:t>
            </w:r>
          </w:p>
        </w:tc>
        <w:tc>
          <w:tcPr>
            <w:tcW w:w="1350" w:type="dxa"/>
            <w:tcMar>
              <w:top w:w="100" w:type="dxa"/>
              <w:left w:w="100" w:type="dxa"/>
              <w:bottom w:w="100" w:type="dxa"/>
              <w:right w:w="100" w:type="dxa"/>
            </w:tcMar>
            <w:vAlign w:val="bottom"/>
          </w:tcPr>
          <w:p w:rsidR="0029534B" w:rsidRDefault="00B03676" w:rsidP="00AD03F0">
            <w:pPr>
              <w:widowControl w:val="0"/>
              <w:rPr>
                <w:sz w:val="22"/>
                <w:szCs w:val="22"/>
              </w:rPr>
            </w:pPr>
            <w:r>
              <w:rPr>
                <w:sz w:val="22"/>
                <w:szCs w:val="22"/>
              </w:rPr>
              <w:t>189.83</w:t>
            </w:r>
          </w:p>
        </w:tc>
      </w:tr>
      <w:tr w:rsidR="0029534B" w:rsidTr="00AD03F0">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lastRenderedPageBreak/>
              <w:t>5-Day, 1x/week screening, test-to-stay</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0.045</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-0.0103</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0.5</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0.76</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0.992</w:t>
            </w:r>
          </w:p>
        </w:tc>
        <w:tc>
          <w:tcPr>
            <w:tcW w:w="1260" w:type="dxa"/>
            <w:tcBorders>
              <w:left w:val="single" w:sz="4" w:space="0" w:color="auto"/>
            </w:tcBorders>
            <w:tcMar>
              <w:top w:w="100" w:type="dxa"/>
              <w:left w:w="100" w:type="dxa"/>
              <w:bottom w:w="100" w:type="dxa"/>
              <w:right w:w="100" w:type="dxa"/>
            </w:tcMar>
          </w:tcPr>
          <w:p w:rsidR="0029534B" w:rsidRDefault="00B03676">
            <w:pPr>
              <w:widowControl w:val="0"/>
              <w:rPr>
                <w:sz w:val="22"/>
                <w:szCs w:val="22"/>
              </w:rPr>
            </w:pPr>
            <w:r>
              <w:rPr>
                <w:sz w:val="22"/>
                <w:szCs w:val="22"/>
              </w:rPr>
              <w:t>111.96</w:t>
            </w:r>
          </w:p>
        </w:tc>
        <w:tc>
          <w:tcPr>
            <w:tcW w:w="1350" w:type="dxa"/>
            <w:tcMar>
              <w:top w:w="100" w:type="dxa"/>
              <w:left w:w="100" w:type="dxa"/>
              <w:bottom w:w="100" w:type="dxa"/>
              <w:right w:w="100" w:type="dxa"/>
            </w:tcMar>
          </w:tcPr>
          <w:p w:rsidR="0029534B" w:rsidRDefault="00B03676">
            <w:pPr>
              <w:widowControl w:val="0"/>
              <w:rPr>
                <w:sz w:val="22"/>
                <w:szCs w:val="22"/>
              </w:rPr>
            </w:pPr>
            <w:r>
              <w:rPr>
                <w:sz w:val="22"/>
                <w:szCs w:val="22"/>
              </w:rPr>
              <w:t>125.28</w:t>
            </w:r>
          </w:p>
        </w:tc>
      </w:tr>
      <w:tr w:rsidR="0029534B" w:rsidTr="00AD03F0">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t>5-Day, 2x/week screening, quarantine</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0.041</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-0.0148</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0.73</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0.75</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0.929</w:t>
            </w:r>
          </w:p>
        </w:tc>
        <w:tc>
          <w:tcPr>
            <w:tcW w:w="1260" w:type="dxa"/>
            <w:tcBorders>
              <w:left w:val="single" w:sz="4" w:space="0" w:color="auto"/>
            </w:tcBorders>
            <w:tcMar>
              <w:top w:w="100" w:type="dxa"/>
              <w:left w:w="100" w:type="dxa"/>
              <w:bottom w:w="100" w:type="dxa"/>
              <w:right w:w="100" w:type="dxa"/>
            </w:tcMar>
          </w:tcPr>
          <w:p w:rsidR="0029534B" w:rsidRDefault="00B03676">
            <w:pPr>
              <w:widowControl w:val="0"/>
              <w:rPr>
                <w:sz w:val="22"/>
                <w:szCs w:val="22"/>
              </w:rPr>
            </w:pPr>
            <w:r>
              <w:rPr>
                <w:sz w:val="22"/>
                <w:szCs w:val="22"/>
              </w:rPr>
              <w:t>131.25</w:t>
            </w:r>
          </w:p>
        </w:tc>
        <w:tc>
          <w:tcPr>
            <w:tcW w:w="1350" w:type="dxa"/>
            <w:tcMar>
              <w:top w:w="100" w:type="dxa"/>
              <w:left w:w="100" w:type="dxa"/>
              <w:bottom w:w="100" w:type="dxa"/>
              <w:right w:w="100" w:type="dxa"/>
            </w:tcMar>
          </w:tcPr>
          <w:p w:rsidR="0029534B" w:rsidRDefault="00B03676">
            <w:pPr>
              <w:widowControl w:val="0"/>
              <w:rPr>
                <w:sz w:val="22"/>
                <w:szCs w:val="22"/>
              </w:rPr>
            </w:pPr>
            <w:r>
              <w:rPr>
                <w:sz w:val="22"/>
                <w:szCs w:val="22"/>
              </w:rPr>
              <w:t>248.46</w:t>
            </w:r>
          </w:p>
        </w:tc>
      </w:tr>
      <w:tr w:rsidR="0029534B" w:rsidTr="00AD03F0">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t>5-Day, 2x/week weekly screening, test-to-stay</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0.043</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-0.0123</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0.6</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0.9</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0.991</w:t>
            </w:r>
          </w:p>
        </w:tc>
        <w:tc>
          <w:tcPr>
            <w:tcW w:w="1260" w:type="dxa"/>
            <w:tcBorders>
              <w:left w:val="single" w:sz="4" w:space="0" w:color="auto"/>
            </w:tcBorders>
            <w:tcMar>
              <w:top w:w="100" w:type="dxa"/>
              <w:left w:w="100" w:type="dxa"/>
              <w:bottom w:w="100" w:type="dxa"/>
              <w:right w:w="100" w:type="dxa"/>
            </w:tcMar>
          </w:tcPr>
          <w:p w:rsidR="0029534B" w:rsidRDefault="00B03676">
            <w:pPr>
              <w:widowControl w:val="0"/>
              <w:rPr>
                <w:sz w:val="22"/>
                <w:szCs w:val="22"/>
              </w:rPr>
            </w:pPr>
            <w:r>
              <w:rPr>
                <w:sz w:val="22"/>
                <w:szCs w:val="22"/>
              </w:rPr>
              <w:t>173.31</w:t>
            </w:r>
          </w:p>
        </w:tc>
        <w:tc>
          <w:tcPr>
            <w:tcW w:w="1350" w:type="dxa"/>
            <w:tcMar>
              <w:top w:w="100" w:type="dxa"/>
              <w:left w:w="100" w:type="dxa"/>
              <w:bottom w:w="100" w:type="dxa"/>
              <w:right w:w="100" w:type="dxa"/>
            </w:tcMar>
          </w:tcPr>
          <w:p w:rsidR="0029534B" w:rsidRDefault="00B03676">
            <w:pPr>
              <w:widowControl w:val="0"/>
              <w:rPr>
                <w:sz w:val="22"/>
                <w:szCs w:val="22"/>
              </w:rPr>
            </w:pPr>
            <w:r>
              <w:rPr>
                <w:sz w:val="22"/>
                <w:szCs w:val="22"/>
              </w:rPr>
              <w:t>188.37</w:t>
            </w:r>
          </w:p>
        </w:tc>
      </w:tr>
      <w:tr w:rsidR="0029534B" w:rsidTr="00AD03F0">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t>Hybrid</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0.037</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-0.0183</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0.9</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0.23</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0.394</w:t>
            </w:r>
          </w:p>
        </w:tc>
        <w:tc>
          <w:tcPr>
            <w:tcW w:w="1260" w:type="dxa"/>
            <w:tcBorders>
              <w:left w:val="single" w:sz="4" w:space="0" w:color="auto"/>
              <w:bottom w:val="single" w:sz="4" w:space="0" w:color="auto"/>
            </w:tcBorders>
            <w:tcMar>
              <w:top w:w="100" w:type="dxa"/>
              <w:left w:w="100" w:type="dxa"/>
              <w:bottom w:w="100" w:type="dxa"/>
              <w:right w:w="100" w:type="dxa"/>
            </w:tcMar>
          </w:tcPr>
          <w:p w:rsidR="0029534B" w:rsidRDefault="00B03676">
            <w:pPr>
              <w:widowControl w:val="0"/>
              <w:rPr>
                <w:sz w:val="22"/>
                <w:szCs w:val="22"/>
              </w:rPr>
            </w:pPr>
            <w:r>
              <w:rPr>
                <w:sz w:val="22"/>
                <w:szCs w:val="22"/>
              </w:rPr>
              <w:t>0</w:t>
            </w:r>
          </w:p>
        </w:tc>
        <w:tc>
          <w:tcPr>
            <w:tcW w:w="1350" w:type="dxa"/>
            <w:tcMar>
              <w:top w:w="100" w:type="dxa"/>
              <w:left w:w="100" w:type="dxa"/>
              <w:bottom w:w="100" w:type="dxa"/>
              <w:right w:w="100" w:type="dxa"/>
            </w:tcMar>
          </w:tcPr>
          <w:p w:rsidR="0029534B" w:rsidRDefault="00B03676">
            <w:pPr>
              <w:widowControl w:val="0"/>
              <w:rPr>
                <w:sz w:val="22"/>
                <w:szCs w:val="22"/>
              </w:rPr>
            </w:pPr>
            <w:r>
              <w:rPr>
                <w:sz w:val="22"/>
                <w:szCs w:val="22"/>
              </w:rPr>
              <w:t>421.16</w:t>
            </w:r>
          </w:p>
        </w:tc>
      </w:tr>
      <w:tr w:rsidR="0029534B" w:rsidTr="00AD03F0">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b/>
                <w:sz w:val="22"/>
                <w:szCs w:val="22"/>
              </w:rPr>
              <w:t>Remote</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0.035</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-0.0204</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1</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29534B" w:rsidRDefault="00B03676">
            <w:pPr>
              <w:widowControl w:val="0"/>
              <w:rPr>
                <w:sz w:val="22"/>
                <w:szCs w:val="22"/>
              </w:rPr>
            </w:pPr>
            <w:r>
              <w:rPr>
                <w:sz w:val="22"/>
                <w:szCs w:val="22"/>
              </w:rPr>
              <w:t>0</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29534B" w:rsidRDefault="00B03676">
            <w:pPr>
              <w:widowControl w:val="0"/>
              <w:rPr>
                <w:sz w:val="22"/>
                <w:szCs w:val="22"/>
              </w:rPr>
            </w:pPr>
            <w:r>
              <w:rPr>
                <w:sz w:val="22"/>
                <w:szCs w:val="22"/>
              </w:rPr>
              <w:t>0</w:t>
            </w:r>
          </w:p>
        </w:tc>
        <w:tc>
          <w:tcPr>
            <w:tcW w:w="1350" w:type="dxa"/>
            <w:tcBorders>
              <w:left w:val="single" w:sz="4" w:space="0" w:color="auto"/>
            </w:tcBorders>
            <w:tcMar>
              <w:top w:w="100" w:type="dxa"/>
              <w:left w:w="100" w:type="dxa"/>
              <w:bottom w:w="100" w:type="dxa"/>
              <w:right w:w="100" w:type="dxa"/>
            </w:tcMar>
          </w:tcPr>
          <w:p w:rsidR="0029534B" w:rsidRDefault="00B03676">
            <w:pPr>
              <w:widowControl w:val="0"/>
              <w:rPr>
                <w:sz w:val="22"/>
                <w:szCs w:val="22"/>
              </w:rPr>
            </w:pPr>
            <w:r>
              <w:rPr>
                <w:sz w:val="22"/>
                <w:szCs w:val="22"/>
              </w:rPr>
              <w:t>684.79</w:t>
            </w:r>
          </w:p>
        </w:tc>
      </w:tr>
    </w:tbl>
    <w:p w:rsidR="0029534B" w:rsidRDefault="0029534B">
      <w:pPr>
        <w:rPr>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29534B" w:rsidRDefault="0029534B">
      <w:pPr>
        <w:rPr>
          <w:b/>
          <w:sz w:val="22"/>
          <w:szCs w:val="22"/>
        </w:rPr>
      </w:pPr>
    </w:p>
    <w:p w:rsidR="00AD03F0" w:rsidRDefault="00AD03F0">
      <w:pPr>
        <w:rPr>
          <w:b/>
          <w:sz w:val="22"/>
          <w:szCs w:val="22"/>
        </w:rPr>
      </w:pPr>
    </w:p>
    <w:p w:rsidR="00AD03F0" w:rsidRDefault="00AD03F0">
      <w:pPr>
        <w:rPr>
          <w:b/>
          <w:sz w:val="22"/>
          <w:szCs w:val="22"/>
        </w:rPr>
      </w:pPr>
    </w:p>
    <w:p w:rsidR="00AD03F0" w:rsidRDefault="00AD03F0">
      <w:pPr>
        <w:rPr>
          <w:b/>
          <w:sz w:val="22"/>
          <w:szCs w:val="22"/>
        </w:rPr>
      </w:pPr>
    </w:p>
    <w:p w:rsidR="00AD03F0" w:rsidRDefault="00AD03F0">
      <w:pPr>
        <w:rPr>
          <w:b/>
          <w:sz w:val="22"/>
          <w:szCs w:val="22"/>
        </w:rPr>
      </w:pPr>
    </w:p>
    <w:p w:rsidR="00AD03F0" w:rsidRDefault="00AD03F0">
      <w:pPr>
        <w:rPr>
          <w:b/>
          <w:sz w:val="22"/>
          <w:szCs w:val="22"/>
        </w:rPr>
      </w:pPr>
    </w:p>
    <w:p w:rsidR="00AD03F0" w:rsidRDefault="00AD03F0">
      <w:pPr>
        <w:rPr>
          <w:b/>
          <w:sz w:val="22"/>
          <w:szCs w:val="22"/>
        </w:rPr>
      </w:pPr>
    </w:p>
    <w:p w:rsidR="00AD03F0" w:rsidRDefault="00AD03F0">
      <w:pPr>
        <w:rPr>
          <w:b/>
          <w:sz w:val="22"/>
          <w:szCs w:val="22"/>
        </w:rPr>
      </w:pPr>
    </w:p>
    <w:p w:rsidR="00AD03F0" w:rsidRDefault="00AD03F0">
      <w:pPr>
        <w:rPr>
          <w:b/>
          <w:sz w:val="22"/>
          <w:szCs w:val="22"/>
        </w:rPr>
      </w:pPr>
    </w:p>
    <w:p w:rsidR="00AD03F0" w:rsidRDefault="00AD03F0">
      <w:pPr>
        <w:rPr>
          <w:b/>
          <w:sz w:val="22"/>
          <w:szCs w:val="22"/>
        </w:rPr>
      </w:pPr>
    </w:p>
    <w:p w:rsidR="00AD03F0" w:rsidRDefault="00AD03F0">
      <w:pPr>
        <w:rPr>
          <w:b/>
          <w:sz w:val="22"/>
          <w:szCs w:val="22"/>
        </w:rPr>
      </w:pPr>
    </w:p>
    <w:p w:rsidR="00AD03F0" w:rsidRDefault="00AD03F0">
      <w:pPr>
        <w:rPr>
          <w:b/>
          <w:sz w:val="22"/>
          <w:szCs w:val="22"/>
        </w:rPr>
      </w:pPr>
    </w:p>
    <w:p w:rsidR="00AD03F0" w:rsidRDefault="00AD03F0">
      <w:pPr>
        <w:rPr>
          <w:b/>
          <w:sz w:val="22"/>
          <w:szCs w:val="22"/>
        </w:rPr>
      </w:pPr>
    </w:p>
    <w:p w:rsidR="00AD03F0" w:rsidRDefault="00AD03F0">
      <w:pPr>
        <w:rPr>
          <w:b/>
          <w:sz w:val="22"/>
          <w:szCs w:val="22"/>
        </w:rPr>
      </w:pPr>
    </w:p>
    <w:p w:rsidR="00AD03F0" w:rsidRDefault="00AD03F0">
      <w:pPr>
        <w:rPr>
          <w:b/>
          <w:sz w:val="22"/>
          <w:szCs w:val="22"/>
        </w:rPr>
      </w:pPr>
    </w:p>
    <w:p w:rsidR="00AD03F0" w:rsidRDefault="00AD03F0">
      <w:pPr>
        <w:rPr>
          <w:b/>
          <w:sz w:val="22"/>
          <w:szCs w:val="22"/>
        </w:rPr>
      </w:pPr>
    </w:p>
    <w:p w:rsidR="00AD03F0" w:rsidRDefault="00AD03F0">
      <w:pPr>
        <w:rPr>
          <w:b/>
          <w:sz w:val="22"/>
          <w:szCs w:val="22"/>
        </w:rPr>
      </w:pPr>
    </w:p>
    <w:p w:rsidR="00AD03F0" w:rsidRDefault="00AD03F0">
      <w:pPr>
        <w:rPr>
          <w:b/>
          <w:sz w:val="22"/>
          <w:szCs w:val="22"/>
        </w:rPr>
      </w:pPr>
    </w:p>
    <w:p w:rsidR="00AD03F0" w:rsidRDefault="00AD03F0">
      <w:pPr>
        <w:rPr>
          <w:b/>
          <w:sz w:val="22"/>
          <w:szCs w:val="22"/>
        </w:rPr>
      </w:pPr>
    </w:p>
    <w:p w:rsidR="00AD03F0" w:rsidRDefault="00AD03F0">
      <w:pPr>
        <w:rPr>
          <w:b/>
          <w:sz w:val="22"/>
          <w:szCs w:val="22"/>
        </w:rPr>
      </w:pPr>
    </w:p>
    <w:p w:rsidR="00AD03F0" w:rsidRDefault="00AD03F0">
      <w:pPr>
        <w:rPr>
          <w:b/>
          <w:sz w:val="22"/>
          <w:szCs w:val="22"/>
        </w:rPr>
      </w:pPr>
    </w:p>
    <w:p w:rsidR="00AD03F0" w:rsidRDefault="00AD03F0">
      <w:pPr>
        <w:rPr>
          <w:b/>
          <w:sz w:val="22"/>
          <w:szCs w:val="22"/>
        </w:rPr>
      </w:pPr>
    </w:p>
    <w:p w:rsidR="00AD03F0" w:rsidRDefault="00AD03F0">
      <w:pPr>
        <w:rPr>
          <w:b/>
          <w:sz w:val="22"/>
          <w:szCs w:val="22"/>
        </w:rPr>
      </w:pPr>
    </w:p>
    <w:p w:rsidR="00AD03F0" w:rsidRDefault="00AD03F0">
      <w:pPr>
        <w:rPr>
          <w:b/>
          <w:sz w:val="22"/>
          <w:szCs w:val="22"/>
        </w:rPr>
      </w:pPr>
    </w:p>
    <w:p w:rsidR="00AD03F0" w:rsidRDefault="00AD03F0">
      <w:pPr>
        <w:rPr>
          <w:b/>
          <w:sz w:val="22"/>
          <w:szCs w:val="22"/>
        </w:rPr>
      </w:pPr>
    </w:p>
    <w:p w:rsidR="00AD03F0" w:rsidRDefault="00AD03F0">
      <w:pPr>
        <w:rPr>
          <w:b/>
          <w:sz w:val="22"/>
          <w:szCs w:val="22"/>
        </w:rPr>
      </w:pPr>
    </w:p>
    <w:p w:rsidR="00AD03F0" w:rsidRDefault="00AD03F0">
      <w:pPr>
        <w:rPr>
          <w:b/>
          <w:sz w:val="22"/>
          <w:szCs w:val="22"/>
        </w:rPr>
      </w:pPr>
    </w:p>
    <w:p w:rsidR="0029534B" w:rsidRDefault="00B03676">
      <w:pPr>
        <w:ind w:left="504" w:hanging="504"/>
        <w:rPr>
          <w:b/>
          <w:sz w:val="22"/>
          <w:szCs w:val="22"/>
        </w:rPr>
      </w:pPr>
      <w:r>
        <w:rPr>
          <w:b/>
          <w:sz w:val="22"/>
          <w:szCs w:val="22"/>
        </w:rPr>
        <w:lastRenderedPageBreak/>
        <w:t>References</w:t>
      </w:r>
    </w:p>
    <w:p w:rsidR="0029534B" w:rsidRDefault="00B03676">
      <w:pPr>
        <w:widowControl w:val="0"/>
        <w:pBdr>
          <w:top w:val="nil"/>
          <w:left w:val="nil"/>
          <w:bottom w:val="nil"/>
          <w:right w:val="nil"/>
          <w:between w:val="nil"/>
        </w:pBdr>
        <w:ind w:left="504" w:hanging="504"/>
        <w:rPr>
          <w:sz w:val="22"/>
          <w:szCs w:val="22"/>
        </w:rPr>
      </w:pPr>
      <w:hyperlink r:id="rId35">
        <w:r>
          <w:t xml:space="preserve">1. </w:t>
        </w:r>
        <w:r>
          <w:tab/>
          <w:t>Bilinski A, Salomon JA, Giardina J, Ciaranello A, Fitzpatrick MC. Passing the Test: A Model-Based Analysis of Safe School-Reopening Strategies. Ann Intern Med [Internet]. 2021 Jun 8 [cited 202</w:t>
        </w:r>
        <w:r>
          <w:t>1 Aug 9]; Available from: https://www.acpjournals.org/doi/10.7326/M21-0600</w:t>
        </w:r>
      </w:hyperlink>
    </w:p>
    <w:p w:rsidR="0029534B" w:rsidRDefault="00B03676">
      <w:pPr>
        <w:widowControl w:val="0"/>
        <w:pBdr>
          <w:top w:val="nil"/>
          <w:left w:val="nil"/>
          <w:bottom w:val="nil"/>
          <w:right w:val="nil"/>
          <w:between w:val="nil"/>
        </w:pBdr>
        <w:ind w:left="504" w:hanging="504"/>
        <w:rPr>
          <w:sz w:val="22"/>
          <w:szCs w:val="22"/>
        </w:rPr>
      </w:pPr>
      <w:hyperlink r:id="rId36">
        <w:r>
          <w:t xml:space="preserve">2. </w:t>
        </w:r>
        <w:r>
          <w:tab/>
        </w:r>
        <w:proofErr w:type="spellStart"/>
        <w:r>
          <w:t>Gatto</w:t>
        </w:r>
        <w:proofErr w:type="spellEnd"/>
        <w:r>
          <w:t xml:space="preserve"> M, </w:t>
        </w:r>
        <w:proofErr w:type="spellStart"/>
        <w:r>
          <w:t>Bertuzzo</w:t>
        </w:r>
        <w:proofErr w:type="spellEnd"/>
        <w:r>
          <w:t xml:space="preserve"> E, Mari L, </w:t>
        </w:r>
        <w:proofErr w:type="spellStart"/>
        <w:r>
          <w:t>Miccoli</w:t>
        </w:r>
        <w:proofErr w:type="spellEnd"/>
        <w:r>
          <w:t xml:space="preserve"> S, </w:t>
        </w:r>
        <w:proofErr w:type="spellStart"/>
        <w:r>
          <w:t>Carraro</w:t>
        </w:r>
        <w:proofErr w:type="spellEnd"/>
        <w:r>
          <w:t xml:space="preserve"> L, </w:t>
        </w:r>
        <w:proofErr w:type="spellStart"/>
        <w:r>
          <w:t>Casagrandi</w:t>
        </w:r>
        <w:proofErr w:type="spellEnd"/>
        <w:r>
          <w:t xml:space="preserve"> R, et al. Spread and dynamics of the COVID-19 epidemic in Italy: Effects of emergency containment measures. Proc Natl </w:t>
        </w:r>
        <w:proofErr w:type="spellStart"/>
        <w:r>
          <w:t>Acad</w:t>
        </w:r>
        <w:proofErr w:type="spellEnd"/>
        <w:r>
          <w:t xml:space="preserve"> Sci USA. 2020 May 12;117(19):10484–91.</w:t>
        </w:r>
      </w:hyperlink>
    </w:p>
    <w:p w:rsidR="0029534B" w:rsidRDefault="00B03676">
      <w:pPr>
        <w:widowControl w:val="0"/>
        <w:pBdr>
          <w:top w:val="nil"/>
          <w:left w:val="nil"/>
          <w:bottom w:val="nil"/>
          <w:right w:val="nil"/>
          <w:between w:val="nil"/>
        </w:pBdr>
        <w:ind w:left="504" w:hanging="504"/>
        <w:rPr>
          <w:sz w:val="22"/>
          <w:szCs w:val="22"/>
        </w:rPr>
      </w:pPr>
      <w:hyperlink r:id="rId37">
        <w:r>
          <w:t xml:space="preserve">3. </w:t>
        </w:r>
        <w:r>
          <w:tab/>
          <w:t>He X, Lau EHY, Wu P, Deng X, Wang J, Hao X, et al. Temporal dynamics in viral shedding and transmissibility of COVID-19. Nat Med. 2020 Apr 15;1–4.</w:t>
        </w:r>
      </w:hyperlink>
    </w:p>
    <w:p w:rsidR="0029534B" w:rsidRDefault="00B03676">
      <w:pPr>
        <w:widowControl w:val="0"/>
        <w:pBdr>
          <w:top w:val="nil"/>
          <w:left w:val="nil"/>
          <w:bottom w:val="nil"/>
          <w:right w:val="nil"/>
          <w:between w:val="nil"/>
        </w:pBdr>
        <w:ind w:left="504" w:hanging="504"/>
        <w:rPr>
          <w:sz w:val="22"/>
          <w:szCs w:val="22"/>
        </w:rPr>
      </w:pPr>
      <w:hyperlink r:id="rId38">
        <w:r>
          <w:t xml:space="preserve">4. </w:t>
        </w:r>
        <w:r>
          <w:tab/>
          <w:t xml:space="preserve">Kerr CC, </w:t>
        </w:r>
        <w:r>
          <w:t xml:space="preserve">Stuart RM, Mistry D, </w:t>
        </w:r>
        <w:proofErr w:type="spellStart"/>
        <w:r>
          <w:t>Abeysuriya</w:t>
        </w:r>
        <w:proofErr w:type="spellEnd"/>
        <w:r>
          <w:t xml:space="preserve"> RG, Hart G, Rosenfeld K, et al. </w:t>
        </w:r>
        <w:proofErr w:type="spellStart"/>
        <w:r>
          <w:t>Covasim</w:t>
        </w:r>
        <w:proofErr w:type="spellEnd"/>
        <w:r>
          <w:t xml:space="preserve">: an agent-based model of COVID-19 dynamics and interventions. </w:t>
        </w:r>
        <w:proofErr w:type="spellStart"/>
        <w:r>
          <w:t>medRxiv</w:t>
        </w:r>
        <w:proofErr w:type="spellEnd"/>
        <w:r>
          <w:t>. 2020 May 15;2020.05.10.20097469.</w:t>
        </w:r>
      </w:hyperlink>
    </w:p>
    <w:p w:rsidR="0029534B" w:rsidRDefault="00B03676">
      <w:pPr>
        <w:widowControl w:val="0"/>
        <w:pBdr>
          <w:top w:val="nil"/>
          <w:left w:val="nil"/>
          <w:bottom w:val="nil"/>
          <w:right w:val="nil"/>
          <w:between w:val="nil"/>
        </w:pBdr>
        <w:ind w:left="504" w:hanging="504"/>
        <w:rPr>
          <w:sz w:val="22"/>
          <w:szCs w:val="22"/>
        </w:rPr>
      </w:pPr>
      <w:hyperlink r:id="rId39">
        <w:r>
          <w:t xml:space="preserve">5. </w:t>
        </w:r>
        <w:r>
          <w:tab/>
          <w:t xml:space="preserve">He D, Zhao S, </w:t>
        </w:r>
        <w:r>
          <w:t xml:space="preserve">Lin Q, Zhuang Z, Cao P, Wang MH, et al. The relative transmissibility of asymptomatic COVID-19 infections among close contacts. International Journal of Infectious Diseases. 2020 May </w:t>
        </w:r>
        <w:proofErr w:type="gramStart"/>
        <w:r>
          <w:t>1;94:145</w:t>
        </w:r>
        <w:proofErr w:type="gramEnd"/>
        <w:r>
          <w:t>–7.</w:t>
        </w:r>
      </w:hyperlink>
    </w:p>
    <w:p w:rsidR="0029534B" w:rsidRDefault="00B03676">
      <w:pPr>
        <w:widowControl w:val="0"/>
        <w:pBdr>
          <w:top w:val="nil"/>
          <w:left w:val="nil"/>
          <w:bottom w:val="nil"/>
          <w:right w:val="nil"/>
          <w:between w:val="nil"/>
        </w:pBdr>
        <w:ind w:left="504" w:hanging="504"/>
        <w:rPr>
          <w:sz w:val="22"/>
          <w:szCs w:val="22"/>
        </w:rPr>
      </w:pPr>
      <w:hyperlink r:id="rId40">
        <w:r>
          <w:t xml:space="preserve">6. </w:t>
        </w:r>
        <w:r>
          <w:tab/>
          <w:t>Li Q, Guan X, Wu P, Wang X, Zhou L, Tong Y, et al. Early Transmission Dynamics in Wuhan, China, of Novel Coronavirus–Infected Pneumonia. New England Journal of Medicine. 2020 Jan 29;0(0</w:t>
        </w:r>
        <w:proofErr w:type="gramStart"/>
        <w:r>
          <w:t>):null</w:t>
        </w:r>
        <w:proofErr w:type="gramEnd"/>
        <w:r>
          <w:t>.</w:t>
        </w:r>
      </w:hyperlink>
    </w:p>
    <w:p w:rsidR="0029534B" w:rsidRDefault="00B03676">
      <w:pPr>
        <w:widowControl w:val="0"/>
        <w:pBdr>
          <w:top w:val="nil"/>
          <w:left w:val="nil"/>
          <w:bottom w:val="nil"/>
          <w:right w:val="nil"/>
          <w:between w:val="nil"/>
        </w:pBdr>
        <w:ind w:left="504" w:hanging="504"/>
        <w:rPr>
          <w:sz w:val="22"/>
          <w:szCs w:val="22"/>
        </w:rPr>
      </w:pPr>
      <w:hyperlink r:id="rId41">
        <w:r>
          <w:t xml:space="preserve">7. </w:t>
        </w:r>
        <w:r>
          <w:tab/>
          <w:t>Firth JA, Hellewell J, Klepac P, Kissler SM, CMMID COVID-19 working group, Kucharski AJ, et al. Combining fine-scale social contact data with epidemic modelling reveals interactions between contact tracing, quarantine, testing and physical distanci</w:t>
        </w:r>
        <w:r>
          <w:t>ng for controlling COVID-19 [Internet]. Epidemiology; 2020 May [cited 2020 Jun 2]. Available from: http://medrxiv.org/lookup/doi/10.1101/2020.05.26.20113720</w:t>
        </w:r>
      </w:hyperlink>
    </w:p>
    <w:p w:rsidR="0029534B" w:rsidRDefault="00B03676">
      <w:pPr>
        <w:widowControl w:val="0"/>
        <w:pBdr>
          <w:top w:val="nil"/>
          <w:left w:val="nil"/>
          <w:bottom w:val="nil"/>
          <w:right w:val="nil"/>
          <w:between w:val="nil"/>
        </w:pBdr>
        <w:ind w:left="504" w:hanging="504"/>
        <w:rPr>
          <w:sz w:val="22"/>
          <w:szCs w:val="22"/>
        </w:rPr>
      </w:pPr>
      <w:hyperlink r:id="rId42">
        <w:r>
          <w:t xml:space="preserve">8. </w:t>
        </w:r>
        <w:r>
          <w:tab/>
          <w:t>Endo A, Centre for the Mathematic</w:t>
        </w:r>
        <w:r>
          <w:t xml:space="preserve">al Modelling of Infectious Diseases COVID-19 Working Group, Abbott S, Kucharski AJ, Funk S. Estimating the overdispersion in COVID-19 transmission using outbreak sizes outside China. </w:t>
        </w:r>
        <w:proofErr w:type="spellStart"/>
        <w:r>
          <w:t>Wellcome</w:t>
        </w:r>
        <w:proofErr w:type="spellEnd"/>
        <w:r>
          <w:t xml:space="preserve"> Open Res. 2020 Apr </w:t>
        </w:r>
        <w:proofErr w:type="gramStart"/>
        <w:r>
          <w:t>9;5:67</w:t>
        </w:r>
        <w:proofErr w:type="gramEnd"/>
        <w:r>
          <w:t>.</w:t>
        </w:r>
      </w:hyperlink>
    </w:p>
    <w:p w:rsidR="0029534B" w:rsidRDefault="00B03676">
      <w:pPr>
        <w:widowControl w:val="0"/>
        <w:pBdr>
          <w:top w:val="nil"/>
          <w:left w:val="nil"/>
          <w:bottom w:val="nil"/>
          <w:right w:val="nil"/>
          <w:between w:val="nil"/>
        </w:pBdr>
        <w:ind w:left="504" w:hanging="504"/>
        <w:rPr>
          <w:sz w:val="22"/>
          <w:szCs w:val="22"/>
        </w:rPr>
      </w:pPr>
      <w:hyperlink r:id="rId43">
        <w:r>
          <w:t xml:space="preserve">9. </w:t>
        </w:r>
        <w:r>
          <w:tab/>
        </w:r>
        <w:proofErr w:type="spellStart"/>
        <w:r>
          <w:t>Byambasuren</w:t>
        </w:r>
        <w:proofErr w:type="spellEnd"/>
        <w:r>
          <w:t xml:space="preserve"> O, Cardona M, Bell K, Clark J, </w:t>
        </w:r>
        <w:proofErr w:type="spellStart"/>
        <w:r>
          <w:t>McLaws</w:t>
        </w:r>
        <w:proofErr w:type="spellEnd"/>
        <w:r>
          <w:t xml:space="preserve"> M-L, </w:t>
        </w:r>
        <w:proofErr w:type="spellStart"/>
        <w:r>
          <w:t>Glasziou</w:t>
        </w:r>
        <w:proofErr w:type="spellEnd"/>
        <w:r>
          <w:t xml:space="preserve"> P. Estimating the extent of asymptomatic COVID-19 and its potential for community transmission: Systematic review and meta-analysis. Official Journal of the Associ</w:t>
        </w:r>
        <w:r>
          <w:t>ation of Medical Microbiology and Infectious Disease Canada. 2020 Dec 1;5(4):223–34.</w:t>
        </w:r>
      </w:hyperlink>
    </w:p>
    <w:p w:rsidR="0029534B" w:rsidRDefault="00B03676">
      <w:pPr>
        <w:widowControl w:val="0"/>
        <w:pBdr>
          <w:top w:val="nil"/>
          <w:left w:val="nil"/>
          <w:bottom w:val="nil"/>
          <w:right w:val="nil"/>
          <w:between w:val="nil"/>
        </w:pBdr>
        <w:ind w:left="504" w:hanging="504"/>
        <w:rPr>
          <w:sz w:val="22"/>
          <w:szCs w:val="22"/>
        </w:rPr>
      </w:pPr>
      <w:hyperlink r:id="rId44">
        <w:r>
          <w:t xml:space="preserve">10. </w:t>
        </w:r>
        <w:r>
          <w:tab/>
        </w:r>
        <w:proofErr w:type="spellStart"/>
        <w:r>
          <w:t>Fontanet</w:t>
        </w:r>
        <w:proofErr w:type="spellEnd"/>
        <w:r>
          <w:t xml:space="preserve"> A, Grant R, </w:t>
        </w:r>
        <w:proofErr w:type="spellStart"/>
        <w:r>
          <w:t>Tondeur</w:t>
        </w:r>
        <w:proofErr w:type="spellEnd"/>
        <w:r>
          <w:t xml:space="preserve"> L, </w:t>
        </w:r>
        <w:proofErr w:type="spellStart"/>
        <w:r>
          <w:t>Madec</w:t>
        </w:r>
        <w:proofErr w:type="spellEnd"/>
        <w:r>
          <w:t xml:space="preserve"> Y, </w:t>
        </w:r>
        <w:proofErr w:type="spellStart"/>
        <w:r>
          <w:t>Grzelak</w:t>
        </w:r>
        <w:proofErr w:type="spellEnd"/>
        <w:r>
          <w:t xml:space="preserve"> L, </w:t>
        </w:r>
        <w:proofErr w:type="spellStart"/>
        <w:r>
          <w:t>Cailleau</w:t>
        </w:r>
        <w:proofErr w:type="spellEnd"/>
        <w:r>
          <w:t xml:space="preserve"> I, et al. SARS-CoV-2 infection in primary s</w:t>
        </w:r>
        <w:r>
          <w:t xml:space="preserve">chools in northern France: A retrospective cohort study in an area of high transmission. </w:t>
        </w:r>
        <w:proofErr w:type="spellStart"/>
        <w:r>
          <w:t>medRxiv</w:t>
        </w:r>
        <w:proofErr w:type="spellEnd"/>
        <w:r>
          <w:t>. 2020 Jun 29;2020.06.25.20140178.</w:t>
        </w:r>
      </w:hyperlink>
    </w:p>
    <w:p w:rsidR="0029534B" w:rsidRDefault="00B03676">
      <w:pPr>
        <w:widowControl w:val="0"/>
        <w:pBdr>
          <w:top w:val="nil"/>
          <w:left w:val="nil"/>
          <w:bottom w:val="nil"/>
          <w:right w:val="nil"/>
          <w:between w:val="nil"/>
        </w:pBdr>
        <w:ind w:left="504" w:hanging="504"/>
        <w:rPr>
          <w:sz w:val="22"/>
          <w:szCs w:val="22"/>
        </w:rPr>
      </w:pPr>
      <w:hyperlink r:id="rId45">
        <w:r>
          <w:t xml:space="preserve">11. </w:t>
        </w:r>
        <w:r>
          <w:tab/>
          <w:t xml:space="preserve">Stein-Zamir C, Abramson N, </w:t>
        </w:r>
        <w:proofErr w:type="spellStart"/>
        <w:r>
          <w:t>Shoob</w:t>
        </w:r>
        <w:proofErr w:type="spellEnd"/>
        <w:r>
          <w:t xml:space="preserve"> H, </w:t>
        </w:r>
        <w:proofErr w:type="spellStart"/>
        <w:r>
          <w:t>Libal</w:t>
        </w:r>
        <w:proofErr w:type="spellEnd"/>
        <w:r>
          <w:t xml:space="preserve"> E, </w:t>
        </w:r>
        <w:proofErr w:type="spellStart"/>
        <w:r>
          <w:t>Bitan</w:t>
        </w:r>
        <w:proofErr w:type="spellEnd"/>
        <w:r>
          <w:t xml:space="preserve"> M, </w:t>
        </w:r>
        <w:proofErr w:type="spellStart"/>
        <w:r>
          <w:t>Card</w:t>
        </w:r>
        <w:r>
          <w:t>ash</w:t>
        </w:r>
        <w:proofErr w:type="spellEnd"/>
        <w:r>
          <w:t xml:space="preserve"> T, et al. A large COVID-19 outbreak in a high school 10 days after schools’ reopening, Israel, May 2020. </w:t>
        </w:r>
        <w:proofErr w:type="spellStart"/>
        <w:r>
          <w:t>Eurosurveillance</w:t>
        </w:r>
        <w:proofErr w:type="spellEnd"/>
        <w:r>
          <w:t>. 2020 Jul 23;25(29):2001352.</w:t>
        </w:r>
      </w:hyperlink>
    </w:p>
    <w:p w:rsidR="0029534B" w:rsidRDefault="00B03676">
      <w:pPr>
        <w:widowControl w:val="0"/>
        <w:pBdr>
          <w:top w:val="nil"/>
          <w:left w:val="nil"/>
          <w:bottom w:val="nil"/>
          <w:right w:val="nil"/>
          <w:between w:val="nil"/>
        </w:pBdr>
        <w:ind w:left="504" w:hanging="504"/>
        <w:rPr>
          <w:sz w:val="22"/>
          <w:szCs w:val="22"/>
        </w:rPr>
      </w:pPr>
      <w:hyperlink r:id="rId46">
        <w:r>
          <w:t xml:space="preserve">12. </w:t>
        </w:r>
        <w:r>
          <w:tab/>
          <w:t xml:space="preserve">Dattner I, Goldberg Y, Katriel G, </w:t>
        </w:r>
        <w:r>
          <w:t>Yaari R, Gal N, Miron Y, et al. The role of children in the spread of COVID-19: Using household data from Bnei Brak, Israel, to estimate the relative susceptibility and infectivity of children [Internet]. Infectious Diseases (except HIV/AIDS); 2020 Jun [ci</w:t>
        </w:r>
        <w:r>
          <w:t>ted 2020 Jun 19]. Available from: http://medrxiv.org/lookup/doi/10.1101/2020.06.03.20121145</w:t>
        </w:r>
      </w:hyperlink>
    </w:p>
    <w:p w:rsidR="0029534B" w:rsidRDefault="00B03676">
      <w:pPr>
        <w:widowControl w:val="0"/>
        <w:pBdr>
          <w:top w:val="nil"/>
          <w:left w:val="nil"/>
          <w:bottom w:val="nil"/>
          <w:right w:val="nil"/>
          <w:between w:val="nil"/>
        </w:pBdr>
        <w:ind w:left="504" w:hanging="504"/>
        <w:rPr>
          <w:sz w:val="22"/>
          <w:szCs w:val="22"/>
        </w:rPr>
      </w:pPr>
      <w:hyperlink r:id="rId47">
        <w:r>
          <w:t xml:space="preserve">13. </w:t>
        </w:r>
        <w:r>
          <w:tab/>
          <w:t xml:space="preserve">Park YJ, Choe YJ, Park O, Park SY, Kim Y-M, Kim J, et al. Early Release - Contact Tracing during </w:t>
        </w:r>
        <w:r>
          <w:t xml:space="preserve">Coronavirus Disease Outbreak, South Korea, 2020 - Volume 26, Number 10—October 2020 - Emerging Infectious Diseases journal - CDC. [cited 2020 Aug 1]; Available </w:t>
        </w:r>
        <w:r>
          <w:lastRenderedPageBreak/>
          <w:t>from: https://wwwnc.cdc.gov/eid/article/26/10/20-1315_article</w:t>
        </w:r>
      </w:hyperlink>
    </w:p>
    <w:p w:rsidR="0029534B" w:rsidRDefault="00B03676">
      <w:pPr>
        <w:widowControl w:val="0"/>
        <w:pBdr>
          <w:top w:val="nil"/>
          <w:left w:val="nil"/>
          <w:bottom w:val="nil"/>
          <w:right w:val="nil"/>
          <w:between w:val="nil"/>
        </w:pBdr>
        <w:ind w:left="504" w:hanging="504"/>
        <w:rPr>
          <w:sz w:val="22"/>
          <w:szCs w:val="22"/>
        </w:rPr>
      </w:pPr>
      <w:hyperlink r:id="rId48">
        <w:r>
          <w:t xml:space="preserve">14. </w:t>
        </w:r>
        <w:r>
          <w:tab/>
        </w:r>
        <w:proofErr w:type="spellStart"/>
        <w:r>
          <w:t>Fontanet</w:t>
        </w:r>
        <w:proofErr w:type="spellEnd"/>
        <w:r>
          <w:t xml:space="preserve"> A, </w:t>
        </w:r>
        <w:proofErr w:type="spellStart"/>
        <w:r>
          <w:t>Tondeur</w:t>
        </w:r>
        <w:proofErr w:type="spellEnd"/>
        <w:r>
          <w:t xml:space="preserve"> L, </w:t>
        </w:r>
        <w:proofErr w:type="spellStart"/>
        <w:r>
          <w:t>Madec</w:t>
        </w:r>
        <w:proofErr w:type="spellEnd"/>
        <w:r>
          <w:t xml:space="preserve"> Y, Grant R, </w:t>
        </w:r>
        <w:proofErr w:type="spellStart"/>
        <w:r>
          <w:t>Besombes</w:t>
        </w:r>
        <w:proofErr w:type="spellEnd"/>
        <w:r>
          <w:t xml:space="preserve"> C, Jolly N, et al. Cluster of COVID-19 in northern France: A retrospective closed cohort study. </w:t>
        </w:r>
        <w:proofErr w:type="spellStart"/>
        <w:r>
          <w:t>medRxiv</w:t>
        </w:r>
        <w:proofErr w:type="spellEnd"/>
        <w:r>
          <w:t>. 2020 Apr 23;2020.04.18.20071134.</w:t>
        </w:r>
      </w:hyperlink>
    </w:p>
    <w:p w:rsidR="0029534B" w:rsidRDefault="00B03676">
      <w:pPr>
        <w:widowControl w:val="0"/>
        <w:pBdr>
          <w:top w:val="nil"/>
          <w:left w:val="nil"/>
          <w:bottom w:val="nil"/>
          <w:right w:val="nil"/>
          <w:between w:val="nil"/>
        </w:pBdr>
        <w:ind w:left="504" w:hanging="504"/>
        <w:rPr>
          <w:sz w:val="22"/>
          <w:szCs w:val="22"/>
        </w:rPr>
      </w:pPr>
      <w:hyperlink r:id="rId49">
        <w:r>
          <w:t xml:space="preserve">15. </w:t>
        </w:r>
        <w:r>
          <w:tab/>
        </w:r>
        <w:proofErr w:type="spellStart"/>
        <w:r>
          <w:t>Mutesa</w:t>
        </w:r>
        <w:proofErr w:type="spellEnd"/>
        <w:r>
          <w:t xml:space="preserve"> L, </w:t>
        </w:r>
        <w:proofErr w:type="spellStart"/>
        <w:r>
          <w:t>Ndishimye</w:t>
        </w:r>
        <w:proofErr w:type="spellEnd"/>
        <w:r>
          <w:t xml:space="preserve"> P, Butera Y, </w:t>
        </w:r>
        <w:proofErr w:type="spellStart"/>
        <w:r>
          <w:t>Souopgui</w:t>
        </w:r>
        <w:proofErr w:type="spellEnd"/>
        <w:r>
          <w:t xml:space="preserve"> J, </w:t>
        </w:r>
        <w:proofErr w:type="spellStart"/>
        <w:r>
          <w:t>Uwineza</w:t>
        </w:r>
        <w:proofErr w:type="spellEnd"/>
        <w:r>
          <w:t xml:space="preserve"> A, </w:t>
        </w:r>
        <w:proofErr w:type="spellStart"/>
        <w:r>
          <w:t>Rutayisire</w:t>
        </w:r>
        <w:proofErr w:type="spellEnd"/>
        <w:r>
          <w:t xml:space="preserve"> R, et al. A pooled testing strategy for identifying SARS-CoV-2 at low prevalence. Nature. 2021 Jan;589(7841):276–80.</w:t>
        </w:r>
      </w:hyperlink>
    </w:p>
    <w:p w:rsidR="0029534B" w:rsidRDefault="00B03676">
      <w:pPr>
        <w:widowControl w:val="0"/>
        <w:pBdr>
          <w:top w:val="nil"/>
          <w:left w:val="nil"/>
          <w:bottom w:val="nil"/>
          <w:right w:val="nil"/>
          <w:between w:val="nil"/>
        </w:pBdr>
        <w:ind w:left="504" w:hanging="504"/>
        <w:rPr>
          <w:sz w:val="22"/>
          <w:szCs w:val="22"/>
        </w:rPr>
      </w:pPr>
      <w:hyperlink r:id="rId50">
        <w:r>
          <w:t xml:space="preserve">16. </w:t>
        </w:r>
        <w:r>
          <w:tab/>
          <w:t xml:space="preserve">Lohse S, </w:t>
        </w:r>
        <w:proofErr w:type="spellStart"/>
        <w:r>
          <w:t>Pfuhl</w:t>
        </w:r>
        <w:proofErr w:type="spellEnd"/>
        <w:r>
          <w:t xml:space="preserve"> T, </w:t>
        </w:r>
        <w:proofErr w:type="spellStart"/>
        <w:r>
          <w:t>Berkó-Göttel</w:t>
        </w:r>
        <w:proofErr w:type="spellEnd"/>
        <w:r>
          <w:t xml:space="preserve"> B, </w:t>
        </w:r>
        <w:proofErr w:type="spellStart"/>
        <w:r>
          <w:t>Rissland</w:t>
        </w:r>
        <w:proofErr w:type="spellEnd"/>
        <w:r>
          <w:t xml:space="preserve"> J, </w:t>
        </w:r>
        <w:proofErr w:type="spellStart"/>
        <w:r>
          <w:t>Geißler</w:t>
        </w:r>
        <w:proofErr w:type="spellEnd"/>
        <w:r>
          <w:t xml:space="preserve"> T, </w:t>
        </w:r>
        <w:proofErr w:type="spellStart"/>
        <w:r>
          <w:t>Gärtner</w:t>
        </w:r>
        <w:proofErr w:type="spellEnd"/>
        <w:r>
          <w:t xml:space="preserve"> B, et al. Pooling of samples for testing for SARS-CoV-2 in asymptomatic people. The Lancet Infectious Diseases. 2020 Nov 1;20(11):1231–2.</w:t>
        </w:r>
      </w:hyperlink>
    </w:p>
    <w:p w:rsidR="0029534B" w:rsidRDefault="00B03676">
      <w:pPr>
        <w:widowControl w:val="0"/>
        <w:pBdr>
          <w:top w:val="nil"/>
          <w:left w:val="nil"/>
          <w:bottom w:val="nil"/>
          <w:right w:val="nil"/>
          <w:between w:val="nil"/>
        </w:pBdr>
        <w:ind w:left="504" w:hanging="504"/>
        <w:rPr>
          <w:sz w:val="22"/>
          <w:szCs w:val="22"/>
        </w:rPr>
      </w:pPr>
      <w:hyperlink r:id="rId51">
        <w:r>
          <w:t xml:space="preserve">17. </w:t>
        </w:r>
        <w:r>
          <w:tab/>
          <w:t>Goldstein E, Lipsitch M, Cevik M. On the Effect of Age on the Transmission of SARS-CoV-2 in Households, Schools, and the Community. The Journal of Infectious Diseases [Internet]. 2020 Oct 29 [cited 2021 Jan 24];(jia</w:t>
        </w:r>
        <w:r>
          <w:t>a691). Available from: https://doi.org/10.1093/infdis/jiaa691</w:t>
        </w:r>
      </w:hyperlink>
    </w:p>
    <w:p w:rsidR="0029534B" w:rsidRDefault="00B03676">
      <w:pPr>
        <w:widowControl w:val="0"/>
        <w:pBdr>
          <w:top w:val="nil"/>
          <w:left w:val="nil"/>
          <w:bottom w:val="nil"/>
          <w:right w:val="nil"/>
          <w:between w:val="nil"/>
        </w:pBdr>
        <w:ind w:left="504" w:hanging="504"/>
        <w:rPr>
          <w:sz w:val="22"/>
          <w:szCs w:val="22"/>
        </w:rPr>
      </w:pPr>
      <w:hyperlink r:id="rId52">
        <w:r>
          <w:t xml:space="preserve">18. </w:t>
        </w:r>
        <w:r>
          <w:tab/>
          <w:t xml:space="preserve">Madewell ZJ, Yang Y, </w:t>
        </w:r>
        <w:proofErr w:type="spellStart"/>
        <w:r>
          <w:t>Longini</w:t>
        </w:r>
        <w:proofErr w:type="spellEnd"/>
        <w:r>
          <w:t xml:space="preserve"> IM, Halloran ME, Dean NE. Household Transmission of SARS-CoV-2: A Systematic Review and Meta-analy</w:t>
        </w:r>
        <w:r>
          <w:t xml:space="preserve">sis. JAMA </w:t>
        </w:r>
        <w:proofErr w:type="spellStart"/>
        <w:r>
          <w:t>Netw</w:t>
        </w:r>
        <w:proofErr w:type="spellEnd"/>
        <w:r>
          <w:t xml:space="preserve"> Open. 2020 Dec 14;3(12</w:t>
        </w:r>
        <w:proofErr w:type="gramStart"/>
        <w:r>
          <w:t>):e</w:t>
        </w:r>
        <w:proofErr w:type="gramEnd"/>
        <w:r>
          <w:t>2031756.</w:t>
        </w:r>
      </w:hyperlink>
    </w:p>
    <w:p w:rsidR="0029534B" w:rsidRDefault="00B03676">
      <w:pPr>
        <w:widowControl w:val="0"/>
        <w:pBdr>
          <w:top w:val="nil"/>
          <w:left w:val="nil"/>
          <w:bottom w:val="nil"/>
          <w:right w:val="nil"/>
          <w:between w:val="nil"/>
        </w:pBdr>
        <w:ind w:left="504" w:hanging="504"/>
        <w:rPr>
          <w:sz w:val="22"/>
          <w:szCs w:val="22"/>
        </w:rPr>
      </w:pPr>
      <w:hyperlink r:id="rId53">
        <w:r>
          <w:t xml:space="preserve">19. </w:t>
        </w:r>
        <w:r>
          <w:tab/>
          <w:t xml:space="preserve">Fung HF, Martinez L, </w:t>
        </w:r>
        <w:proofErr w:type="spellStart"/>
        <w:r>
          <w:t>Alarid</w:t>
        </w:r>
        <w:proofErr w:type="spellEnd"/>
        <w:r>
          <w:t xml:space="preserve">-Escudero F, Salomon JA, </w:t>
        </w:r>
        <w:proofErr w:type="spellStart"/>
        <w:r>
          <w:t>Studdert</w:t>
        </w:r>
        <w:proofErr w:type="spellEnd"/>
        <w:r>
          <w:t xml:space="preserve"> DM, Andrews JR, et al. The Household Secondary Attack Rate of Severe Acute Resp</w:t>
        </w:r>
        <w:r>
          <w:t xml:space="preserve">iratory Syndrome Coronavirus 2 (SARS-CoV-2): A Rapid Review. Clinical Infectious Diseases. 2020 Oct </w:t>
        </w:r>
        <w:proofErr w:type="gramStart"/>
        <w:r>
          <w:t>12;ciaa</w:t>
        </w:r>
        <w:proofErr w:type="gramEnd"/>
        <w:r>
          <w:t>1558.</w:t>
        </w:r>
      </w:hyperlink>
    </w:p>
    <w:p w:rsidR="0029534B" w:rsidRDefault="00B03676">
      <w:pPr>
        <w:widowControl w:val="0"/>
        <w:pBdr>
          <w:top w:val="nil"/>
          <w:left w:val="nil"/>
          <w:bottom w:val="nil"/>
          <w:right w:val="nil"/>
          <w:between w:val="nil"/>
        </w:pBdr>
        <w:ind w:left="504" w:hanging="504"/>
        <w:rPr>
          <w:sz w:val="22"/>
          <w:szCs w:val="22"/>
        </w:rPr>
      </w:pPr>
      <w:hyperlink r:id="rId54">
        <w:r>
          <w:t xml:space="preserve">20. </w:t>
        </w:r>
        <w:r>
          <w:tab/>
        </w:r>
        <w:r>
          <w:t>Alonso S, Alvarez-Lacalle E, Català M, López D, Jordan I, García-García JJ, et al. Age-dependency of the Propagation Rate of Coronavirus Disease 2019 Inside School Bubble Groups in Catalonia, Spain. The Pediatric Infectious Disease Journal [Internet]. 2021</w:t>
        </w:r>
        <w:r>
          <w:t xml:space="preserve"> Jul 29 [cited 2021 Aug 9]; Available from: https://journals.lww.com/pidj/Abstract/9000/Age_dependency_of_the_Propagation_Rate_of.95714.aspx</w:t>
        </w:r>
      </w:hyperlink>
    </w:p>
    <w:p w:rsidR="0029534B" w:rsidRDefault="00B03676">
      <w:pPr>
        <w:widowControl w:val="0"/>
        <w:pBdr>
          <w:top w:val="nil"/>
          <w:left w:val="nil"/>
          <w:bottom w:val="nil"/>
          <w:right w:val="nil"/>
          <w:between w:val="nil"/>
        </w:pBdr>
        <w:ind w:left="504" w:hanging="504"/>
        <w:rPr>
          <w:sz w:val="22"/>
          <w:szCs w:val="22"/>
        </w:rPr>
      </w:pPr>
      <w:hyperlink r:id="rId55">
        <w:r>
          <w:t xml:space="preserve">21. </w:t>
        </w:r>
        <w:r>
          <w:tab/>
          <w:t>Doyle T. COVID-19 in Primary and Secondary Schoo</w:t>
        </w:r>
        <w:r>
          <w:t>l Settings During the First Semester of School Reopening — Florida, August–December 2020. MMWR Morb Mortal Wkly Rep [Internet]. 2021 [cited 2021 May 14];70. Available from: https://www.cdc.gov/mmwr/volumes/70/wr/mm7012e2.htm</w:t>
        </w:r>
      </w:hyperlink>
    </w:p>
    <w:p w:rsidR="0029534B" w:rsidRDefault="00B03676">
      <w:pPr>
        <w:widowControl w:val="0"/>
        <w:pBdr>
          <w:top w:val="nil"/>
          <w:left w:val="nil"/>
          <w:bottom w:val="nil"/>
          <w:right w:val="nil"/>
          <w:between w:val="nil"/>
        </w:pBdr>
        <w:ind w:left="504" w:hanging="504"/>
        <w:rPr>
          <w:sz w:val="22"/>
          <w:szCs w:val="22"/>
        </w:rPr>
      </w:pPr>
      <w:hyperlink r:id="rId56">
        <w:r>
          <w:t xml:space="preserve">22. </w:t>
        </w:r>
        <w:r>
          <w:tab/>
          <w:t>Gettings J. Mask Use and Ventilation Improvements to Reduce COVID-19 Incidence in Elementary Schools — Georgia, November 16–December 11, 2020. MMWR Morb Mortal Wkly Rep [Internet]. 2021 [cite</w:t>
        </w:r>
        <w:r>
          <w:t>d 2021 Aug 9];70. Available from: https://www.cdc.gov/mmwr/volumes/70/wr/mm7021e1.htm</w:t>
        </w:r>
      </w:hyperlink>
    </w:p>
    <w:p w:rsidR="0029534B" w:rsidRDefault="00B03676">
      <w:pPr>
        <w:widowControl w:val="0"/>
        <w:pBdr>
          <w:top w:val="nil"/>
          <w:left w:val="nil"/>
          <w:bottom w:val="nil"/>
          <w:right w:val="nil"/>
          <w:between w:val="nil"/>
        </w:pBdr>
        <w:ind w:left="504" w:hanging="504"/>
        <w:rPr>
          <w:sz w:val="22"/>
          <w:szCs w:val="22"/>
        </w:rPr>
      </w:pPr>
      <w:hyperlink r:id="rId57">
        <w:r>
          <w:t xml:space="preserve">23. </w:t>
        </w:r>
        <w:r>
          <w:tab/>
          <w:t>Falk A. COVID-19 Cases and Transmission in 17 K–12 Schools — Wood County, Wisconsin, August 31–November</w:t>
        </w:r>
        <w:r>
          <w:t xml:space="preserve"> 29, 2020. MMWR Morb Mortal Wkly Rep [Internet]. 2021 [cited 2021 Apr 21];70. Available from: https://www.cdc.gov/mmwr/volumes/70/wr/mm7004e3.htm</w:t>
        </w:r>
      </w:hyperlink>
    </w:p>
    <w:p w:rsidR="0029534B" w:rsidRDefault="00B03676">
      <w:pPr>
        <w:widowControl w:val="0"/>
        <w:pBdr>
          <w:top w:val="nil"/>
          <w:left w:val="nil"/>
          <w:bottom w:val="nil"/>
          <w:right w:val="nil"/>
          <w:between w:val="nil"/>
        </w:pBdr>
        <w:ind w:left="504" w:hanging="504"/>
        <w:rPr>
          <w:sz w:val="22"/>
          <w:szCs w:val="22"/>
        </w:rPr>
      </w:pPr>
      <w:hyperlink r:id="rId58">
        <w:r>
          <w:t xml:space="preserve">24. </w:t>
        </w:r>
        <w:r>
          <w:tab/>
          <w:t>Lessler J, Grabowski MK, Grantz KH, Badillo</w:t>
        </w:r>
        <w:r>
          <w:t>-Goicoechea E, Metcalf CJE, Lupton-Smith C, et al. Household COVID-19 risk and in-person schooling. Science [Internet]. 2021 Apr 29 [cited 2021 May 21]; Available from: https://science.sciencemag.org/content/early/2021/04/28/science.abh2939</w:t>
        </w:r>
      </w:hyperlink>
    </w:p>
    <w:p w:rsidR="0029534B" w:rsidRDefault="00B03676">
      <w:pPr>
        <w:widowControl w:val="0"/>
        <w:pBdr>
          <w:top w:val="nil"/>
          <w:left w:val="nil"/>
          <w:bottom w:val="nil"/>
          <w:right w:val="nil"/>
          <w:between w:val="nil"/>
        </w:pBdr>
        <w:ind w:left="504" w:hanging="504"/>
        <w:rPr>
          <w:sz w:val="22"/>
          <w:szCs w:val="22"/>
        </w:rPr>
      </w:pPr>
      <w:hyperlink r:id="rId59">
        <w:r>
          <w:t xml:space="preserve">25. </w:t>
        </w:r>
        <w:r>
          <w:tab/>
          <w:t xml:space="preserve">The Association of Opening K-12 Schools with the Spread of COVID-19 in the United States: County-Level Panel Data Analysis [Internet]. [cited 2021 Aug 9]. Available from: </w:t>
        </w:r>
        <w:r>
          <w:lastRenderedPageBreak/>
          <w:t>https://www.medrxiv.org/content/1</w:t>
        </w:r>
        <w:r>
          <w:t>0.1101/2021.02.20.21252131v2</w:t>
        </w:r>
      </w:hyperlink>
    </w:p>
    <w:p w:rsidR="0029534B" w:rsidRDefault="00B03676">
      <w:pPr>
        <w:widowControl w:val="0"/>
        <w:pBdr>
          <w:top w:val="nil"/>
          <w:left w:val="nil"/>
          <w:bottom w:val="nil"/>
          <w:right w:val="nil"/>
          <w:between w:val="nil"/>
        </w:pBdr>
        <w:ind w:left="504" w:hanging="504"/>
        <w:rPr>
          <w:sz w:val="22"/>
          <w:szCs w:val="22"/>
        </w:rPr>
      </w:pPr>
      <w:hyperlink r:id="rId60">
        <w:r>
          <w:t xml:space="preserve">26. </w:t>
        </w:r>
        <w:r>
          <w:tab/>
          <w:t>Goldhaber D, Imberman S, Strunk KO, Hopkins B, Brown N, Harbatkin E, et al. To What Extent Does In-Person Schooling Contribute to the Spread of COVID-19? Eviden</w:t>
        </w:r>
        <w:r>
          <w:t>ce from Michigan and Washington [Internet]. 2020 Dec [cited 2021 Jan 24]. Available from: https://epicedpolicy.org/does-in-person-schooling-contribute-to-the-spread-of-covid-19/</w:t>
        </w:r>
      </w:hyperlink>
    </w:p>
    <w:p w:rsidR="0029534B" w:rsidRDefault="00B03676">
      <w:pPr>
        <w:widowControl w:val="0"/>
        <w:pBdr>
          <w:top w:val="nil"/>
          <w:left w:val="nil"/>
          <w:bottom w:val="nil"/>
          <w:right w:val="nil"/>
          <w:between w:val="nil"/>
        </w:pBdr>
        <w:ind w:left="504" w:hanging="504"/>
        <w:rPr>
          <w:sz w:val="22"/>
          <w:szCs w:val="22"/>
        </w:rPr>
      </w:pPr>
      <w:hyperlink r:id="rId61">
        <w:r>
          <w:t xml:space="preserve">27. </w:t>
        </w:r>
        <w:r>
          <w:tab/>
          <w:t xml:space="preserve">CDC. Delta </w:t>
        </w:r>
        <w:r>
          <w:t>Variant: What We Know About the Science [Internet]. Centers for Disease Control and Prevention. 2021 [cited 2021 Aug 9]. Available from: https://www.cdc.gov/coronavirus/2019-ncov/variants/delta-variant.html</w:t>
        </w:r>
      </w:hyperlink>
    </w:p>
    <w:p w:rsidR="0029534B" w:rsidRDefault="00B03676">
      <w:pPr>
        <w:widowControl w:val="0"/>
        <w:pBdr>
          <w:top w:val="nil"/>
          <w:left w:val="nil"/>
          <w:bottom w:val="nil"/>
          <w:right w:val="nil"/>
          <w:between w:val="nil"/>
        </w:pBdr>
        <w:ind w:left="504" w:hanging="504"/>
        <w:rPr>
          <w:sz w:val="22"/>
          <w:szCs w:val="22"/>
        </w:rPr>
      </w:pPr>
      <w:hyperlink r:id="rId62">
        <w:r>
          <w:t xml:space="preserve">28. </w:t>
        </w:r>
        <w:r>
          <w:tab/>
          <w:t xml:space="preserve">Campbell F, Archer B, </w:t>
        </w:r>
        <w:proofErr w:type="spellStart"/>
        <w:r>
          <w:t>Laurenson</w:t>
        </w:r>
        <w:proofErr w:type="spellEnd"/>
        <w:r>
          <w:t xml:space="preserve">-Schafer H, Jinnai Y, </w:t>
        </w:r>
        <w:proofErr w:type="spellStart"/>
        <w:r>
          <w:t>Konings</w:t>
        </w:r>
        <w:proofErr w:type="spellEnd"/>
        <w:r>
          <w:t xml:space="preserve"> F, Batra N, et al. Increased transmissibility and global spread of SARS-CoV-2 variants of concern as at June 2021. </w:t>
        </w:r>
        <w:proofErr w:type="spellStart"/>
        <w:r>
          <w:t>Eurosurveillance</w:t>
        </w:r>
        <w:proofErr w:type="spellEnd"/>
        <w:r>
          <w:t>. 2021 Jun 17;26(24):2100509.</w:t>
        </w:r>
      </w:hyperlink>
    </w:p>
    <w:p w:rsidR="0029534B" w:rsidRDefault="00B03676">
      <w:pPr>
        <w:widowControl w:val="0"/>
        <w:pBdr>
          <w:top w:val="nil"/>
          <w:left w:val="nil"/>
          <w:bottom w:val="nil"/>
          <w:right w:val="nil"/>
          <w:between w:val="nil"/>
        </w:pBdr>
        <w:ind w:left="504" w:hanging="504"/>
        <w:rPr>
          <w:sz w:val="22"/>
          <w:szCs w:val="22"/>
        </w:rPr>
      </w:pPr>
      <w:hyperlink r:id="rId63">
        <w:r>
          <w:t xml:space="preserve">29. </w:t>
        </w:r>
        <w:r>
          <w:tab/>
          <w:t>Sheikh A, McMenamin J, Taylor B, Robertson C, Public Health Scotland and the EAVE II Collaborators. SARS-CoV-2 Delta VOC in Scotland: demographics, risk of hospital admission, and vaccine effectiveness. La</w:t>
        </w:r>
        <w:r>
          <w:t>ncet. 2021 Jun 26;397(10293):2461–2.</w:t>
        </w:r>
      </w:hyperlink>
    </w:p>
    <w:p w:rsidR="0029534B" w:rsidRDefault="00B03676">
      <w:pPr>
        <w:widowControl w:val="0"/>
        <w:pBdr>
          <w:top w:val="nil"/>
          <w:left w:val="nil"/>
          <w:bottom w:val="nil"/>
          <w:right w:val="nil"/>
          <w:between w:val="nil"/>
        </w:pBdr>
        <w:ind w:left="504" w:hanging="504"/>
        <w:rPr>
          <w:sz w:val="22"/>
          <w:szCs w:val="22"/>
        </w:rPr>
      </w:pPr>
      <w:hyperlink r:id="rId64">
        <w:r>
          <w:t xml:space="preserve">30. </w:t>
        </w:r>
        <w:r>
          <w:tab/>
          <w:t xml:space="preserve">Lopez Bernal J, Andrews N, Gower C, Gallagher E, Simmons R, </w:t>
        </w:r>
        <w:proofErr w:type="spellStart"/>
        <w:r>
          <w:t>Thelwall</w:t>
        </w:r>
        <w:proofErr w:type="spellEnd"/>
        <w:r>
          <w:t xml:space="preserve"> S, et al. Effectiveness of Covid-19 Vaccines against the B.1.617.2 (Delta) Variant.</w:t>
        </w:r>
        <w:r>
          <w:t xml:space="preserve"> New England Journal of Medicine. 2021 Jul 21</w:t>
        </w:r>
        <w:r>
          <w:t>.</w:t>
        </w:r>
      </w:hyperlink>
    </w:p>
    <w:sectPr w:rsidR="0029534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03676" w:rsidRDefault="00B03676">
      <w:r>
        <w:separator/>
      </w:r>
    </w:p>
  </w:endnote>
  <w:endnote w:type="continuationSeparator" w:id="0">
    <w:p w:rsidR="00B03676" w:rsidRDefault="00B036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03676" w:rsidRDefault="00B03676">
      <w:r>
        <w:separator/>
      </w:r>
    </w:p>
  </w:footnote>
  <w:footnote w:type="continuationSeparator" w:id="0">
    <w:p w:rsidR="00B03676" w:rsidRDefault="00B03676">
      <w:r>
        <w:continuationSeparator/>
      </w:r>
    </w:p>
  </w:footnote>
  <w:footnote w:id="1">
    <w:p w:rsidR="0029534B" w:rsidRDefault="00B03676">
      <w:pPr>
        <w:rPr>
          <w:sz w:val="20"/>
          <w:szCs w:val="20"/>
        </w:rPr>
      </w:pPr>
      <w:r>
        <w:rPr>
          <w:vertAlign w:val="superscript"/>
        </w:rPr>
        <w:footnoteRef/>
      </w:r>
      <w:r>
        <w:rPr>
          <w:sz w:val="20"/>
          <w:szCs w:val="20"/>
        </w:rPr>
        <w:t xml:space="preserve"> </w:t>
      </w:r>
      <w:r>
        <w:rPr>
          <w:sz w:val="22"/>
          <w:szCs w:val="22"/>
        </w:rPr>
        <w:t xml:space="preserve">The common approach of comparing percent positivity from in-school testing to population testing is inappropriate, as community testing encompasses primarily exposed symptomatic individuals with a </w:t>
      </w:r>
      <w:r>
        <w:rPr>
          <w:sz w:val="22"/>
          <w:szCs w:val="22"/>
        </w:rPr>
        <w:t xml:space="preserve">much higher probability of infection than randomly selected individuals.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9534B" w:rsidRDefault="0029534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DDA6DD2"/>
    <w:multiLevelType w:val="multilevel"/>
    <w:tmpl w:val="A94EBF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534B"/>
    <w:rsid w:val="0029534B"/>
    <w:rsid w:val="00AD03F0"/>
    <w:rsid w:val="00B03676"/>
    <w:rsid w:val="00E535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A7B769D"/>
  <w15:docId w15:val="{8A85CA44-A3B6-1041-B775-FA94D755D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www.zotero.org/google-docs/?1lytkK" TargetMode="External"/><Relationship Id="rId34" Type="http://schemas.openxmlformats.org/officeDocument/2006/relationships/image" Target="media/image11.png"/><Relationship Id="rId42" Type="http://schemas.openxmlformats.org/officeDocument/2006/relationships/hyperlink" Target="https://www.zotero.org/google-docs/?cSlXNr" TargetMode="External"/><Relationship Id="rId47" Type="http://schemas.openxmlformats.org/officeDocument/2006/relationships/hyperlink" Target="https://www.zotero.org/google-docs/?cSlXNr" TargetMode="External"/><Relationship Id="rId50" Type="http://schemas.openxmlformats.org/officeDocument/2006/relationships/hyperlink" Target="https://www.zotero.org/google-docs/?cSlXNr" TargetMode="External"/><Relationship Id="rId55" Type="http://schemas.openxmlformats.org/officeDocument/2006/relationships/hyperlink" Target="https://www.zotero.org/google-docs/?cSlXNr" TargetMode="External"/><Relationship Id="rId63" Type="http://schemas.openxmlformats.org/officeDocument/2006/relationships/hyperlink" Target="https://www.zotero.org/google-docs/?cSlXNr" TargetMode="External"/><Relationship Id="rId7" Type="http://schemas.openxmlformats.org/officeDocument/2006/relationships/hyperlink" Target="https://www.zotero.org/google-docs/?zVl8Ao" TargetMode="External"/><Relationship Id="rId2" Type="http://schemas.openxmlformats.org/officeDocument/2006/relationships/styles" Target="styles.xml"/><Relationship Id="rId16" Type="http://schemas.openxmlformats.org/officeDocument/2006/relationships/hyperlink" Target="https://www.zotero.org/google-docs/?X0TEut" TargetMode="External"/><Relationship Id="rId29" Type="http://schemas.openxmlformats.org/officeDocument/2006/relationships/image" Target="media/image6.png"/><Relationship Id="rId11" Type="http://schemas.openxmlformats.org/officeDocument/2006/relationships/hyperlink" Target="https://www.zotero.org/google-docs/?tjGehx" TargetMode="External"/><Relationship Id="rId24" Type="http://schemas.openxmlformats.org/officeDocument/2006/relationships/header" Target="header1.xml"/><Relationship Id="rId32" Type="http://schemas.openxmlformats.org/officeDocument/2006/relationships/image" Target="media/image9.png"/><Relationship Id="rId37" Type="http://schemas.openxmlformats.org/officeDocument/2006/relationships/hyperlink" Target="https://www.zotero.org/google-docs/?cSlXNr" TargetMode="External"/><Relationship Id="rId40" Type="http://schemas.openxmlformats.org/officeDocument/2006/relationships/hyperlink" Target="https://www.zotero.org/google-docs/?cSlXNr" TargetMode="External"/><Relationship Id="rId45" Type="http://schemas.openxmlformats.org/officeDocument/2006/relationships/hyperlink" Target="https://www.zotero.org/google-docs/?cSlXNr" TargetMode="External"/><Relationship Id="rId53" Type="http://schemas.openxmlformats.org/officeDocument/2006/relationships/hyperlink" Target="https://www.zotero.org/google-docs/?cSlXNr" TargetMode="External"/><Relationship Id="rId58" Type="http://schemas.openxmlformats.org/officeDocument/2006/relationships/hyperlink" Target="https://www.zotero.org/google-docs/?cSlXNr" TargetMode="Externa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www.zotero.org/google-docs/?cSlXNr" TargetMode="External"/><Relationship Id="rId19" Type="http://schemas.openxmlformats.org/officeDocument/2006/relationships/hyperlink" Target="https://www.zotero.org/google-docs/?se3ZGB" TargetMode="External"/><Relationship Id="rId14" Type="http://schemas.openxmlformats.org/officeDocument/2006/relationships/hyperlink" Target="https://www.zotero.org/google-docs/?exg6PE" TargetMode="External"/><Relationship Id="rId22" Type="http://schemas.openxmlformats.org/officeDocument/2006/relationships/hyperlink" Target="https://www.zotero.org/google-docs/?HbMNs9"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https://www.zotero.org/google-docs/?cSlXNr" TargetMode="External"/><Relationship Id="rId43" Type="http://schemas.openxmlformats.org/officeDocument/2006/relationships/hyperlink" Target="https://www.zotero.org/google-docs/?cSlXNr" TargetMode="External"/><Relationship Id="rId48" Type="http://schemas.openxmlformats.org/officeDocument/2006/relationships/hyperlink" Target="https://www.zotero.org/google-docs/?cSlXNr" TargetMode="External"/><Relationship Id="rId56" Type="http://schemas.openxmlformats.org/officeDocument/2006/relationships/hyperlink" Target="https://www.zotero.org/google-docs/?cSlXNr" TargetMode="External"/><Relationship Id="rId64" Type="http://schemas.openxmlformats.org/officeDocument/2006/relationships/hyperlink" Target="https://www.zotero.org/google-docs/?cSlXNr" TargetMode="External"/><Relationship Id="rId8" Type="http://schemas.openxmlformats.org/officeDocument/2006/relationships/hyperlink" Target="https://www.zotero.org/google-docs/?r69PNZ" TargetMode="External"/><Relationship Id="rId51" Type="http://schemas.openxmlformats.org/officeDocument/2006/relationships/hyperlink" Target="https://www.zotero.org/google-docs/?cSlXNr" TargetMode="External"/><Relationship Id="rId3" Type="http://schemas.openxmlformats.org/officeDocument/2006/relationships/settings" Target="settings.xml"/><Relationship Id="rId12" Type="http://schemas.openxmlformats.org/officeDocument/2006/relationships/hyperlink" Target="https://www.zotero.org/google-docs/?esby8K" TargetMode="External"/><Relationship Id="rId17" Type="http://schemas.openxmlformats.org/officeDocument/2006/relationships/hyperlink" Target="https://www.zotero.org/google-docs/?KP42fI"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hyperlink" Target="https://www.zotero.org/google-docs/?cSlXNr" TargetMode="External"/><Relationship Id="rId46" Type="http://schemas.openxmlformats.org/officeDocument/2006/relationships/hyperlink" Target="https://www.zotero.org/google-docs/?cSlXNr" TargetMode="External"/><Relationship Id="rId59" Type="http://schemas.openxmlformats.org/officeDocument/2006/relationships/hyperlink" Target="https://www.zotero.org/google-docs/?cSlXNr" TargetMode="External"/><Relationship Id="rId20" Type="http://schemas.openxmlformats.org/officeDocument/2006/relationships/hyperlink" Target="https://www.zotero.org/google-docs/?AjSz4y" TargetMode="External"/><Relationship Id="rId41" Type="http://schemas.openxmlformats.org/officeDocument/2006/relationships/hyperlink" Target="https://www.zotero.org/google-docs/?cSlXNr" TargetMode="External"/><Relationship Id="rId54" Type="http://schemas.openxmlformats.org/officeDocument/2006/relationships/hyperlink" Target="https://www.zotero.org/google-docs/?cSlXNr" TargetMode="External"/><Relationship Id="rId62" Type="http://schemas.openxmlformats.org/officeDocument/2006/relationships/hyperlink" Target="https://www.zotero.org/google-docs/?cSlXNr"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zotero.org/google-docs/?YD7t9F" TargetMode="External"/><Relationship Id="rId23" Type="http://schemas.openxmlformats.org/officeDocument/2006/relationships/image" Target="media/image1.png"/><Relationship Id="rId28" Type="http://schemas.openxmlformats.org/officeDocument/2006/relationships/image" Target="media/image5.png"/><Relationship Id="rId36" Type="http://schemas.openxmlformats.org/officeDocument/2006/relationships/hyperlink" Target="https://www.zotero.org/google-docs/?cSlXNr" TargetMode="External"/><Relationship Id="rId49" Type="http://schemas.openxmlformats.org/officeDocument/2006/relationships/hyperlink" Target="https://www.zotero.org/google-docs/?cSlXNr" TargetMode="External"/><Relationship Id="rId57" Type="http://schemas.openxmlformats.org/officeDocument/2006/relationships/hyperlink" Target="https://www.zotero.org/google-docs/?cSlXNr" TargetMode="External"/><Relationship Id="rId10" Type="http://schemas.openxmlformats.org/officeDocument/2006/relationships/hyperlink" Target="https://www.zotero.org/google-docs/?7tIyZT" TargetMode="External"/><Relationship Id="rId31" Type="http://schemas.openxmlformats.org/officeDocument/2006/relationships/image" Target="media/image8.png"/><Relationship Id="rId44" Type="http://schemas.openxmlformats.org/officeDocument/2006/relationships/hyperlink" Target="https://www.zotero.org/google-docs/?cSlXNr" TargetMode="External"/><Relationship Id="rId52" Type="http://schemas.openxmlformats.org/officeDocument/2006/relationships/hyperlink" Target="https://www.zotero.org/google-docs/?cSlXNr" TargetMode="External"/><Relationship Id="rId60" Type="http://schemas.openxmlformats.org/officeDocument/2006/relationships/hyperlink" Target="https://www.zotero.org/google-docs/?cSlXNr"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zotero.org/google-docs/?ZsfHYD" TargetMode="External"/><Relationship Id="rId13" Type="http://schemas.openxmlformats.org/officeDocument/2006/relationships/hyperlink" Target="https://www.zotero.org/google-docs/?Yv1kg7" TargetMode="External"/><Relationship Id="rId18" Type="http://schemas.openxmlformats.org/officeDocument/2006/relationships/hyperlink" Target="https://www.zotero.org/google-docs/?gWFcZA" TargetMode="External"/><Relationship Id="rId39" Type="http://schemas.openxmlformats.org/officeDocument/2006/relationships/hyperlink" Target="https://www.zotero.org/google-docs/?cSlXN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4258</Words>
  <Characters>24275</Characters>
  <Application>Microsoft Office Word</Application>
  <DocSecurity>0</DocSecurity>
  <Lines>202</Lines>
  <Paragraphs>56</Paragraphs>
  <ScaleCrop>false</ScaleCrop>
  <Company/>
  <LinksUpToDate>false</LinksUpToDate>
  <CharactersWithSpaces>28477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Bilinski, Alyssa</cp:lastModifiedBy>
  <cp:revision>2</cp:revision>
  <dcterms:created xsi:type="dcterms:W3CDTF">2021-08-10T09:08:00Z</dcterms:created>
  <dcterms:modified xsi:type="dcterms:W3CDTF">2021-08-10T09:08:00Z</dcterms:modified>
</cp:coreProperties>
</file>