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0" w:line="323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Casos em que o adulto precisa procurar um Fonoaudiólogo:</w:t>
      </w:r>
    </w:p>
    <w:p>
      <w:pPr>
        <w:spacing w:before="100" w:after="0" w:line="323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100" w:after="0" w:line="323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Motricidade orofacial</w:t>
      </w:r>
    </w:p>
    <w:p>
      <w:pPr>
        <w:numPr>
          <w:ilvl w:val="0"/>
          <w:numId w:val="2"/>
        </w:numPr>
        <w:spacing w:before="100" w:after="0" w:line="323"/>
        <w:ind w:right="0" w:left="720" w:hanging="360"/>
        <w:jc w:val="both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Quando ao falar coloca a língua entre os dentes;</w:t>
      </w:r>
    </w:p>
    <w:p>
      <w:pPr>
        <w:numPr>
          <w:ilvl w:val="0"/>
          <w:numId w:val="2"/>
        </w:numPr>
        <w:spacing w:before="100" w:after="0" w:line="323"/>
        <w:ind w:right="0" w:left="720" w:hanging="360"/>
        <w:jc w:val="both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Permanece com a boca aberta constantemente;</w:t>
      </w:r>
    </w:p>
    <w:p>
      <w:pPr>
        <w:numPr>
          <w:ilvl w:val="0"/>
          <w:numId w:val="2"/>
        </w:numPr>
        <w:spacing w:before="100" w:after="0" w:line="323"/>
        <w:ind w:right="0" w:left="720" w:hanging="360"/>
        <w:jc w:val="both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Em casos de fissura labio-palatina também conhecida como lábio leponino;</w:t>
      </w:r>
    </w:p>
    <w:p>
      <w:pPr>
        <w:numPr>
          <w:ilvl w:val="0"/>
          <w:numId w:val="2"/>
        </w:numPr>
        <w:spacing w:before="100" w:after="0" w:line="323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Apresenta dificuldade para deglutir;</w:t>
      </w:r>
    </w:p>
    <w:p>
      <w:pPr>
        <w:spacing w:before="100" w:after="0" w:line="323"/>
        <w:ind w:right="0" w:left="36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100" w:after="0" w:line="323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Linguagem</w:t>
      </w:r>
    </w:p>
    <w:p>
      <w:pPr>
        <w:numPr>
          <w:ilvl w:val="0"/>
          <w:numId w:val="7"/>
        </w:numPr>
        <w:spacing w:before="100" w:after="200" w:line="276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Quando apresenta gagueira;</w:t>
      </w:r>
    </w:p>
    <w:p>
      <w:pPr>
        <w:numPr>
          <w:ilvl w:val="0"/>
          <w:numId w:val="7"/>
        </w:numPr>
        <w:spacing w:before="100" w:after="0" w:line="323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Em casos de AVCs (Derrames), Traumatismos Crânioencefálicos e Demências (Parkinson, Alzheimer),onde o indivíduo tem sua fala comprometida;</w:t>
      </w: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br/>
        <w:br/>
        <w:t xml:space="preserve">Audição</w:t>
      </w:r>
    </w:p>
    <w:p>
      <w:pPr>
        <w:numPr>
          <w:ilvl w:val="0"/>
          <w:numId w:val="7"/>
        </w:numPr>
        <w:spacing w:before="100" w:after="200" w:line="276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Quando suspeitar de alguma dificuldade de audição, como por exemplo: não responder ao chamado, principalmente quando estiver longe ou de costas; ouvir televisão com volume alto; mostrar-se desatento;</w:t>
      </w:r>
    </w:p>
    <w:p>
      <w:pPr>
        <w:spacing w:before="100" w:after="200" w:line="276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Voz</w:t>
      </w:r>
    </w:p>
    <w:p>
      <w:pPr>
        <w:numPr>
          <w:ilvl w:val="0"/>
          <w:numId w:val="12"/>
        </w:numPr>
        <w:spacing w:before="100" w:after="200" w:line="240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Perder a voz com facilidade;</w:t>
      </w:r>
    </w:p>
    <w:p>
      <w:pPr>
        <w:numPr>
          <w:ilvl w:val="0"/>
          <w:numId w:val="12"/>
        </w:numPr>
        <w:spacing w:before="100" w:after="0" w:line="240"/>
        <w:ind w:right="0" w:left="720" w:hanging="360"/>
        <w:jc w:val="both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Em casos de rouquidão por mais de 15 dias;</w:t>
      </w:r>
    </w:p>
    <w:p>
      <w:pPr>
        <w:numPr>
          <w:ilvl w:val="0"/>
          <w:numId w:val="12"/>
        </w:numPr>
        <w:spacing w:before="100" w:after="0" w:line="240"/>
        <w:ind w:right="0" w:left="720" w:hanging="360"/>
        <w:jc w:val="both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Cansaço constante ao falar;</w:t>
      </w:r>
    </w:p>
    <w:p>
      <w:pPr>
        <w:numPr>
          <w:ilvl w:val="0"/>
          <w:numId w:val="12"/>
        </w:numPr>
        <w:spacing w:before="100" w:after="0" w:line="240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FFFFFF" w:val="clear"/>
        </w:rPr>
        <w:t xml:space="preserve">Em casos de rouquidão após o uso prolongado da voz.</w:t>
      </w:r>
    </w:p>
    <w:p>
      <w:pPr>
        <w:spacing w:before="1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