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eleven of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This everyday situation is the entire paper in</w:t>
      </w:r>
      <w:r>
        <w:t xml:space="preserve"> </w:t>
      </w:r>
      <w:r>
        <w:t xml:space="preserve">miniature. It has a precise name,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 sense of Blackwell’s</w:t>
      </w:r>
      <w:r>
        <w:t xml:space="preserve"> </w:t>
      </w:r>
      <w:r>
        <w:t xml:space="preserve">comparison of experiments </w:t>
      </w:r>
      <w:r>
        <w:t xml:space="preserve">(Blackwell 1953)</w:t>
      </w:r>
      <w:r>
        <w:t xml:space="preserve">, and a precise consequence: no single relevance</w:t>
      </w:r>
      <w:r>
        <w:t xml:space="preserve"> </w:t>
      </w:r>
      <w:r>
        <w:t xml:space="preserve">score can rank the two notes so that the ranking is right for every task, because a score must crown</w:t>
      </w:r>
      <w:r>
        <w:t xml:space="preserve"> </w:t>
      </w:r>
      <w:r>
        <w:t xml:space="preserve">one winner and here neither note wins outright. The body makes this exact, gives a statistical test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verifies</w:t>
      </w:r>
      <w:r>
        <w:t xml:space="preserve"> </w:t>
      </w:r>
      <w:r>
        <w:t xml:space="preserve">it from ordinary pass/fail runs on a live model, and finds that six production</w:t>
      </w:r>
      <w:r>
        <w:t xml:space="preserve"> </w:t>
      </w:r>
      <w:r>
        <w:t xml:space="preserve">language models across four vendors all exhibit it. A reader who keeps these two notes in mind can</w:t>
      </w:r>
      <w:r>
        <w:t xml:space="preserve"> </w:t>
      </w:r>
      <w:r>
        <w:t xml:space="preserve">read every symbol below as a statement about the first note versus the second (in the body they are</w:t>
      </w:r>
      <w:r>
        <w:t xml:space="preserve"> </w:t>
      </w:r>
      <w:r>
        <w:t xml:space="preserve">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We</w:t>
      </w:r>
      <w:r>
        <w:t xml:space="preserve"> </w:t>
      </w:r>
      <w:r>
        <w:t xml:space="preserve">argue it is also the wrong abstraction, and that a classical apparatus from</w:t>
      </w:r>
      <w:r>
        <w:t xml:space="preserve"> </w:t>
      </w:r>
      <w:r>
        <w:t xml:space="preserve">statistical decision theory says precisely why.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Several of the</w:t>
      </w:r>
      <w:r>
        <w:t xml:space="preserve"> </w:t>
      </w:r>
      <w:r>
        <w:rPr>
          <w:i/>
          <w:iCs/>
        </w:rPr>
        <w:t xml:space="preserve">phenomena</w:t>
      </w:r>
      <w:r>
        <w:t xml:space="preserve"> </w:t>
      </w:r>
      <w:r>
        <w:t xml:space="preserve">are also known, each in its own literature,</w:t>
      </w:r>
      <w:r>
        <w:t xml:space="preserve"> </w:t>
      </w:r>
      <w:r>
        <w:t xml:space="preserve">and we say so up front. Each of the following is established elsewhere:</w:t>
      </w:r>
    </w:p>
    <w:p>
      <w:pPr>
        <w:numPr>
          <w:ilvl w:val="0"/>
          <w:numId w:val="1001"/>
        </w:numPr>
      </w:pPr>
      <w:r>
        <w:t xml:space="preserve">topical relevance is the wrong target and downstream utility the right</w:t>
      </w:r>
      <w:r>
        <w:t xml:space="preserve"> </w:t>
      </w:r>
      <w:r>
        <w:t xml:space="preserve">one </w:t>
      </w:r>
      <w:r>
        <w:t xml:space="preserve">(H. Zhang et al. 2026)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the same passage is worth different amounts to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adding sources can lower accuracy while coverage saturates, shown for data integration over</w:t>
      </w:r>
      <w:r>
        <w:t xml:space="preserve"> </w:t>
      </w:r>
      <w:r>
        <w:t xml:space="preserve">a decade ago </w:t>
      </w:r>
      <w:r>
        <w:t xml:space="preserve">(Dong et al. 2012)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rerankers are steered by lexical similarity in the wild </w:t>
      </w:r>
      <w:r>
        <w:t xml:space="preserve">(Hagström, Nie, et al. 2025)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keeping a non-dominated set rather than a top-</w:t>
      </w:r>
      <m:oMath>
        <m:r>
          <m:t>k</m:t>
        </m:r>
      </m:oMath>
      <w:r>
        <w:t xml:space="preserve"> </w:t>
      </w:r>
      <w:r>
        <w:t xml:space="preserve">prefix already exists as an operator over</w:t>
      </w:r>
      <w:r>
        <w:t xml:space="preserve"> </w:t>
      </w:r>
      <w:r>
        <w:t xml:space="preserve">heuristic scores </w:t>
      </w:r>
      <w:r>
        <w:t xml:space="preserve">(Zhu et al. 2026)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the Blackwell and Le Cam apparatus was brought to inference-time context selection against a</w:t>
      </w:r>
      <w:r>
        <w:t xml:space="preserve"> </w:t>
      </w:r>
      <w:r>
        <w:t xml:space="preserve">frozen decoder concurrently with this work, and we claim no priority over</w:t>
      </w:r>
      <w:r>
        <w:t xml:space="preserve"> </w:t>
      </w:r>
      <w:r>
        <w:t xml:space="preserve">it </w:t>
      </w:r>
      <w:r>
        <w:t xml:space="preserve">(Alpila 2026a)</w:t>
      </w:r>
      <w:r>
        <w:t xml:space="preserve">.</w:t>
      </w:r>
    </w:p>
    <w:p>
      <w:pPr>
        <w:pStyle w:val="FirstParagraph"/>
      </w:pPr>
      <w:r>
        <w:t xml:space="preserve">What is new 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that ties them together:</w:t>
      </w:r>
    </w:p>
    <w:p>
      <w:pPr>
        <w:numPr>
          <w:ilvl w:val="0"/>
          <w:numId w:val="1002"/>
        </w:numPr>
      </w:pPr>
      <w:r>
        <w:t xml:space="preserve">reading cross-task non-transfer as a partial order over context sources;</w:t>
      </w:r>
    </w:p>
    <w:p>
      <w:pPr>
        <w:numPr>
          <w:ilvl w:val="0"/>
          <w:numId w:val="1002"/>
        </w:numPr>
      </w:pPr>
      <w:r>
        <w:t xml:space="preserve">proving that no single per-source score, relevance or utility, can be faithful to that order</w:t>
      </w:r>
      <w:r>
        <w:t xml:space="preserve"> </w:t>
      </w:r>
      <w:r>
        <w:t xml:space="preserve">across tasks once two sources are incomparable. Utility re-measured per task by running the</w:t>
      </w:r>
      <w:r>
        <w:t xml:space="preserve"> </w:t>
      </w:r>
      <w:r>
        <w:t xml:space="preserve">model is therefore not a shortcut around the theorem but the probe it calls for;</w:t>
      </w:r>
    </w:p>
    <w:p>
      <w:pPr>
        <w:numPr>
          <w:ilvl w:val="0"/>
          <w:numId w:val="1002"/>
        </w:numPr>
      </w:pPr>
      <w:r>
        <w:t xml:space="preserve">giving a finite-sample test that verifies incomparability and superset harm on a live model,</w:t>
      </w:r>
      <w:r>
        <w:t xml:space="preserve"> </w:t>
      </w:r>
      <w:r>
        <w:t xml:space="preserve">with both sources held correct, the length and position confounds controlled, and the effect of</w:t>
      </w:r>
      <w:r>
        <w:t xml:space="preserve"> </w:t>
      </w:r>
      <w:r>
        <w:t xml:space="preserve">an explicit routing instruction measured rather than assumed away (§2).</w:t>
      </w:r>
    </w:p>
    <w:p>
      <w:pPr>
        <w:pStyle w:val="FirstParagraph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once for the ideal user and once for the fixed model, and prove a one-way</w:t>
      </w:r>
      <w:r>
        <w:t xml:space="preserve"> </w:t>
      </w:r>
      <w:r>
        <w:t xml:space="preserve">bridge from what we measure to what the theorem is about (§4); and we call our</w:t>
      </w:r>
      <w:r>
        <w:t xml:space="preserve"> </w:t>
      </w:r>
      <w:r>
        <w:t xml:space="preserve">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(§6).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(§4, §5).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Bringing this apparatus to inference-time context is not by itself ours: concurrent work</w:t>
      </w:r>
      <w:r>
        <w:t xml:space="preserve"> </w:t>
      </w:r>
      <w:r>
        <w:t xml:space="preserve">reaches the same classical objects from the admission side (§2.3). What</w:t>
      </w:r>
      <w:r>
        <w:t xml:space="preserve"> </w:t>
      </w:r>
      <w:r>
        <w:t xml:space="preserve">is ours is the consequence of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</w:t>
      </w:r>
      <w:r>
        <w:t xml:space="preserve"> </w:t>
      </w:r>
      <w:r>
        <w:t xml:space="preserve">as the object. 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</w:t>
      </w:r>
      <w:r>
        <w:t xml:space="preserve"> </w:t>
      </w:r>
      <w:r>
        <w:t xml:space="preserve">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</w:t>
      </w:r>
      <w:r>
        <w:t xml:space="preserve"> </w:t>
      </w:r>
      <w:r>
        <w:t xml:space="preserve">the query-conditioned topical case isolated separately (Proposition 2);</w:t>
      </w:r>
      <w:r>
        <w:t xml:space="preserve"> </w:t>
      </w:r>
      <w:r>
        <w:t xml:space="preserve">Information retrieval has long argued that no single fixed document</w:t>
      </w:r>
      <w:r>
        <w:t xml:space="preserve"> </w:t>
      </w:r>
      <w:r>
        <w:t xml:space="preserve">score is optimal once documents interact (§2.1); we derive the impossibility as</w:t>
      </w:r>
      <w:r>
        <w:t xml:space="preserve"> </w:t>
      </w:r>
      <w:r>
        <w:t xml:space="preserve">a theorem in the Blackwell frame and name the exact structural condition under which it bites.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(§6).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verification: exact</w:t>
      </w:r>
      <w:r>
        <w:t xml:space="preserve"> </w:t>
      </w:r>
      <w:r>
        <w:t xml:space="preserve">Clopper–Pearson intervals </w:t>
      </w:r>
      <w:r>
        <w:t xml:space="preserve">(Clopper and Pearson 1934)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 rather than absorbed</w:t>
      </w:r>
      <w:r>
        <w:t xml:space="preserve"> </w:t>
      </w:r>
      <w:r>
        <w:t xml:space="preserve">into a single-sample sup inequality </w:t>
      </w:r>
      <w:r>
        <w:t xml:space="preserve">(Dvoretzky et al. 1956)</w:t>
      </w:r>
      <w:r>
        <w:t xml:space="preserve">, which does not cover an argmax over</w:t>
      </w:r>
      <w:r>
        <w:t xml:space="preserve"> </w:t>
      </w:r>
      <w:r>
        <w:t xml:space="preserve">distinct cells; the matching interference verification follows.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§7. The rest is arranged</w:t>
      </w:r>
      <w:r>
        <w:t xml:space="preserve"> </w:t>
      </w:r>
      <w:r>
        <w:t xml:space="preserve">as follows. §2 places the contribution against prior work;</w:t>
      </w:r>
      <w:r>
        <w:t xml:space="preserve"> </w:t>
      </w:r>
      <w:r>
        <w:t xml:space="preserve">§§4–5 build the order and prove the two impossibility</w:t>
      </w:r>
      <w:r>
        <w:t xml:space="preserve"> </w:t>
      </w:r>
      <w:r>
        <w:t xml:space="preserve">results; §6 defines the verification and its confidence accounting;</w:t>
      </w:r>
      <w:r>
        <w:t xml:space="preserve"> </w:t>
      </w:r>
      <w:r>
        <w:t xml:space="preserve">§7 reports the six-model measurement and the controls;</w:t>
      </w:r>
      <w:r>
        <w:t xml:space="preserve"> </w:t>
      </w:r>
      <w:r>
        <w:t xml:space="preserve">§8 discusses scope and §9 concludes. Every proof is in</w:t>
      </w:r>
      <w:r>
        <w:t xml:space="preserve"> </w:t>
      </w:r>
      <w:r>
        <w:t xml:space="preserve">Appendix A, the extended per-cell record in Appendix B, and the</w:t>
      </w:r>
      <w:r>
        <w:t xml:space="preserve"> </w:t>
      </w:r>
      <w:r>
        <w:t xml:space="preserve">protocol in Appendix C.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surrogate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3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game-theoretic and influence-based valuation</w:t>
      </w:r>
      <w:r>
        <w:t xml:space="preserve"> </w:t>
      </w:r>
      <w:r>
        <w:t xml:space="preserve">of 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 binary</w:t>
      </w:r>
      <w:r>
        <w:t xml:space="preserve"> </w:t>
      </w:r>
      <w:r>
        <w:t xml:space="preserve">sufficient-context detection </w:t>
      </w:r>
      <w:r>
        <w:t xml:space="preserve">(Joren et al. 2024)</w:t>
      </w:r>
      <w:r>
        <w:t xml:space="preserve">. Each collapses the comparison of two</w:t>
      </w:r>
      <w:r>
        <w:t xml:space="preserve"> </w:t>
      </w:r>
      <w:r>
        <w:t xml:space="preserve">sources to one real number and is therefore a scalar of the kind the paper rules out</w:t>
      </w:r>
      <w:r>
        <w:t xml:space="preserve"> </w:t>
      </w:r>
      <w:r>
        <w:t xml:space="preserve">(Theorem 2 for query-independent scores,</w:t>
      </w:r>
      <w:r>
        <w:t xml:space="preserve"> </w:t>
      </w:r>
      <w:r>
        <w:t xml:space="preserve">Proposition 2 for topical query-conditioned ones): not a competitor to</w:t>
      </w:r>
      <w:r>
        <w:t xml:space="preserve"> </w:t>
      </w:r>
      <w:r>
        <w:t xml:space="preserve">out-perform but an instance of the excluded class (we prove Blackwell-monotonicity for the closest</w:t>
      </w:r>
      <w:r>
        <w:t xml:space="preserve"> </w:t>
      </w:r>
      <w:r>
        <w:t xml:space="preserve">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 Proposition 1; for mutual</w:t>
      </w:r>
      <w:r>
        <w:t xml:space="preserve"> </w:t>
      </w:r>
      <w:r>
        <w:t xml:space="preserve">information and fixed-prior EIG it is immediate from data processing, and for a fixed decoder’s</w:t>
      </w:r>
      <w:r>
        <w:t xml:space="preserve"> </w:t>
      </w:r>
      <w:r>
        <w:t xml:space="preserve">perplexity-gap we claim nothing, Remark 5). Guarantees do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distribution-free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scalar score and so inherits the total order it calibrates, whereas what we verify is an order</w:t>
      </w:r>
      <w:r>
        <w:t xml:space="preserve"> </w:t>
      </w:r>
      <w:r>
        <w:t xml:space="preserve">relation between sources;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, a symptom of the same under-determination. The machinery</w:t>
      </w:r>
      <w:r>
        <w:t xml:space="preserve"> </w:t>
      </w:r>
      <w:r>
        <w:t xml:space="preserve">for identifying a non-dominated set from noisy multi-objective samples is in turn classical in the</w:t>
      </w:r>
      <w:r>
        <w:t xml:space="preserve"> </w:t>
      </w:r>
      <w:r>
        <w:t xml:space="preserve">bandit literature:</w:t>
      </w:r>
      <w:r>
        <w:t xml:space="preserve"> </w:t>
      </w:r>
      <w:r>
        <w:t xml:space="preserve">Auer et al. (2016)</w:t>
      </w:r>
      <w:r>
        <w:t xml:space="preserve"> </w:t>
      </w:r>
      <w:r>
        <w:t xml:space="preserve">give confidence-bound algorithms that identify the</w:t>
      </w:r>
      <w:r>
        <w:t xml:space="preserve"> </w:t>
      </w:r>
      <w:r>
        <w:t xml:space="preserve">Pareto front from stochastic samples, with a gap-based sample complexity of the kind our</w:t>
      </w:r>
      <w:r>
        <w:t xml:space="preserve"> </w:t>
      </w:r>
      <w:r>
        <w:t xml:space="preserve">verification pays for directly. What is new here is not the statistical machinery but the object</w:t>
      </w:r>
      <w:r>
        <w:t xml:space="preserve"> </w:t>
      </w:r>
      <w:r>
        <w:t xml:space="preserve">it is run on, (model, verifier, task-battery) triples, and its use as a verification of</w:t>
      </w:r>
      <w:r>
        <w:t xml:space="preserve"> </w:t>
      </w:r>
      <w:r>
        <w:t xml:space="preserve">incomparability between context sources.</w:t>
      </w:r>
    </w:p>
    <w:p>
      <w:pPr>
        <w:pStyle w:val="BodyText"/>
      </w:pPr>
      <w:r>
        <w:t xml:space="preserve">The retrieval community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, the downstream gain a</w:t>
      </w:r>
      <w:r>
        <w:t xml:space="preserve"> </w:t>
      </w:r>
      <w:r>
        <w:t xml:space="preserve">passage brings </w:t>
      </w:r>
      <w:r>
        <w:t xml:space="preserve">(H. Zhang et al. 2026)</w:t>
      </w:r>
      <w:r>
        <w:t xml:space="preserve">, and has found that utility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can depend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We regard this as the same diagnosis reached from the</w:t>
      </w:r>
      <w:r>
        <w:t xml:space="preserve"> </w:t>
      </w:r>
      <w:r>
        <w:t xml:space="preserve">other side, and the present paper as its formal boundary. Utility re-measured per task by running</w:t>
      </w:r>
      <w:r>
        <w:t xml:space="preserve"> </w:t>
      </w:r>
      <w:r>
        <w:t xml:space="preserve">the model is not a fixed per-source score; it is the probe our estimator is built from, and its cost</w:t>
      </w:r>
      <w:r>
        <w:t xml:space="preserve"> </w:t>
      </w:r>
      <w:r>
        <w:t xml:space="preserve">is the price we make explicit.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 learned scorer is a number again: fixed across tasks it is</w:t>
      </w:r>
      <w:r>
        <w:t xml:space="preserve"> </w:t>
      </w:r>
      <w:r>
        <w:t xml:space="preserve">covered by Theorem 2; query-conditioned but topical, by</w:t>
      </w:r>
      <w:r>
        <w:t xml:space="preserve"> </w:t>
      </w:r>
      <w:r>
        <w:t xml:space="preserve">Proposition 2 when it meets that proposition’s hypotheses. Reading the</w:t>
      </w:r>
      <w:r>
        <w:t xml:space="preserve"> </w:t>
      </w:r>
      <w:r>
        <w:t xml:space="preserve">decisive coordinate is one way out, which is the listwise boundary; reading public task metadata</w:t>
      </w:r>
      <w:r>
        <w:t xml:space="preserve"> </w:t>
      </w:r>
      <w:r>
        <w:t xml:space="preserve">is another (Remark 6). Three families</w:t>
      </w:r>
      <w:r>
        <w:t xml:space="preserve"> </w:t>
      </w:r>
      <w:r>
        <w:t xml:space="preserve">sit at the boundary. Listwise LLM rerankers </w:t>
      </w:r>
      <w:r>
        <w:t xml:space="preserve">(Sun et al. 2023)</w:t>
      </w:r>
      <w:r>
        <w:t xml:space="preserve"> </w:t>
      </w:r>
      <w:r>
        <w:t xml:space="preserve">and learned set</w:t>
      </w:r>
      <w:r>
        <w:t xml:space="preserve"> </w:t>
      </w:r>
      <w:r>
        <w:t xml:space="preserve">selectors </w:t>
      </w:r>
      <w:r>
        <w:t xml:space="preserve">(Jiang et al. 2026; Fan et al. 2026)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</w:t>
      </w:r>
      <w:r>
        <w:t xml:space="preserve"> </w:t>
      </w:r>
      <w:r>
        <w:t xml:space="preserve">theorem’s scope, though they carry no dominance guarantee of any kind. Skyline</w:t>
      </w:r>
      <w:r>
        <w:t xml:space="preserve"> </w:t>
      </w:r>
      <w:r>
        <w:t xml:space="preserve">selection </w:t>
      </w:r>
      <w:r>
        <w:t xml:space="preserve">(Zhu et al. 2026)</w:t>
      </w:r>
      <w:r>
        <w:t xml:space="preserve"> </w:t>
      </w:r>
      <w:r>
        <w:t xml:space="preserve">keeps every non-dominated candidate instead of a top-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operator the partial order calls for, but takes dominance over heuristic per-item scores rather</w:t>
      </w:r>
      <w:r>
        <w:t xml:space="preserve"> </w:t>
      </w:r>
      <w:r>
        <w:t xml:space="preserve">than over task value. Diversity-aware selection, from MMR </w:t>
      </w:r>
      <w:r>
        <w:t xml:space="preserve">(Carbonell and Goldstein 1998)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(Ye et al. 2023)</w:t>
      </w:r>
      <w:r>
        <w:t xml:space="preserve"> </w:t>
      </w:r>
      <w:r>
        <w:t xml:space="preserve">and submodular context selection </w:t>
      </w:r>
      <w:r>
        <w:t xml:space="preserve">(Ghulyani et al. 2026)</w:t>
      </w:r>
      <w:r>
        <w:t xml:space="preserve">, optimizes set</w:t>
      </w:r>
      <w:r>
        <w:t xml:space="preserve"> </w:t>
      </w:r>
      <w:r>
        <w:t xml:space="preserve">objectives over similarity geometry rather than over verified task value. 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the closest of these in form, because its covering</w:t>
      </w:r>
      <w:r>
        <w:t xml:space="preserve"> </w:t>
      </w:r>
      <w:r>
        <w:t xml:space="preserve">relation is genuinely</w:t>
      </w:r>
      <w:r>
        <w:t xml:space="preserve"> </w:t>
      </w:r>
      <w:r>
        <w:rPr>
          <w:i/>
          <w:iCs/>
        </w:rPr>
        <w:t xml:space="preserve">asymmetric</w:t>
      </w:r>
      <w:r>
        <w:t xml:space="preserve"> </w:t>
      </w:r>
      <w:r>
        <w:t xml:space="preserve">and information-theoretic rather than geometric: chunk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covers chunk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it predicts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within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bits. The relation it orders, however, is</w:t>
      </w:r>
      <w:r>
        <w:t xml:space="preserve"> </w:t>
      </w:r>
      <w:r>
        <w:t xml:space="preserve">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 and offline, so it prunes what</w:t>
      </w:r>
      <w:r>
        <w:t xml:space="preserve"> </w:t>
      </w:r>
      <w:r>
        <w:t xml:space="preserve">another chunk already predicts; it never exhibits two sources each decisive on a task the other</w:t>
      </w:r>
      <w:r>
        <w:t xml:space="preserve"> </w:t>
      </w:r>
      <w:r>
        <w:t xml:space="preserve">fails, which is the relation we measure.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(Robertson 1977)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(Fuhr 2008; Carbonell and Goldstein 1998)</w:t>
      </w:r>
      <w:r>
        <w:t xml:space="preserve">, and document interdependence</w:t>
      </w:r>
      <w:r>
        <w:t xml:space="preserve"> </w:t>
      </w:r>
      <w:r>
        <w:t xml:space="preserve">was given ranking principles of its own, portfolio theory </w:t>
      </w:r>
      <w:r>
        <w:t xml:space="preserve">(Wang and Zhu 2009)</w:t>
      </w:r>
      <w:r>
        <w:t xml:space="preserve"> </w:t>
      </w:r>
      <w:r>
        <w:t xml:space="preserve">and the quantum</w:t>
      </w:r>
      <w:r>
        <w:t xml:space="preserve"> </w:t>
      </w:r>
      <w:r>
        <w:t xml:space="preserve">probability ranking principle,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the dependence of one document’s</w:t>
      </w:r>
      <w:r>
        <w:t xml:space="preserve"> </w:t>
      </w:r>
      <w:r>
        <w:t xml:space="preserve">relevance on another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 quality, is measured directly </w:t>
      </w:r>
      <w:r>
        <w:t xml:space="preserve">(LeVine and Varjavand 2025)</w:t>
      </w:r>
      <w:r>
        <w:t xml:space="preserve">, and the companion</w:t>
      </w:r>
      <w:r>
        <w:t xml:space="preserve"> </w:t>
      </w:r>
      <w:r>
        <w:t xml:space="preserve">observation that 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, so that missing hops and unresolved</w:t>
      </w:r>
      <w:r>
        <w:t xml:space="preserve"> </w:t>
      </w:r>
      <w:r>
        <w:t xml:space="preserve">conflicts cannot be detected by scoring passages independently, is argued at the set</w:t>
      </w:r>
      <w:r>
        <w:t xml:space="preserve"> </w:t>
      </w:r>
      <w:r>
        <w:t xml:space="preserve">level </w:t>
      </w:r>
      <w:r>
        <w:t xml:space="preserve">(Qiu et al. 2026)</w:t>
      </w:r>
      <w:r>
        <w:t xml:space="preserve">. Our delta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 the failure becomes a theorem in the comparison-of-experiments</w:t>
      </w:r>
      <w:r>
        <w:t xml:space="preserve"> </w:t>
      </w:r>
      <w:r>
        <w:t xml:space="preserve">frame, with the precise structural condition, Blackwell incomparability, under which every</w:t>
      </w:r>
      <w:r>
        <w:t xml:space="preserve"> </w:t>
      </w:r>
      <w:r>
        <w:t xml:space="preserve">query-independent scalar must mis-rank, and a verified live 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length, position and formatting controls and is consistent with convention</w:t>
      </w:r>
      <w:r>
        <w:t xml:space="preserve"> </w:t>
      </w:r>
      <w:r>
        <w:t xml:space="preserve">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learning,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That preprint</w:t>
      </w:r>
      <w:r>
        <w:t xml:space="preserve"> </w:t>
      </w:r>
      <w:r>
        <w:t xml:space="preserve">was posted on 25 June 2026, while the measurements reported here were already complete; we claim</w:t>
      </w:r>
      <w:r>
        <w:t xml:space="preserve"> </w:t>
      </w:r>
      <w:r>
        <w:t xml:space="preserve">no priority over it, and the reader should treat the transport of this apparatus to inference-time</w:t>
      </w:r>
      <w:r>
        <w:t xml:space="preserve"> </w:t>
      </w:r>
      <w:r>
        <w:t xml:space="preserve">context as theirs. The objects are nonetheless different, and that difference is what this paper</w:t>
      </w:r>
      <w:r>
        <w:t xml:space="preserve"> </w:t>
      </w:r>
      <w:r>
        <w:t xml:space="preserve">is about.</w:t>
      </w:r>
      <w:r>
        <w:t xml:space="preserve"> </w:t>
      </w:r>
      <w:r>
        <w:t xml:space="preserve">There, deficiency is a scalar risk gap</w:t>
      </w:r>
      <w:r>
        <w:t xml:space="preserve"> </w:t>
      </w:r>
      <w:r>
        <w:rPr>
          <w:i/>
          <w:iCs/>
        </w:rPr>
        <w:t xml:space="preserve">inside one declared decision problem</w:t>
      </w:r>
      <w:r>
        <w:t xml:space="preserve">, with the</w:t>
      </w:r>
      <w:r>
        <w:t xml:space="preserve"> </w:t>
      </w:r>
      <w:r>
        <w:t xml:space="preserve">garbling theorem explicitly set aside as inactive there; the partial order that work does invoke</w:t>
      </w:r>
      <w:r>
        <w:t xml:space="preserve"> </w:t>
      </w:r>
      <w:r>
        <w:t xml:space="preserve">runs over</w:t>
      </w:r>
      <w:r>
        <w:t xml:space="preserve"> </w:t>
      </w:r>
      <w:r>
        <w:rPr>
          <w:i/>
          <w:iCs/>
        </w:rPr>
        <w:t xml:space="preserve">compression methods</w:t>
      </w:r>
      <w:r>
        <w:t xml:space="preserve"> </w:t>
      </w:r>
      <w:r>
        <w:t xml:space="preserve">and is asserted structurally rather than measured. Our object</w:t>
      </w:r>
      <w:r>
        <w:t xml:space="preserve"> </w:t>
      </w:r>
      <w:r>
        <w:t xml:space="preserve">is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that order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the consequence that no single per-source score can</w:t>
      </w:r>
      <w:r>
        <w:t xml:space="preserve"> </w:t>
      </w:r>
      <w:r>
        <w:t xml:space="preserve">be faithful to it, and verify a strict superset of a sufficient source collapsing PASS with the</w:t>
      </w:r>
      <w:r>
        <w:t xml:space="preserve"> </w:t>
      </w:r>
      <w:r>
        <w:t xml:space="preserve">length, position and routing confounds controlled. Incomparability in this sense cannot arise</w:t>
      </w:r>
      <w:r>
        <w:t xml:space="preserve"> </w:t>
      </w:r>
      <w:r>
        <w:t xml:space="preserve">inside a single declared decision problem, so its absence there is not a gap but a different</w:t>
      </w:r>
      <w:r>
        <w:t xml:space="preserve"> </w:t>
      </w:r>
      <w:r>
        <w:t xml:space="preserve">question. 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</w:t>
      </w:r>
      <w:r>
        <w:t xml:space="preserve"> </w:t>
      </w:r>
      <w:r>
        <w:t xml:space="preserve">by Blackwell informativeness and show that the mutual information between the curated and the</w:t>
      </w:r>
      <w:r>
        <w:t xml:space="preserve"> </w:t>
      </w:r>
      <w:r>
        <w:t xml:space="preserve">test 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</w:t>
      </w:r>
      <w:r>
        <w:t xml:space="preserve"> </w:t>
      </w:r>
      <w:r>
        <w:t xml:space="preserve">direction, and it is one-directional; a scalar can be monotone along the order without</w:t>
      </w:r>
      <w:r>
        <w:t xml:space="preserve"> </w:t>
      </w:r>
      <w:r>
        <w:t xml:space="preserve">representing it, so their result is compatible with ours rather than opposed to it. Their</w:t>
      </w:r>
      <w:r>
        <w:t xml:space="preserve"> </w:t>
      </w:r>
      <w:r>
        <w:t xml:space="preserve">comparison is also taken against the Bayes-optimal user of the data, ours against a fixed model</w:t>
      </w:r>
      <w:r>
        <w:t xml:space="preserve"> </w:t>
      </w:r>
      <w:r>
        <w:t xml:space="preserve">rule on a task family. What Theorem 2 adds is the converse question, whether</w:t>
      </w:r>
      <w:r>
        <w:t xml:space="preserve"> </w:t>
      </w:r>
      <w:r>
        <w:t xml:space="preserve">any query-independent scalar 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</w:t>
      </w:r>
      <w:r>
        <w:t xml:space="preserve"> </w:t>
      </w:r>
      <w:r>
        <w:t xml:space="preserve">be once the order is partial. Nearby uses stop short of</w:t>
      </w:r>
      <w:r>
        <w:t xml:space="preserve"> </w:t>
      </w:r>
      <w:r>
        <w:t xml:space="preserve">what we do: garbling to harden LLM evaluations </w:t>
      </w:r>
      <w:r>
        <w:t xml:space="preserve">(Bradley 2024)</w:t>
      </w:r>
      <w:r>
        <w:t xml:space="preserve">, statistical deficiency</w:t>
      </w:r>
      <w:r>
        <w:t xml:space="preserve"> </w:t>
      </w:r>
      <w:r>
        <w:t xml:space="preserve">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</w:t>
      </w:r>
      <w:r>
        <w:t xml:space="preserve"> </w:t>
      </w:r>
      <w:r>
        <w:t xml:space="preserve">in transfer 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 AI </w:t>
      </w:r>
      <w:r>
        <w:t xml:space="preserve">(Paxton 2026)</w:t>
      </w:r>
      <w:r>
        <w:t xml:space="preserve">.</w:t>
      </w:r>
      <w:r>
        <w:t xml:space="preserve"> </w:t>
      </w:r>
      <w:r>
        <w:t xml:space="preserve">The one use of the order for language models at inference time that we know of sits on the</w:t>
      </w:r>
      <w:r>
        <w:t xml:space="preserve"> </w:t>
      </w:r>
      <w:r>
        <w:t xml:space="preserve">other side of the 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 induced</w:t>
      </w:r>
      <w:r>
        <w:t xml:space="preserve"> </w:t>
      </w:r>
      <w:r>
        <w:t xml:space="preserve">by multi-agent protocols. They show that voting and debate are no more informative than the</w:t>
      </w:r>
      <w:r>
        <w:t xml:space="preserve"> </w:t>
      </w:r>
      <w:r>
        <w:t xml:space="preserve">pooled private information of all agents, and identify Bayesian pooled-posterior maximisation as</w:t>
      </w:r>
      <w:r>
        <w:t xml:space="preserve"> </w:t>
      </w:r>
      <w:r>
        <w:t xml:space="preserve">the 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2" w:name="sec:related-designspace"/>
    <w:p>
      <w:pPr>
        <w:pStyle w:val="Heading2"/>
      </w:pPr>
      <w:r>
        <w:t xml:space="preserve">The design space: which selectors the two results reach</w:t>
      </w:r>
    </w:p>
    <w:p>
      <w:pPr>
        <w:pStyle w:val="FirstParagraph"/>
      </w:pPr>
      <w:r>
        <w:t xml:space="preserve">Table 2 places the methods above on three axes: whether the method is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(precomputable, or amortizable to a near-retrieval query-time cost), whether it models</w:t>
      </w:r>
      <w:r>
        <w:t xml:space="preserve"> </w:t>
      </w:r>
      <w:r>
        <w:rPr>
          <w:i/>
          <w:iCs/>
        </w:rPr>
        <w:t xml:space="preserve">interaction between sources</w:t>
      </w:r>
      <w:r>
        <w:t xml:space="preserve"> </w:t>
      </w:r>
      <w:r>
        <w:t xml:space="preserve">rather than scoring each in isolation, and whether it can</w:t>
      </w:r>
      <w:r>
        <w:t xml:space="preserve"> </w:t>
      </w:r>
      <w:r>
        <w:t xml:space="preserve">represent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. The pattern is uniform. Every method cheap enough to run at</w:t>
      </w:r>
      <w:r>
        <w:t xml:space="preserve"> </w:t>
      </w:r>
      <w:r>
        <w:t xml:space="preserve">retrieval scale emits a final per-item number, however that number is produced, and therefore lives</w:t>
      </w:r>
      <w:r>
        <w:t xml:space="preserve"> </w:t>
      </w:r>
      <w:r>
        <w:t xml:space="preserve">in a total order; every method that genuinely models interaction is either symmetric redundancy</w:t>
      </w:r>
      <w:r>
        <w:t xml:space="preserve"> </w:t>
      </w:r>
      <w:r>
        <w:t xml:space="preserve">over embedding geometry, carries no dominance guarantee, or is as costly as direct probing. No prior</w:t>
      </w:r>
      <w:r>
        <w:t xml:space="preserve"> </w:t>
      </w:r>
      <w:r>
        <w:t xml:space="preserve">row is both cheap and partial-order-faithful; that empty cell is the open problem this paper</w:t>
      </w:r>
      <w:r>
        <w:t xml:space="preserve"> </w:t>
      </w:r>
      <w:r>
        <w:t xml:space="preserve">isolates, and we occupy the last row, paying probe cost for the guarantee.</w:t>
      </w:r>
    </w:p>
    <w:p>
      <w:pPr>
        <w:pStyle w:val="BodyText"/>
      </w:pPr>
      <w:bookmarkStart w:id="21" w:name="tab:designspace"/>
      <w:bookmarkEnd w:id="21"/>
    </w:p>
    <w:bookmarkEnd w:id="22"/>
    <w:bookmarkEnd w:id="23"/>
    <w:bookmarkStart w:id="31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§2 placed the contribution against prior work; the next four sections make it</w:t>
      </w:r>
      <w:r>
        <w:t xml:space="preserve"> </w:t>
      </w:r>
      <w:r>
        <w:t xml:space="preserve">precise, beginning here with the objects. 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</w:t>
      </w:r>
      <w:r>
        <w:t xml:space="preserve"> </w:t>
      </w:r>
      <w:r>
        <w:t xml:space="preserve">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7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§7).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§3.2 and Lemma 1.</w:t>
      </w:r>
    </w:p>
    <w:bookmarkStart w:id="24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4"/>
    <w:bookmarkStart w:id="25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bookmarkStart w:id="26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comparison, and the measured pass rates enter as its falsifiable signature, not as a bound on a</w:t>
      </w:r>
      <w:r>
        <w:t xml:space="preserve"> </w:t>
      </w:r>
      <w:r>
        <w:t xml:space="preserve">Bayes value.</w:t>
      </w:r>
    </w:p>
    <w:bookmarkEnd w:id="26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(§4)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§6, the</w:t>
      </w:r>
      <w:r>
        <w:t xml:space="preserve"> </w:t>
      </w:r>
      <w:r>
        <w:t xml:space="preserve">interference statistic of §6.3, and the entire six-model program of</w:t>
      </w:r>
      <w:r>
        <w:t xml:space="preserve"> </w:t>
      </w:r>
      <w:r>
        <w:t xml:space="preserve">§7,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2).</w:t>
      </w:r>
    </w:p>
    <w:bookmarkEnd w:id="27"/>
    <w:bookmarkStart w:id="29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(1).</w:t>
      </w:r>
    </w:p>
    <w:bookmarkStart w:id="28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8"/>
    <w:p>
      <w:pPr>
        <w:pStyle w:val="BodyText"/>
      </w:pPr>
      <w:r>
        <w:t xml:space="preserve">Under Definition 3 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9"/>
    <w:bookmarkStart w:id="30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30"/>
    <w:bookmarkEnd w:id="31"/>
    <w:bookmarkStart w:id="44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(§3), the classical comparison of</w:t>
      </w:r>
      <w:r>
        <w:t xml:space="preserve"> </w:t>
      </w:r>
      <w:r>
        <w:t xml:space="preserve">experiments applies to them directly. We state the order, record that it is partial</w:t>
      </w:r>
      <w:r>
        <w:t xml:space="preserve"> </w:t>
      </w:r>
      <w:r>
        <w:t xml:space="preserve">(the regime our experiments target), and, because those experiments measure a fixed model rather</w:t>
      </w:r>
      <w:r>
        <w:t xml:space="preserve"> </w:t>
      </w:r>
      <w:r>
        <w:t xml:space="preserve">than the idealized decision-maker the classical theorem assumes, build an explicit bridge between</w:t>
      </w:r>
      <w:r>
        <w:t xml:space="preserve"> </w:t>
      </w:r>
      <w:r>
        <w:t xml:space="preserve">its two registers.</w:t>
      </w:r>
    </w:p>
    <w:bookmarkStart w:id="36" w:name="the-order-and-its-two-registers"/>
    <w:p>
      <w:pPr>
        <w:pStyle w:val="Heading2"/>
      </w:pPr>
      <w:r>
        <w:t xml:space="preserve">The order and its two registers</w:t>
      </w:r>
    </w:p>
    <w:bookmarkStart w:id="32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2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3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5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3"/>
    <w:p>
      <w:pPr>
        <w:pStyle w:val="BodyText"/>
      </w:pPr>
      <w:r>
        <w:t xml:space="preserve">This is the classical Blackwell–Sherman–Stein theorem </w:t>
      </w:r>
      <w:r>
        <w:t xml:space="preserve">(Blackwell 1953; Torgersen 1991)</w:t>
      </w:r>
      <w:r>
        <w:t xml:space="preserve">,</w:t>
      </w:r>
      <w:r>
        <w:t xml:space="preserve"> </w:t>
      </w:r>
      <w:r>
        <w:t xml:space="preserve">which we use as a black box. The two directions are not on the same footing and we separate them.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 by</w:t>
      </w:r>
      <w:r>
        <w:t xml:space="preserve"> </w:t>
      </w:r>
      <w:r>
        <w:t xml:space="preserve">simulating the garbling, and it is the only direction Corollary 1 and</w:t>
      </w:r>
      <w:r>
        <w:t xml:space="preserve"> </w:t>
      </w:r>
      <w:r>
        <w:t xml:space="preserve">Lemma 2 use.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space: that is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the case our coordinate construction realizes. On a general state</w:t>
      </w:r>
      <w:r>
        <w:t xml:space="preserve"> </w:t>
      </w:r>
      <w:r>
        <w:t xml:space="preserve">space the converse needs the convex closure taken in the definition of more-informativeness, which</w:t>
      </w:r>
      <w:r>
        <w:t xml:space="preserve"> </w:t>
      </w:r>
      <w:r>
        <w:t xml:space="preserve">is where the careful statement lives </w:t>
      </w:r>
      <w:r>
        <w:t xml:space="preserve">(Khan et al. 2025)</w:t>
      </w:r>
      <w:r>
        <w:t xml:space="preserve">. The only specialization is reading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 a task with</w:t>
      </w:r>
      <w:r>
        <w:t xml:space="preserve"> </w:t>
      </w:r>
      <w:r>
        <w:t xml:space="preserve">bounded verifier utility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</w:t>
      </w:r>
      <w:r>
        <w:t xml:space="preserve"> </w:t>
      </w:r>
      <w:r>
        <w:t xml:space="preserve">(Definition 1), which is faithful because the kernels of</w:t>
      </w:r>
      <w:r>
        <w:t xml:space="preserve"> </w:t>
      </w:r>
      <w:r>
        <w:t xml:space="preserve">Definition 3 are standard Borel.</w:t>
      </w:r>
    </w:p>
    <w:bookmarkStart w:id="34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4"/>
    <w:bookmarkStart w:id="35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two score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That gap is a point estimate, not a verified separation: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</w:t>
      </w:r>
      <w:r>
        <w:t xml:space="preserve"> </w:t>
      </w:r>
      <m:oMath>
        <m:r>
          <m:rPr>
            <m:sty m:val="p"/>
          </m:rPr>
          <m:t>[</m:t>
        </m:r>
        <m:r>
          <m:t>0.48</m:t>
        </m:r>
        <m:r>
          <m:rPr>
            <m:sty m:val="p"/>
          </m:rPr>
          <m:t>,</m:t>
        </m:r>
        <m:r>
          <m:t>0.79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0.34</m:t>
        </m:r>
        <m:r>
          <m:rPr>
            <m:sty m:val="p"/>
          </m:rPr>
          <m:t>,</m:t>
        </m:r>
        <m:r>
          <m:t>0.66</m:t>
        </m:r>
        <m:r>
          <m:rPr>
            <m:sty m:val="p"/>
          </m:rPr>
          <m:t>]</m:t>
        </m:r>
      </m:oMath>
      <w:r>
        <w:t xml:space="preserve">, overlap. The pair illustrates the</w:t>
      </w:r>
      <w:r>
        <w:t xml:space="preserve"> </w:t>
      </w:r>
      <w:r>
        <w:t xml:space="preserve">possibility rather than certifying an instance of it.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§4.3 is not read on the quotient.</w:t>
      </w:r>
    </w:p>
    <w:bookmarkEnd w:id="35"/>
    <w:bookmarkEnd w:id="36"/>
    <w:bookmarkStart w:id="38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7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7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§7: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8"/>
    <w:bookmarkStart w:id="43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1.</w:t>
      </w:r>
    </w:p>
    <w:bookmarkStart w:id="39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9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40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7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(</w:t>
      </w:r>
      <w:r>
        <w:rPr>
          <w:i/>
          <w:i/>
          <w:iCs/>
          <w:iCs/>
        </w:rPr>
        <w:t xml:space="preserve">sufficiency of the informed source</w:t>
      </w:r>
      <w:r>
        <w:rPr>
          <w:i/>
          <w:iCs/>
        </w:rPr>
        <w:t xml:space="preserve">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measured crossover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the falsifiable signature of that separation and is what</w:t>
      </w:r>
      <w:r>
        <w:rPr>
          <w:i/>
          <w:iCs/>
        </w:rPr>
        <w:t xml:space="preserve"> </w:t>
      </w:r>
      <w:r>
        <w:rPr>
          <w:i/>
          <w:iCs/>
        </w:rPr>
        <w:t xml:space="preserve">§7 verifies per cell;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it is evidence for the hypothesis rather than a bound on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1).</w:t>
      </w:r>
    </w:p>
    <w:p>
      <w:pPr>
        <w:numPr>
          <w:ilvl w:val="0"/>
          <w:numId w:val="1007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bookmarkEnd w:id="40"/>
    <w:bookmarkStart w:id="41" w:name="rem:capsrole"/>
    <w:p>
      <w:pPr>
        <w:pStyle w:val="FirstParagraph"/>
      </w:pPr>
      <w:r>
        <w:rPr>
          <w:i/>
          <w:iCs/>
        </w:rPr>
        <w:t xml:space="preserve">Remark 3</w:t>
      </w:r>
      <w:r>
        <w:t xml:space="preserve"> </w:t>
      </w:r>
      <w:r>
        <w:t xml:space="preserve">(What the caps buy, and what they do not).</w:t>
      </w:r>
      <w:r>
        <w:t xml:space="preserve"> </w:t>
      </w:r>
      <w:r>
        <w:t xml:space="preserve"> </w:t>
      </w:r>
      <w:r>
        <w:t xml:space="preserve">Neither hypothesis of</w:t>
      </w:r>
      <w:r>
        <w:t xml:space="preserve"> </w:t>
      </w:r>
      <w:r>
        <w:t xml:space="preserve">(a)</w:t>
      </w:r>
      <w:r>
        <w:t xml:space="preserve">, separation or the caps, can be dropped</w:t>
      </w:r>
      <w:r>
        <w:t xml:space="preserve"> </w:t>
      </w:r>
      <w:r>
        <w:rPr>
          <w:i/>
          <w:iCs/>
        </w:rPr>
        <w:t xml:space="preserve">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They are not preconditions of structural incomparability as such: for the sources</w:t>
      </w:r>
      <w:r>
        <w:t xml:space="preserve"> </w:t>
      </w:r>
      <w:r>
        <w:t xml:space="preserve">this paper measures, Lemma 1 already separates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coordinate</w:t>
      </w:r>
      <w:r>
        <w:t xml:space="preserve"> </w:t>
      </w:r>
      <w:r>
        <w:t xml:space="preserve">non-refinement, with no caps at all. Lemma 2</w:t>
      </w:r>
      <w:r>
        <w:t xml:space="preserve">(a)</w:t>
      </w:r>
      <w:r>
        <w:t xml:space="preserve"> </w:t>
      </w:r>
      <w:r>
        <w:t xml:space="preserve">is a different route to</w:t>
      </w:r>
      <w:r>
        <w:t xml:space="preserve"> </w:t>
      </w:r>
      <w:r>
        <w:t xml:space="preserve">the same conclusion</w:t>
      </w:r>
      <w:r>
        <w:t xml:space="preserve"> </w:t>
      </w:r>
      <w:r>
        <w:rPr>
          <w:i/>
          <w:iCs/>
        </w:rPr>
        <w:t xml:space="preserve">within the same projection setting</w:t>
      </w:r>
      <w:r>
        <w:t xml:space="preserve">: it argues from Bayes values rather</w:t>
      </w:r>
      <w:r>
        <w:t xml:space="preserve"> </w:t>
      </w:r>
      <w:r>
        <w:t xml:space="preserve">than from</w:t>
      </w:r>
      <w:r>
        <w:t xml:space="preserve"> </w:t>
      </w:r>
      <m:oMath>
        <m:r>
          <m:t>σ</m:t>
        </m:r>
      </m:oMath>
      <w:r>
        <w:t xml:space="preserve">-algebras, and the caps are what that argument costs. It is not a generalization</w:t>
      </w:r>
      <w:r>
        <w:t xml:space="preserve"> </w:t>
      </w:r>
      <w:r>
        <w:t xml:space="preserve">to arbitrary sources; a criterion for those would be a separate statement we do not prove. What the caps do here is show why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alone proves nothing: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wins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the encoding cell) yet strictly Blackwell-</w:t>
      </w:r>
      <w:r>
        <w:rPr>
          <w:i/>
          <w:iCs/>
        </w:rPr>
        <w:t xml:space="preserve">comparable</w:t>
      </w:r>
      <w:r>
        <w:t xml:space="preserve"> </w:t>
      </w:r>
      <w:r>
        <w:t xml:space="preserve">by construction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superset revealing one further independent non-degenerate coordinate),</w:t>
      </w:r>
      <w:r>
        <w:t xml:space="preserve"> </w:t>
      </w:r>
      <w:r>
        <w:t xml:space="preserve">precisely because the deprived-side premise fails there: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coordinate, so</w:t>
      </w:r>
      <w:r>
        <w:t xml:space="preserve"> </w:t>
      </w:r>
      <w:r>
        <w:t xml:space="preserve">the API-side cap is not small. A bare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crossover, with neither</w:t>
      </w:r>
      <w:r>
        <w:t xml:space="preserve"> </w:t>
      </w:r>
      <w:r>
        <w:t xml:space="preserve">premise verified, certifies nothing structural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 It is equally</w:t>
      </w:r>
      <w:r>
        <w:t xml:space="preserve"> </w:t>
      </w:r>
      <w:r>
        <w:t xml:space="preserve">consistent with genuine incomparability under optimal play (two sources revealing independent</w:t>
      </w:r>
      <w:r>
        <w:t xml:space="preserve"> </w:t>
      </w:r>
      <w:r>
        <w:t xml:space="preserve">coordinates cross even when each side plays optimally) and with a merely incoherent rule</w:t>
      </w:r>
      <w:r>
        <w:t xml:space="preserve"> </w:t>
      </w:r>
      <w:r>
        <w:t xml:space="preserve">(Theorem 3). The two cases should not be run together.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strict comparability</w:t>
      </w:r>
      <w:r>
        <w:t xml:space="preserve"> </w:t>
      </w:r>
      <w:r>
        <w:t xml:space="preserve">whose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 nonetheless oppose; the distinct</w:t>
      </w:r>
      <w:r>
        <w:t xml:space="preserve"> </w:t>
      </w:r>
      <w:r>
        <w:t xml:space="preserve">phenomenon of a rule preferring differently between two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experiments is</w:t>
      </w:r>
      <w:r>
        <w:t xml:space="preserve"> </w:t>
      </w:r>
      <w:r>
        <w:t xml:space="preserve">illustrated by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where the added block carries no</w:t>
      </w:r>
      <w:r>
        <w:t xml:space="preserve"> </w:t>
      </w:r>
      <w:r>
        <w:t xml:space="preserve">coordinate any verifier reads (Remark 2). That a representation-sensitive decoder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 this in general is a structural observation, not something our single measured</w:t>
      </w:r>
      <w:r>
        <w:t xml:space="preserve"> </w:t>
      </w:r>
      <w:r>
        <w:t xml:space="preserve">difference certifies. Nor is the projection construction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incomparability: it is the cleanest sufficient condition we know, and the one our sources</w:t>
      </w:r>
      <w:r>
        <w:t xml:space="preserve"> </w:t>
      </w:r>
      <w:r>
        <w:t xml:space="preserve">realize.</w:t>
      </w:r>
    </w:p>
    <w:bookmarkEnd w:id="41"/>
    <w:p>
      <w:pPr>
        <w:pStyle w:val="BodyText"/>
      </w:pPr>
      <w:r>
        <w:t xml:space="preserve">Intuitively: a fixed-rule crossover proves structural incomparability only when each winning</w:t>
      </w:r>
      <w:r>
        <w:t xml:space="preserve"> </w:t>
      </w:r>
      <w:r>
        <w:t xml:space="preserve">source reveals a coordinate the losing source lacks; otherwise the crossover may</w:t>
      </w:r>
      <w:r>
        <w:t xml:space="preserve"> </w:t>
      </w:r>
      <w:r>
        <w:t xml:space="preserve">witness nothing more than the rule’s own incoherence.</w:t>
      </w:r>
    </w:p>
    <w:bookmarkStart w:id="42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2"/>
    <w:p>
      <w:pPr>
        <w:pStyle w:val="BodyText"/>
      </w:pPr>
      <w:r>
        <w:t xml:space="preserve">It is worth fixing what each formal object does, since they are easy to run together.</w:t>
      </w:r>
      <w:r>
        <w:t xml:space="preserve"> </w:t>
      </w:r>
      <w:r>
        <w:t xml:space="preserve">Lemma 1 establishes structural incomparability for the specified projection</w:t>
      </w:r>
      <w:r>
        <w:t xml:space="preserve"> </w:t>
      </w:r>
      <w:r>
        <w:t xml:space="preserve">sources, and needs no prior, no caps and no measurement. Lemma 2 gives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for a pair not handed to us that way, and</w:t>
      </w:r>
      <w:r>
        <w:t xml:space="preserve"> </w:t>
      </w:r>
      <w:r>
        <w:t xml:space="preserve">clarifies why a fixed-decoder crossover alone is insufficient; its guessing caps are assumptions,</w:t>
      </w:r>
      <w:r>
        <w:t xml:space="preserve"> </w:t>
      </w:r>
      <w:r>
        <w:t xml:space="preserve">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rates.</w:t>
      </w:r>
      <w:r>
        <w:t xml:space="preserve"> </w:t>
      </w:r>
      <w:r>
        <w:t xml:space="preserve">Assumption 1 is a different kind of statement again: it concerns the decoder’s</w:t>
      </w:r>
      <w:r>
        <w:t xml:space="preserve"> </w:t>
      </w:r>
      <w:r>
        <w:t xml:space="preserve">realized cross-advantage on named tasks, which the experiments assess directly. Of the two</w:t>
      </w:r>
      <w:r>
        <w:t xml:space="preserve"> </w:t>
      </w:r>
      <w:r>
        <w:t xml:space="preserve">controls, the superset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Blackwell-comparable despite opposing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preferences, while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illustrates the separate matter of</w:t>
      </w:r>
      <w:r>
        <w:t xml:space="preserve"> </w:t>
      </w:r>
      <w:r>
        <w:t xml:space="preserve">representation dependence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an equivalence class.</w:t>
      </w:r>
    </w:p>
    <w:bookmarkEnd w:id="43"/>
    <w:bookmarkEnd w:id="44"/>
    <w:bookmarkStart w:id="54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§4 showed the order is partial; we now establish the consequence that</w:t>
      </w:r>
      <w:r>
        <w:t xml:space="preserve"> </w:t>
      </w:r>
      <w:r>
        <w:t xml:space="preserve">motivates the 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9" w:name="query-independent-scores-the-theorem"/>
    <w:p>
      <w:pPr>
        <w:pStyle w:val="Heading2"/>
      </w:pPr>
      <w:r>
        <w:t xml:space="preserve">Query-independent scores: the theorem</w:t>
      </w:r>
    </w:p>
    <w:bookmarkStart w:id="45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If</w:t>
      </w:r>
      <w:r>
        <w:rPr>
          <w:i/>
          <w:iCs/>
        </w:rPr>
        <w:t xml:space="preserve"> </w:t>
      </w:r>
      <w:r>
        <w:rPr>
          <w:i/>
          <w:iCs/>
        </w:rPr>
        <w:t xml:space="preserve">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 the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-induced ranking also disagrees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5"/>
    <w:bookmarkStart w:id="46" w:name="rem:c2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6"/>
    <w:bookmarkStart w:id="47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7"/>
    <w:bookmarkStart w:id="48" w:name="rem:vinfo-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(§2).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8"/>
    <w:bookmarkEnd w:id="49"/>
    <w:bookmarkStart w:id="53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2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50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50"/>
    <w:bookmarkStart w:id="51" w:name="rem:trapscope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that the scorers deployed in practice, which read text rather than labels, do fall</w:t>
      </w:r>
      <w:r>
        <w:t xml:space="preserve"> </w:t>
      </w:r>
      <w:r>
        <w:t xml:space="preserve">into the constrained class on it (§7.4.2).</w:t>
      </w:r>
    </w:p>
    <w:bookmarkEnd w:id="51"/>
    <w:bookmarkStart w:id="52" w:name="rem:overlaponly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§7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2"/>
    <w:p>
      <w:pPr>
        <w:pStyle w:val="BodyText"/>
      </w:pPr>
      <w:r>
        <w:t xml:space="preserve">Proposition 2 is deliberately narrow. It constrains a query-conditioned</w:t>
      </w:r>
      <w:r>
        <w:t xml:space="preserve"> </w:t>
      </w:r>
      <w:r>
        <w:t xml:space="preserve">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 that score meets 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it does</w:t>
      </w:r>
      <w:r>
        <w:t xml:space="preserve"> </w:t>
      </w:r>
      <w:r>
        <w:t xml:space="preserve">not cover the topical class as a whole, and it says nothing about an arbitrary learned reranker,</w:t>
      </w:r>
      <w:r>
        <w:t xml:space="preserve"> </w:t>
      </w:r>
      <w:r>
        <w:t xml:space="preserve">which might read the private coordinate, or about a router over public task metadata</w:t>
      </w:r>
      <w:r>
        <w:t xml:space="preserve"> </w:t>
      </w:r>
      <w:r>
        <w:t xml:space="preserve">(Remark 6). Note also that it is a statement about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a score that</w:t>
      </w:r>
      <w:r>
        <w:t xml:space="preserve"> </w:t>
      </w:r>
      <w:r>
        <w:t xml:space="preserve">may vary with the task; Theorem 2 is the separate statement about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one number per source fixed across all tasks. We therefore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</w:t>
      </w:r>
      <w:r>
        <w:t xml:space="preserve"> </w:t>
      </w:r>
      <w:r>
        <w:t xml:space="preserve">§7.4.2. In §7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every one of the six models. The same mis-rank is realized by representative open-weight learned 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(§7.4.2, Table 4), so the topical class is not a lexical strawman: its failure mode is shared by the ranker</w:t>
      </w:r>
      <w:r>
        <w:t xml:space="preserve"> </w:t>
      </w:r>
      <w:r>
        <w:t xml:space="preserve">families retrieval systems actually deploy. The same failure is documented in the wild:</w:t>
      </w:r>
      <w:r>
        <w:t xml:space="preserve"> </w:t>
      </w:r>
      <w:r>
        <w:t xml:space="preserve">language-model re-rankers are steered by lexical similarity across NQ, LitQA2, and</w:t>
      </w:r>
      <w:r>
        <w:t xml:space="preserve"> </w:t>
      </w:r>
      <w:r>
        <w:t xml:space="preserve">DRUID </w:t>
      </w:r>
      <w:r>
        <w:t xml:space="preserve">(Hagström, Nie, et al. 2025)</w:t>
      </w:r>
      <w:r>
        <w:t xml:space="preserve">, the last of these a corpus of real retrieved contexts</w:t>
      </w:r>
      <w:r>
        <w:t xml:space="preserve"> </w:t>
      </w:r>
      <w:r>
        <w:t xml:space="preserve">built precisely to check whether synthetic benchmarks overstate context</w:t>
      </w:r>
      <w:r>
        <w:t xml:space="preserve"> </w:t>
      </w:r>
      <w:r>
        <w:t xml:space="preserve">utilisation </w:t>
      </w:r>
      <w:r>
        <w:t xml:space="preserve">(Hagström, Marjanović, et al. 2025)</w:t>
      </w:r>
      <w:r>
        <w:t xml:space="preserve">; and passages that are semantically close but logically</w:t>
      </w:r>
      <w:r>
        <w:t xml:space="preserve"> </w:t>
      </w:r>
      <w:r>
        <w:t xml:space="preserve">irrelevant defeat retrievers and rerankers at scale, with an evidence-reasoning agent, a listwise</w:t>
      </w:r>
      <w:r>
        <w:t xml:space="preserve"> </w:t>
      </w:r>
      <w:r>
        <w:t xml:space="preserve">reader, as the remedy </w:t>
      </w:r>
      <w:r>
        <w:t xml:space="preserve">(Chen et al. 2026)</w:t>
      </w:r>
      <w:r>
        <w:t xml:space="preserve">, which is the boundary</w:t>
      </w:r>
      <w:r>
        <w:t xml:space="preserve"> </w:t>
      </w:r>
      <w:r>
        <w:t xml:space="preserve">Proposition 2 draws.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2 permits rather than predicts: its hypothesis</w:t>
      </w:r>
      <w:r>
        <w:t xml:space="preserve"> </w:t>
      </w:r>
      <w:r>
        <w:t xml:space="preserve">is topicality (invariance to the verifier-decisive coordinate), and a ranker that reads the</w:t>
      </w:r>
      <w:r>
        <w:t xml:space="preserve"> </w:t>
      </w:r>
      <w:r>
        <w:t xml:space="preserve">coordinate is simply outside the constrained class, so the proposition allows it to succeed</w:t>
      </w:r>
      <w:r>
        <w:t xml:space="preserve"> </w:t>
      </w:r>
      <w:r>
        <w:t xml:space="preserve">without implying that it must.</w:t>
      </w:r>
    </w:p>
    <w:bookmarkEnd w:id="53"/>
    <w:bookmarkEnd w:id="54"/>
    <w:bookmarkStart w:id="66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§5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6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verifies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5" w:name="rem:notlecam"/>
    <w:p>
      <w:pPr>
        <w:pStyle w:val="BodyText"/>
      </w:pPr>
      <w:r>
        <w:rPr>
          <w:i/>
          <w:iCs/>
        </w:rPr>
        <w:t xml:space="preserve">Remark 8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(Le Cam 1964, 1986; Torgersen 1991)</w:t>
      </w:r>
      <w:r>
        <w:t xml:space="preserve">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5"/>
    <w:bookmarkEnd w:id="56"/>
    <w:bookmarkStart w:id="59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7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7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8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§7.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verification is conservative.</w:t>
      </w:r>
    </w:p>
    <w:bookmarkEnd w:id="58"/>
    <w:bookmarkEnd w:id="59"/>
    <w:bookmarkStart w:id="62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9).</w:t>
      </w:r>
    </w:p>
    <w:bookmarkStart w:id="60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(§3.3).</w:t>
      </w:r>
    </w:p>
    <w:bookmarkEnd w:id="60"/>
    <w:bookmarkStart w:id="61" w:name="rem:psinotharm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1"/>
    <w:bookmarkEnd w:id="62"/>
    <w:bookmarkStart w:id="64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3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3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4"/>
    <w:bookmarkStart w:id="65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(§7.4.3); the power analysis</w:t>
      </w:r>
      <w:r>
        <w:t xml:space="preserve"> </w:t>
      </w:r>
      <w:r>
        <w:t xml:space="preserve">is in Appendix A.</w:t>
      </w:r>
    </w:p>
    <w:bookmarkEnd w:id="65"/>
    <w:bookmarkEnd w:id="66"/>
    <w:bookmarkStart w:id="108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(§4), its impossibility consequence (§5),</w:t>
      </w:r>
      <w:r>
        <w:t xml:space="preserve"> </w:t>
      </w:r>
      <w:r>
        <w:t xml:space="preserve">and the verification that measures it (§6)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(§7.4), so the verification is auditable rather than asserted.</w:t>
      </w:r>
    </w:p>
    <w:bookmarkStart w:id="69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7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§3: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7"/>
    <w:bookmarkStart w:id="68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8"/>
    <w:bookmarkEnd w:id="69"/>
    <w:bookmarkStart w:id="72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70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(§7.4.1).</w:t>
      </w:r>
    </w:p>
    <w:bookmarkEnd w:id="70"/>
    <w:bookmarkStart w:id="71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§7.4.2, while the theorem (Theorem 2) is the general</w:t>
      </w:r>
      <w:r>
        <w:t xml:space="preserve"> </w:t>
      </w:r>
      <w:r>
        <w:t xml:space="preserve">claim for query-independent scalars.</w:t>
      </w:r>
    </w:p>
    <w:bookmarkEnd w:id="71"/>
    <w:bookmarkEnd w:id="72"/>
    <w:bookmarkStart w:id="84" w:name="sec:methodology"/>
    <w:p>
      <w:pPr>
        <w:pStyle w:val="Heading2"/>
      </w:pPr>
      <w:r>
        <w:t xml:space="preserve">Materials and Methods</w:t>
      </w:r>
    </w:p>
    <w:bookmarkStart w:id="73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3"/>
    <w:bookmarkStart w:id="75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4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5"/>
    <w:bookmarkStart w:id="76" w:name="one-turn-budget-two-transports."/>
    <w:p>
      <w:pPr>
        <w:pStyle w:val="Heading4"/>
      </w:pPr>
      <w:r>
        <w:t xml:space="preserve">One turn budget, two transports.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The transport is not the same for all six. The Anthropic models are reached through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with a one-turn budget and no tools; the other three through an OpenAI-style</w:t>
      </w:r>
      <w:r>
        <w:t xml:space="preserve"> </w:t>
      </w:r>
      <w:r>
        <w:t xml:space="preserve">HTTP call the harness composes itself. What this matches across vendors is the</w:t>
      </w:r>
      <w:r>
        <w:t xml:space="preserve"> </w:t>
      </w:r>
      <w:r>
        <w:rPr>
          <w:i/>
          <w:iCs/>
        </w:rPr>
        <w:t xml:space="preserve">turn budget</w:t>
      </w:r>
      <w:r>
        <w:t xml:space="preserve">:</w:t>
      </w:r>
      <w:r>
        <w:t xml:space="preserve"> </w:t>
      </w:r>
      <w:r>
        <w:t xml:space="preserve">one pass, no agentic exploration, so the model must use what it is given. What it does not match</w:t>
      </w:r>
      <w:r>
        <w:t xml:space="preserve"> </w:t>
      </w:r>
      <w:r>
        <w:t xml:space="preserve">is the request. The command-line path carries that tool’s own system prompt, which the harness</w:t>
      </w:r>
      <w:r>
        <w:t xml:space="preserve"> </w:t>
      </w:r>
      <w:r>
        <w:t xml:space="preserve">neither sets nor observes, while the HTTP path carries only the task prompt. A between-vendor</w:t>
      </w:r>
      <w:r>
        <w:t xml:space="preserve"> </w:t>
      </w:r>
      <w:r>
        <w:t xml:space="preserve">difference in this table is therefore a difference between (model, transport) pairs, and the</w:t>
      </w:r>
      <w:r>
        <w:t xml:space="preserve"> </w:t>
      </w:r>
      <w:r>
        <w:t xml:space="preserve">transport split falls exactly along the Anthropic / non-Anthropic line, so we do not read the</w:t>
      </w:r>
      <w:r>
        <w:t xml:space="preserve"> </w:t>
      </w:r>
      <w:r>
        <w:t xml:space="preserve">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as properties of the models alone (§8.4).</w:t>
      </w:r>
      <w:r>
        <w:t xml:space="preserve"> </w:t>
      </w:r>
      <w:r>
        <w:t xml:space="preserve">The claims the paper verifies are within-model comparisons between arms, where the transport is</w:t>
      </w:r>
      <w:r>
        <w:t xml:space="preserve"> </w:t>
      </w:r>
      <w:r>
        <w:t xml:space="preserve">held fixed and cancels.</w:t>
      </w:r>
    </w:p>
    <w:bookmarkEnd w:id="76"/>
    <w:bookmarkStart w:id="77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verifier, summarised as a</w:t>
      </w:r>
      <w:r>
        <w:t xml:space="preserve"> </w:t>
      </w:r>
      <w:r>
        <w:t xml:space="preserve">count. Uncertainty is carried by exact Clopper–Pearson intervals rather than a normal</w:t>
      </w:r>
      <w:r>
        <w:t xml:space="preserve"> </w:t>
      </w:r>
      <w:r>
        <w:t xml:space="preserve">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where the approximation is worst</w:t>
      </w:r>
      <w:r>
        <w:t xml:space="preserve"> </w:t>
      </w:r>
      <w:r>
        <w:t xml:space="preserve">(). Multiplicity is paid explicitly by a union bound whose family is stated</w:t>
      </w:r>
      <w:r>
        <w:t xml:space="preserve"> </w:t>
      </w:r>
      <w:r>
        <w:t xml:space="preserve">with each claim: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for an incomparability verification</w:t>
      </w:r>
      <w:r>
        <w:t xml:space="preserve"> </w:t>
      </w:r>
      <w:r>
        <w:t xml:space="preserve">(Proposition 3), two endpoints for a harm contrast</w:t>
      </w:r>
      <w:r>
        <w:t xml:space="preserve"> </w:t>
      </w:r>
      <w:r>
        <w:t xml:space="preserve">(Proposition 4). No result is reported as significant without naming the</w:t>
      </w:r>
      <w:r>
        <w:t xml:space="preserve"> </w:t>
      </w:r>
      <w:r>
        <w:t xml:space="preserve">family it was corrected in, and §6.5 states which conjunctions are controlled</w:t>
      </w:r>
      <w:r>
        <w:t xml:space="preserve"> </w:t>
      </w:r>
      <w:r>
        <w:t xml:space="preserve">jointly and which only marginally.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7"/>
    <w:bookmarkStart w:id="78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Appendix C gives the decoding configuration, the retry and</w:t>
      </w:r>
      <w:r>
        <w:t xml:space="preserve"> </w:t>
      </w:r>
      <w:r>
        <w:t xml:space="preserve">outage policy, and the cells that were re-measured, with why.</w:t>
      </w:r>
    </w:p>
    <w:bookmarkEnd w:id="78"/>
    <w:bookmarkStart w:id="79" w:name="what-verified-means-in-plain-terms."/>
    <w:p>
      <w:pPr>
        <w:pStyle w:val="Heading4"/>
      </w:pPr>
      <w:r>
        <w:t xml:space="preserve">What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means, in plain terms.</w:t>
      </w:r>
    </w:p>
    <w:p>
      <w:pPr>
        <w:pStyle w:val="FirstParagraph"/>
      </w:pPr>
      <w:r>
        <w:t xml:space="preserve">Every claim labeled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is statistically significant in the standard sense and then</w:t>
      </w:r>
      <w:r>
        <w:t xml:space="preserve"> </w:t>
      </w:r>
      <w:r>
        <w:t xml:space="preserve">corrected for multiplicity: PASS rates are estimated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per cell,</w:t>
      </w:r>
      <w:r>
        <w:t xml:space="preserve"> </w:t>
      </w:r>
      <w:r>
        <w:t xml:space="preserve">uncertainty is carried by exact binomial (Clopper–Pearson) confidence intervals under the</w:t>
      </w:r>
      <w:r>
        <w:t xml:space="preserve"> </w:t>
      </w:r>
      <w:r>
        <w:t xml:space="preserve">per-cell Bernoulli model of Assumption 2, and each family of claims is corrected by a</w:t>
      </w:r>
      <w:r>
        <w:t xml:space="preserve"> </w:t>
      </w:r>
      <w:r>
        <w:t xml:space="preserve">union bound, so the</w:t>
      </w:r>
      <w:r>
        <w:t xml:space="preserve"> </w:t>
      </w:r>
      <w:r>
        <w:t xml:space="preserve">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(all incomparability cells, or the arms of one interference</w:t>
      </w:r>
      <w:r>
        <w:t xml:space="preserve"> </w:t>
      </w:r>
      <w:r>
        <w:t xml:space="preserve">contrast) hold jointly with probability at least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. We do not claim joint control across</w:t>
      </w:r>
      <w:r>
        <w:t xml:space="preserve"> </w:t>
      </w:r>
      <w:r>
        <w:t xml:space="preserve">families drawn from the same run; that limitation is stated where it bites</w:t>
      </w:r>
      <w:r>
        <w:t xml:space="preserve"> </w:t>
      </w:r>
      <w:r>
        <w:t xml:space="preserve">(§6.5). For the effect sizes at stake,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versus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intervals stay separated by a wide margin even after correction.</w:t>
      </w:r>
      <w:r>
        <w:t xml:space="preserve"> </w:t>
      </w:r>
      <w:r>
        <w:t xml:space="preserve">Results whose intervals did not separate are 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</w:t>
      </w:r>
      <w:r>
        <w:t xml:space="preserve"> </w:t>
      </w:r>
      <w:r>
        <w:t xml:space="preserve">never used as evidence; the protocol reports its own insufficiency rather than hiding it.</w:t>
      </w:r>
    </w:p>
    <w:bookmarkEnd w:id="79"/>
    <w:bookmarkStart w:id="80" w:name="verification-parameters."/>
    <w:p>
      <w:pPr>
        <w:pStyle w:val="Heading4"/>
      </w:pPr>
      <w:r>
        <w:t xml:space="preserve">Verification parameters.</w:t>
      </w:r>
    </w:p>
    <w:p>
      <w:pPr>
        <w:pStyle w:val="FirstParagraph"/>
      </w:pPr>
      <w:r>
        <w:t xml:space="preserve">All verifications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harm verification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the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verifying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;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descriptively only</w:t>
      </w:r>
      <w:r>
        <w:t xml:space="preserve"> </w:t>
      </w:r>
      <w:r>
        <w:t xml:space="preserve">(Remark 9). We report each verification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(§6.5, §8.4).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interval 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 Figure</w:t>
      </w:r>
      <w:r>
        <w:t xml:space="preserve"> </w:t>
      </w:r>
      <w:r>
        <w:t xml:space="preserve">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0.872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the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cells with intermediate proportions need a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the same margin.</w:t>
      </w:r>
    </w:p>
    <w:bookmarkEnd w:id="80"/>
    <w:bookmarkStart w:id="81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level;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the verified conclusions are not sensitive to tightening it.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</w:t>
      </w:r>
      <w:r>
        <w:t xml:space="preserve"> </w:t>
      </w:r>
      <w:r>
        <w:t xml:space="preserve">materiality 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</w:t>
      </w:r>
      <w:r>
        <w:t xml:space="preserve"> </w:t>
      </w:r>
      <w:r>
        <w:t xml:space="preserve">the interval 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</w:t>
      </w:r>
      <w:r>
        <w:t xml:space="preserve"> </w:t>
      </w:r>
      <w:r>
        <w:t xml:space="preserve">work. The verified collapses clear it with upper confidence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5), and the character-matched padding control clears it at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. One</w:t>
      </w:r>
      <w:r>
        <w:t xml:space="preserve"> </w:t>
      </w:r>
      <w:r>
        <w:t xml:space="preserve">real effect fails it and is reported as unverified rather than folded in: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(upper</w:t>
      </w:r>
      <w:r>
        <w:t xml:space="preserve"> </w:t>
      </w:r>
      <m:oMath>
        <m:r>
          <m:rPr>
            <m:sty m:val="p"/>
          </m:rPr>
          <m:t>−</m:t>
        </m:r>
        <m:r>
          <m:t>0.11</m:t>
        </m:r>
      </m:oMath>
      <w:r>
        <w:t xml:space="preserve">; a ceiling the raw-failure audit traces to an omitted</w:t>
      </w:r>
      <w:r>
        <w:t xml:space="preserve"> </w:t>
      </w:r>
      <w:r>
        <w:t xml:space="preserve">import line, not to the contract, §7.5.1), which still falls short at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 </w:t>
      </w:r>
      <w:r>
        <w:t xml:space="preserve">once the import is neutralized. A threshold that a genuine effect fails is evidence it was not</w:t>
      </w:r>
      <w:r>
        <w:t xml:space="preserve"> </w:t>
      </w:r>
      <w:r>
        <w:t xml:space="preserve">tuned to pass the data. We note that the second-pair contrast, reported in an earlier version as</w:t>
      </w:r>
      <w:r>
        <w:t xml:space="preserve"> </w:t>
      </w:r>
      <w:r>
        <w:t xml:space="preserve">sign-only, clears the margin 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once the confidence budget is allocated correctly</w:t>
      </w:r>
      <w:r>
        <w:t xml:space="preserve"> </w:t>
      </w:r>
      <w:r>
        <w:t xml:space="preserve">(§7.5); the earlier shortfall was an artifact of spending two-sided</w:t>
      </w:r>
      <w:r>
        <w:t xml:space="preserve"> </w:t>
      </w:r>
      <w:r>
        <w:t xml:space="preserve">intervals on a one-sided bound, not a property of that effect.</w:t>
      </w:r>
    </w:p>
    <w:bookmarkEnd w:id="81"/>
    <w:bookmarkStart w:id="82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</w:t>
      </w:r>
      <w:r>
        <w:t xml:space="preserve"> </w:t>
      </w:r>
      <w:r>
        <w:t xml:space="preserve">success probability per cell. They carry nothing else, and two components outside them are larger</w:t>
      </w:r>
      <w:r>
        <w:t xml:space="preserve"> </w:t>
      </w:r>
      <w:r>
        <w:t xml:space="preserve">than they 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the re-measurement of §7.5.2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 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 outside the nominal intervals for those cells, and Sonnet’s failure mode changed</w:t>
      </w:r>
      <w:r>
        <w:t xml:space="preserve"> </w:t>
      </w:r>
      <w:r>
        <w:t xml:space="preserve">category entirely.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the raw-failure audit traces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 on</w:t>
      </w:r>
      <w:r>
        <w:t xml:space="preserve"> </w:t>
      </w:r>
      <w:r>
        <w:t xml:space="preserve">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</w:t>
      </w:r>
      <w:r>
        <w:t xml:space="preserve"> </w:t>
      </w:r>
      <w:r>
        <w:t xml:space="preserve">(model snapshot, prompt, default decoder) triple,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(§3.3), and</w:t>
      </w:r>
      <w:r>
        <w:t xml:space="preserve"> </w:t>
      </w:r>
      <w:r>
        <w:t xml:space="preserve">not a property of a vendor’s model line. The estimates apply to the evaluated model snapshot,</w:t>
      </w:r>
      <w:r>
        <w:t xml:space="preserve"> </w:t>
      </w:r>
      <w:r>
        <w:t xml:space="preserve">prompt and decoder configuration, and we read them as a</w:t>
      </w:r>
      <w:r>
        <w:t xml:space="preserve"> </w:t>
      </w:r>
      <w:r>
        <w:t xml:space="preserve">weakness: the re-measurement bounds the drift component empirically, and the direction of every</w:t>
      </w:r>
      <w:r>
        <w:t xml:space="preserve"> </w:t>
      </w:r>
      <w:r>
        <w:t xml:space="preserve">verdict survived it.</w:t>
      </w:r>
    </w:p>
    <w:bookmarkEnd w:id="82"/>
    <w:bookmarkStart w:id="83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verification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2); the four</w:t>
      </w:r>
      <w:r>
        <w:t xml:space="preserve"> </w:t>
      </w:r>
      <w:r>
        <w:t xml:space="preserve">arms within a cell are separate completions, and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an independent call with no</w:t>
      </w:r>
      <w:r>
        <w:t xml:space="preserve"> </w:t>
      </w:r>
      <w:r>
        <w:t xml:space="preserve">shared state. We report the decoding parameters, seeding</w:t>
      </w:r>
      <w:r>
        <w:t xml:space="preserve"> </w:t>
      </w:r>
      <w:r>
        <w:t xml:space="preserve">policy, and retry policy in Appendix C.</w:t>
      </w:r>
    </w:p>
    <w:bookmarkEnd w:id="83"/>
    <w:bookmarkEnd w:id="84"/>
    <w:bookmarkStart w:id="96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(§7.4.1), the relevance mis-rank</w:t>
      </w:r>
      <w:r>
        <w:t xml:space="preserve"> </w:t>
      </w:r>
      <w:r>
        <w:t xml:space="preserve">(§7.4.2), anti-monotonicity (§7.4.3), and the</w:t>
      </w:r>
      <w:r>
        <w:t xml:space="preserve"> </w:t>
      </w:r>
      <w:r>
        <w:t xml:space="preserve">model-relative value of private context (§7.4.4). Table 3</w:t>
      </w:r>
      <w:r>
        <w:t xml:space="preserve"> </w:t>
      </w:r>
      <w:r>
        <w:t xml:space="preserve">consolidates the per-model verdicts; Tables 5 and A1 give the</w:t>
      </w:r>
      <w:r>
        <w:t xml:space="preserve"> </w:t>
      </w:r>
      <w:r>
        <w:t xml:space="preserve">underlying quantities.</w:t>
      </w:r>
    </w:p>
    <w:bookmarkStart w:id="86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rPr>
          <w:i/>
          <w:iCs/>
        </w:rPr>
        <w:t xml:space="preserve">Question: do the two sources cross in realized pass rate, and does the crossing survive the multiplicity of choosing which cell carries it?</w:t>
      </w:r>
    </w:p>
    <w:p>
      <w:pPr>
        <w:pStyle w:val="BodyText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3).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giving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0.762</m:t>
        </m:r>
      </m:oMath>
      <w:r>
        <w:t xml:space="preserve">, far clear of zero.</w:t>
      </w:r>
    </w:p>
    <w:bookmarkStart w:id="85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DeepSeek-V4-Pro’s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0.263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3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End w:id="85"/>
    <w:bookmarkEnd w:id="86"/>
    <w:bookmarkStart w:id="88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rPr>
          <w:i/>
          <w:iCs/>
        </w:rPr>
        <w:t xml:space="preserve">Question: on a task whose vocabulary points the wrong way, which source do deployed relevance scorers put first, and does any of them recover the one that passes?</w:t>
      </w:r>
    </w:p>
    <w:p>
      <w:pPr>
        <w:pStyle w:val="BodyText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bookmarkStart w:id="87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4 reports the induced rankings.</w:t>
      </w:r>
      <w:r>
        <w:t xml:space="preserve"> </w:t>
      </w:r>
      <w:r>
        <w:rPr>
          <w:b/>
          <w:bCs/>
        </w:rPr>
        <w:t xml:space="preserve">Every feature-based</w:t>
      </w:r>
      <w:r>
        <w:rPr>
          <w:b/>
          <w:bCs/>
        </w:rPr>
        <w:t xml:space="preserve"> </w:t>
      </w:r>
      <w:r>
        <w:rPr>
          <w:b/>
          <w:bCs/>
        </w:rPr>
        <w:t xml:space="preserve">ranker we tested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6).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7"/>
    <w:bookmarkEnd w:id="88"/>
    <w:bookmarkStart w:id="94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rPr>
          <w:i/>
          <w:iCs/>
        </w:rPr>
        <w:t xml:space="preserve">Question: does adding a second correct source to a working prompt lower the pass rate, and is the drop larger than the margin</w:t>
      </w:r>
      <w:r>
        <w:rPr>
          <w:i/>
          <w:iCs/>
        </w:rPr>
        <w:t xml:space="preserve"> </w:t>
      </w:r>
      <m:oMath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we fixed in advance?</w:t>
      </w:r>
    </w:p>
    <w:p>
      <w:pPr>
        <w:pStyle w:val="BodyText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eleven of the twelve API cells, two per</w:t>
      </w:r>
      <w:r>
        <w:t xml:space="preserve"> </w:t>
      </w:r>
      <w:r>
        <w:t xml:space="preserve">model, and so on at least one cell for all six models (Table 5). Those</w:t>
      </w:r>
      <w:r>
        <w:t xml:space="preserve"> </w:t>
      </w:r>
      <w:r>
        <w:t xml:space="preserve">eleven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cell. The conjunction</w:t>
      </w:r>
      <w:r>
        <w:t xml:space="preserve"> </w:t>
      </w:r>
      <w:r>
        <w:t xml:space="preserve">can be bought from the same records: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i.e. a</w:t>
      </w:r>
      <w:r>
        <w:t xml:space="preserve"> </w:t>
      </w:r>
      <w:r>
        <w:t xml:space="preserve">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ten of the twelve still clear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w:r>
        <w:t xml:space="preserve">and every one of the six models keeps at least one cell that does. The roster-level statement</w:t>
      </w:r>
      <w:r>
        <w:t xml:space="preserve"> </w:t>
      </w:r>
      <w:r>
        <w:t xml:space="preserve">“on each of these six models some strict superset verifiably harms some 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two cells that drop out</w:t>
      </w:r>
      <w:r>
        <w:t xml:space="preserve"> </w:t>
      </w:r>
      <w:r>
        <w:t xml:space="preserve">under the joint budget are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(which does not clear marginally</w:t>
      </w:r>
      <w:r>
        <w:t xml:space="preserve"> </w:t>
      </w:r>
      <w:r>
        <w:t xml:space="preserve">either) and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; the mildest 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and the one cell that does</w:t>
      </w:r>
      <w:r>
        <w:t xml:space="preserve"> </w:t>
      </w:r>
      <w:r>
        <w:t xml:space="preserve">not clear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depressed by an unrelated import</w:t>
      </w:r>
      <w:r>
        <w:t xml:space="preserve"> </w:t>
      </w:r>
      <w:r>
        <w:t xml:space="preserve">slip (§7.5.1). All eleven survive a Bonferroni correction across the two cells</w:t>
      </w:r>
      <w:r>
        <w:t xml:space="preserve"> </w:t>
      </w:r>
      <w:r>
        <w:t xml:space="preserve">within each model, the tightest being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. This is a</w:t>
      </w:r>
      <w:r>
        <w:t xml:space="preserve"> </w:t>
      </w:r>
      <w:r>
        <w:t xml:space="preserve">verified empirical 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</w:t>
      </w:r>
      <w:r>
        <w:t xml:space="preserve"> </w:t>
      </w:r>
      <w:r>
        <w:t xml:space="preserve">(Theorem 3):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Table A1 gives the same collapse arm by arm for every model;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reads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only because about half its replies omit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while calling the contract correctly (§7.5.1), and its verified collapse is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bookmarkStart w:id="91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t xml:space="preserve">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 so the empirical</w:t>
      </w:r>
      <w:r>
        <w:t xml:space="preserve"> </w:t>
      </w:r>
      <w:r>
        <w:t xml:space="preserve">summary is the two-element 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</w:t>
      </w:r>
      <w:r>
        <w:t xml:space="preserve"> </w:t>
      </w:r>
      <w:r>
        <w:t xml:space="preserve">represent (Figure 1).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</w:t>
      </w:r>
      <w:r>
        <w:t xml:space="preserve"> </w:t>
      </w:r>
      <w:r>
        <w:t xml:space="preserve">so we take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then</w:t>
      </w:r>
      <w:r>
        <w:t xml:space="preserve"> </w:t>
      </w:r>
      <w:r>
        <w:t xml:space="preserve">hold jointly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 this gives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so the</w:t>
      </w:r>
      <w:r>
        <w:t xml:space="preserve"> </w:t>
      </w:r>
      <w:r>
        <w:t xml:space="preserve">incomparable pair is verified. 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</w:t>
      </w:r>
      <w:r>
        <w:t xml:space="preserve"> </w:t>
      </w:r>
      <w:r>
        <w:t xml:space="preserve">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0.6556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t xml:space="preserve">verifies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does not dominate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verifies the converse, so neither dominates the other. (An upper</w:t>
      </w:r>
      <w:r>
        <w:t xml:space="preserve"> </w:t>
      </w:r>
      <w:r>
        <w:t xml:space="preserve">bound could not carry either claim: it bounds how large the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</w:t>
      </w:r>
      <w:r>
        <w:t xml:space="preserve"> </w:t>
      </w:r>
      <w:r>
        <w:t xml:space="preserve">one exists.) The remaining relation is the one the front turns on, and there only an upper bound</w:t>
      </w:r>
      <w:r>
        <w:t xml:space="preserve"> </w:t>
      </w:r>
      <w:r>
        <w:t xml:space="preserve">is available: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-dominance, not an exact</w:t>
      </w:r>
      <w:r>
        <w:t xml:space="preserve"> </w:t>
      </w:r>
      <w:r>
        <w:t xml:space="preserve">one, and it says 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.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therefore licensed only up to that margin. What the coverage event</w:t>
      </w:r>
      <w:r>
        <w:t xml:space="preserve"> </w:t>
      </w:r>
      <w:r>
        <w:t xml:space="preserve">establishes exactly is the 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reading, since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regardless.</w:t>
      </w:r>
    </w:p>
    <w:bookmarkStart w:id="89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Blackwell order for the optimal user, where the</w:t>
      </w:r>
      <w:r>
        <w:t xml:space="preserve"> </w:t>
      </w:r>
      <w:r>
        <w:t xml:space="preserve">superset reveals both coordinates and dominates.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9"/>
    <w:bookmarkStart w:id="90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eleven of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ten clear, and every model keeps at least one. The one cell that</w:t>
      </w:r>
      <w:r>
        <w:t xml:space="preserve"> </w:t>
      </w:r>
      <w:r>
        <w:t xml:space="preserve">never clears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depressed by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rather than by the contract (§7.5.1). Values are those of</w:t>
      </w:r>
      <w:r>
        <w:t xml:space="preserve"> </w:t>
      </w:r>
      <w:r>
        <w:t xml:space="preserve">Table 5, recomputed from the released per-cell counts.</w:t>
      </w:r>
    </w:p>
    <w:bookmarkEnd w:id="90"/>
    <w:bookmarkEnd w:id="91"/>
    <w:bookmarkStart w:id="92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The collapse is not a lost-in-the-middle or recency artifact. The character-matched padding control</w:t>
      </w:r>
      <w:r>
        <w:t xml:space="preserve"> </w:t>
      </w:r>
      <w:r>
        <w:t xml:space="preserve">(Appendix B) puts filler in the same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; holding position fixed and</w:t>
      </w:r>
      <w:r>
        <w:t xml:space="preserve"> </w:t>
      </w:r>
      <w:r>
        <w:t xml:space="preserve">changing only the content is what turns a harmless arm into a harmful one, so the cause is the</w:t>
      </w:r>
      <w:r>
        <w:t xml:space="preserve"> </w:t>
      </w:r>
      <w:r>
        <w:t xml:space="preserve">added signal, not where it sits. Order is controlled directly, by a 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measured in the same</w:t>
      </w:r>
      <w:r>
        <w:t xml:space="preserve"> </w:t>
      </w:r>
      <w:r>
        <w:t xml:space="preserve">single-shot regime and at the same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blackwell_order_ss_n40</w:t>
      </w:r>
      <w:r>
        <w:t xml:space="preserve">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calls). On the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cell the</w:t>
      </w:r>
      <w:r>
        <w:t xml:space="preserve"> </w:t>
      </w:r>
      <w:r>
        <w:t xml:space="preserve">two orderings are indistinguishable: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while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score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, each verified harmful at</w:t>
      </w:r>
      <w:r>
        <w:t xml:space="preserve"> </w:t>
      </w:r>
      <m:oMath>
        <m:r>
          <m:rPr>
            <m:sty m:val="p"/>
          </m:rPr>
          <m:t>−</m:t>
        </m:r>
        <m:r>
          <m:t>0.77</m:t>
        </m:r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reversal makes matters worse rather than better,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first and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first. Moving the added block out of the primacy slot therefore</w:t>
      </w:r>
      <w:r>
        <w:t xml:space="preserve"> </w:t>
      </w:r>
      <w:r>
        <w:t xml:space="preserve">recovers nothing, and on one cell costs more, so the collapse is not a primacy or recency</w:t>
      </w:r>
      <w:r>
        <w:t xml:space="preserve"> </w:t>
      </w:r>
      <w:r>
        <w:t xml:space="preserve">artifact. Two things this does not settle: it is one model, and it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 rather than the contribution of position to the size of the harm.</w:t>
      </w:r>
    </w:p>
    <w:bookmarkEnd w:id="92"/>
    <w:bookmarkStart w:id="93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%</m:t>
        </m:r>
      </m:oMath>
      <w:r>
        <w:t xml:space="preserve">: the middle model (Sonnet) shows the</w:t>
      </w:r>
      <w:r>
        <w:t xml:space="preserve"> </w:t>
      </w:r>
      <w:r>
        <w:t xml:space="preserve">starkest collapse and the strongest (Opus) the mildest. An earlier two-point reading suggested the</w:t>
      </w:r>
      <w:r>
        <w:t xml:space="preserve"> </w:t>
      </w:r>
      <w:r>
        <w:t xml:space="preserve">harm</w:t>
      </w:r>
      <w:r>
        <w:t xml:space="preserve"> </w:t>
      </w:r>
      <w:r>
        <w:t xml:space="preserve">“intensifies with strength”</w:t>
      </w:r>
      <w:r>
        <w:t xml:space="preserve">; the third point falsifies that, and we claim only robustness</w:t>
      </w:r>
      <w:r>
        <w:t xml:space="preserve"> </w:t>
      </w:r>
      <w:r>
        <w:t xml:space="preserve">across the ladder, not a capability trend. The re-measurement of</w:t>
      </w:r>
      <w:r>
        <w:t xml:space="preserve"> </w:t>
      </w:r>
      <w:r>
        <w:t xml:space="preserve">§7.5.2 sharpens this: on fresh draws all three Anthropic models collapse to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3</m:t>
        </m:r>
        <m:r>
          <m:rPr>
            <m:sty m:val="p"/>
          </m:rPr>
          <m:t>%</m:t>
        </m:r>
      </m:oMath>
      <w:r>
        <w:t xml:space="preserve">, so the spread that made Opus look mildest does not persist, and the ladder is flat</w:t>
      </w:r>
      <w:r>
        <w:t xml:space="preserve"> </w:t>
      </w:r>
      <w:r>
        <w:t xml:space="preserve">rather than ordered. What survives is the negative claim, not the ranking that motivated it.</w:t>
      </w:r>
    </w:p>
    <w:bookmarkEnd w:id="93"/>
    <w:bookmarkEnd w:id="94"/>
    <w:bookmarkStart w:id="95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rPr>
          <w:i/>
          <w:iCs/>
        </w:rPr>
        <w:t xml:space="preserve">Question: how much of each private convention can a model supply on its own, and does that quantity order with capability?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Haiku and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3).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§3.3,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 Anthropic the ordering</w:t>
      </w:r>
      <w:r>
        <w:t xml:space="preserve"> </w:t>
      </w:r>
      <w:r>
        <w:t xml:space="preserve">is not by capability either: Sonnet guesses least (</w:t>
      </w:r>
      <m:oMath>
        <m:r>
          <m:t>0</m:t>
        </m:r>
        <m:r>
          <m:rPr>
            <m:sty m:val="p"/>
          </m:rPr>
          <m:t>%</m:t>
        </m:r>
      </m:oMath>
      <w:r>
        <w:t xml:space="preserve">) while the stronger Opus guesses more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%</m:t>
        </m:r>
      </m:oMath>
      <w:r>
        <w:t xml:space="preserve">).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5"/>
    <w:bookmarkEnd w:id="96"/>
    <w:bookmarkStart w:id="102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the battery-wide dominance control</w:t>
      </w:r>
      <w:r>
        <w:t xml:space="preserve"> </w:t>
      </w:r>
      <w:r>
        <w:t xml:space="preserve">verifying one-directionally there 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0.113</m:t>
        </m:r>
      </m:oMath>
      <w:r>
        <w:t xml:space="preserve">) and a single-cell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giving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; that pair was measured in the agentic regime, not the single-shot one;</w:t>
      </w:r>
      <w:r>
        <w:t xml:space="preserve"> </w:t>
      </w:r>
      <w:r>
        <w:t xml:space="preserve">its harm contrast is verified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),</w:t>
      </w:r>
      <w:r>
        <w:t xml:space="preserve"> </w:t>
      </w:r>
      <w:r>
        <w:t xml:space="preserve">so the second pair carries both incomparability and harm.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harm verified, upper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), attributing the collapse to the</w:t>
      </w:r>
      <w:r>
        <w:t xml:space="preserve"> </w:t>
      </w:r>
      <w:r>
        <w:t xml:space="preserve">added signal rather than by the filler of equal character length.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verified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Start w:id="98" w:name="sec:results-audit"/>
    <w:p>
      <w:pPr>
        <w:pStyle w:val="Heading3"/>
      </w:pPr>
      <w:r>
        <w:t xml:space="preserve">Raw-failure audit: what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measures</w:t>
      </w:r>
    </w:p>
    <w:p>
      <w:pPr>
        <w:pStyle w:val="FirstParagraph"/>
      </w:pPr>
      <w:r>
        <w:rPr>
          <w:i/>
          <w:iCs/>
        </w:rPr>
        <w:t xml:space="preserve">Question: when a cell fails, what does the reply actually get wrong, and is the failure the mechanism this paper describes or an artifact of packaging?</w:t>
      </w:r>
    </w:p>
    <w:p>
      <w:pPr>
        <w:pStyle w:val="BodyText"/>
      </w:pPr>
      <w:r>
        <w:t xml:space="preserve">One cell in Table A1 is anomalous: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scores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while scoring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harder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under the same</w:t>
      </w:r>
      <w:r>
        <w:t xml:space="preserve"> </w:t>
      </w:r>
      <w:r>
        <w:t xml:space="preserve">source, and the pattern is stable across the five distinct single-shot Haiku runs that measure</w:t>
      </w:r>
      <w:r>
        <w:t xml:space="preserve"> </w:t>
      </w:r>
      <w:r>
        <w:t xml:space="preserve">this cell (</w:t>
      </w:r>
      <m:oMath>
        <m:r>
          <m:t>42</m:t>
        </m:r>
      </m:oMath>
      <w:r>
        <w:t xml:space="preserve">–</w:t>
      </w:r>
      <m:oMath>
        <m:r>
          <m:t>58</m:t>
        </m:r>
        <m:r>
          <m:rPr>
            <m:sty m:val="p"/>
          </m:rPr>
          <m:t>%</m:t>
        </m:r>
      </m:oMath>
      <w:r>
        <w:t xml:space="preserve">; a sixth result file,</w:t>
      </w:r>
      <w:r>
        <w:t xml:space="preserve"> </w:t>
      </w:r>
      <w:r>
        <w:rPr>
          <w:rStyle w:val="VerbatimChar"/>
        </w:rPr>
        <w:t xml:space="preserve">blackwell_haiku_singleshot_n40</w:t>
      </w:r>
      <w:r>
        <w:t xml:space="preserve">, is</w:t>
      </w:r>
      <w:r>
        <w:t xml:space="preserve"> </w:t>
      </w:r>
      <w:r>
        <w:t xml:space="preserve">byte-identical to</w:t>
      </w:r>
      <w:r>
        <w:t xml:space="preserve"> </w:t>
      </w:r>
      <w:r>
        <w:rPr>
          <w:rStyle w:val="VerbatimChar"/>
        </w:rPr>
        <w:t xml:space="preserve">blackwell_haiku_ss_n40</w:t>
      </w:r>
      <w:r>
        <w:t xml:space="preserve"> </w:t>
      </w:r>
      <w:r>
        <w:t xml:space="preserve">and is the same run, not a further</w:t>
      </w:r>
      <w:r>
        <w:t xml:space="preserve"> </w:t>
      </w:r>
      <w:r>
        <w:t xml:space="preserve">replicate). Because the</w:t>
      </w:r>
      <w:r>
        <w:t xml:space="preserve"> </w:t>
      </w:r>
      <w:r>
        <w:t xml:space="preserve">published harness does not retain raw completions, we re-drew the cell keeping every reply, the</w:t>
      </w:r>
      <w:r>
        <w:t xml:space="preserve"> </w:t>
      </w:r>
      <w:r>
        <w:t xml:space="preserve">extracted code, and the verifier’s stderr (</w:t>
      </w:r>
      <w:r>
        <w:rPr>
          <w:rStyle w:val="VerbatimChar"/>
        </w:rPr>
        <w:t xml:space="preserve">results/diag/</w:t>
      </w:r>
      <w:r>
        <w:t xml:space="preserve">,</w:t>
      </w:r>
      <w:r>
        <w:t xml:space="preserve"> </w:t>
      </w:r>
      <w:r>
        <w:rPr>
          <w:rStyle w:val="VerbatimChar"/>
        </w:rPr>
        <w:t xml:space="preserve">harness/diag/</w:t>
      </w:r>
      <w:r>
        <w:t xml:space="preserve">). The</w:t>
      </w:r>
      <w:r>
        <w:t xml:space="preserve"> </w:t>
      </w:r>
      <w:r>
        <w:t xml:space="preserve">failures are uniform. In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draws the reply calls the private contract exactly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specifies,</w:t>
      </w:r>
      <w:r>
        <w:t xml:space="preserve"> </w:t>
      </w:r>
      <w:r>
        <w:rPr>
          <w:rStyle w:val="VerbatimChar"/>
        </w:rPr>
        <w:t xml:space="preserve">ledger.post(acct, cents, memo=note)</w:t>
      </w:r>
      <w:r>
        <w:t xml:space="preserve">, and every failure is the single omitted line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: PASS coincides with the presence of that line (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7</m:t>
        </m:r>
      </m:oMath>
      <w:r>
        <w:t xml:space="preserve">), and on</w:t>
      </w:r>
      <w:r>
        <w:t xml:space="preserve"> </w:t>
      </w:r>
      <w:r>
        <w:t xml:space="preserve">the control cell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same model writes the import in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8</m:t>
        </m:r>
      </m:oMath>
      <w:r>
        <w:t xml:space="preserve">. The cause is prompt</w:t>
      </w:r>
      <w:r>
        <w:t xml:space="preserve"> </w:t>
      </w:r>
      <w:r>
        <w:t xml:space="preserve">wording, not the contract: this task’s prompt names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which Haiku</w:t>
      </w:r>
      <w:r>
        <w:t xml:space="preserve"> </w:t>
      </w:r>
      <w:r>
        <w:t xml:space="preserve">reads as already in scope. An import-neutralized control then re-measures all four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a verifier that binds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into the solution’s namespace when the reply omitted the</w:t>
      </w:r>
      <w:r>
        <w:t xml:space="preserve"> </w:t>
      </w:r>
      <w:r>
        <w:t xml:space="preserve">import and is otherwise identical: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under both verifiers</w:t>
      </w:r>
      <w:r>
        <w:t xml:space="preserve"> </w:t>
      </w:r>
      <w:r>
        <w:t xml:space="preserve">(neutralization leaks nothing),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rises from</w:t>
      </w:r>
      <w:r>
        <w:t xml:space="preserve"> </w:t>
      </w:r>
      <m:oMath>
        <m:r>
          <m:t>23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21</m:t>
        </m:r>
        <m:r>
          <m:rPr>
            <m:sty m:val="p"/>
          </m:rPr>
          <m:t>/</m:t>
        </m:r>
        <m:r>
          <m:t>40</m:t>
        </m:r>
      </m:oMath>
      <w:r>
        <w:t xml:space="preserve">. The superset collapse on this cell is therefore real and has the mechanism the paper</w:t>
      </w:r>
      <w:r>
        <w:t xml:space="preserve"> </w:t>
      </w:r>
      <w:r>
        <w:t xml:space="preserve">describes: in the retained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replies the model applies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</w:t>
      </w:r>
      <w:r>
        <w:t xml:space="preserve"> </w:t>
      </w:r>
      <w:r>
        <w:t xml:space="preserve">amount and posts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With the import neutralized the</w:t>
      </w:r>
      <w:r>
        <w:t xml:space="preserve"> </w:t>
      </w:r>
      <w:r>
        <w:t xml:space="preserve">harm contrast is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, verified in sign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</w:t>
      </w:r>
      <w:r>
        <w:t xml:space="preserve"> </w:t>
      </w:r>
      <w:r>
        <w:t xml:space="preserve">(Table 5). We keep the original-protocol numbers in every table, since the</w:t>
      </w:r>
      <w:r>
        <w:t xml:space="preserve"> </w:t>
      </w:r>
      <w:r>
        <w:t xml:space="preserve">verifier is identical across models and the other five models include the import; the audit changes</w:t>
      </w:r>
      <w:r>
        <w:t xml:space="preserve"> </w:t>
      </w:r>
      <w:r>
        <w:t xml:space="preserve">the reading of one cell, not its measurement. Haiku’s verified claims rest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are unaffected.</w:t>
      </w:r>
    </w:p>
    <w:bookmarkStart w:id="97" w:name="packaging-is-not-the-confound."/>
    <w:p>
      <w:pPr>
        <w:pStyle w:val="Heading4"/>
      </w:pPr>
      <w:r>
        <w:t xml:space="preserve">Packaging is not the confound.</w:t>
      </w:r>
    </w:p>
    <w:p>
      <w:pPr>
        <w:pStyle w:val="FirstParagraph"/>
      </w:pPr>
      <w:r>
        <w:t xml:space="preserve">The same retained draws answer a second question, and</w:t>
      </w:r>
      <w:r>
        <w:t xml:space="preserve"> </w:t>
      </w:r>
      <w:r>
        <w:t xml:space="preserve">it is the one a reader should ask of any executable-verifier result: did the harness ever fail a</w:t>
      </w:r>
      <w:r>
        <w:t xml:space="preserve"> </w:t>
      </w:r>
      <w:r>
        <w:t xml:space="preserve">reply that in fact contained the right call? On this cell it did not. Across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draws the extractor returned code every time (zero empty extractions), all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contain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and none begins with prose. Code fences are</w:t>
      </w:r>
      <w:r>
        <w:t xml:space="preserve"> </w:t>
      </w:r>
      <w:r>
        <w:t xml:space="preserve">if anything commoner among the</w:t>
      </w:r>
      <w:r>
        <w:t xml:space="preserve"> </w:t>
      </w:r>
      <w:r>
        <w:rPr>
          <w:i/>
          <w:iCs/>
        </w:rPr>
        <w:t xml:space="preserve">passing</w:t>
      </w:r>
      <w:r>
        <w:t xml:space="preserve"> </w:t>
      </w:r>
      <w:r>
        <w:t xml:space="preserve">draws (</w:t>
      </w:r>
      <m:oMath>
        <m:r>
          <m:t>5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passes against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32</m:t>
        </m:r>
      </m:oMath>
      <w:r>
        <w:t xml:space="preserve"> </w:t>
      </w:r>
      <w:r>
        <w:t xml:space="preserve">failures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;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23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17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fencing does not predict failure: the extractor</w:t>
      </w:r>
      <w:r>
        <w:t xml:space="preserve"> </w:t>
      </w:r>
      <w:r>
        <w:t xml:space="preserve">strips it. What the audit does show is that the import slip carries more of this cell than the</w:t>
      </w:r>
      <w:r>
        <w:t xml:space="preserve"> </w:t>
      </w:r>
      <w:r>
        <w:t xml:space="preserve">mechanism does,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failures being the missing import alone against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carrying the</w:t>
      </w:r>
      <w:r>
        <w:t xml:space="preserve"> </w:t>
      </w:r>
      <w:r>
        <w:t xml:space="preserve">wire-encoded amount. The two separate cleanly: under the neutralized verifier exactly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draws</w:t>
      </w:r>
      <w:r>
        <w:t xml:space="preserve"> </w:t>
      </w:r>
      <w:r>
        <w:t xml:space="preserve">still fail, and they are exactly the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that applied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convention to a plain-cents amount,</w:t>
      </w:r>
      <w:r>
        <w:t xml:space="preserve"> </w:t>
      </w:r>
      <w:r>
        <w:t xml:space="preserve">with no exception in either direction. Removing the artifact therefore leaves a residual harm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0.475</m:t>
        </m:r>
      </m:oMath>
      <w:r>
        <w:t xml:space="preserve">) that is attributable to the described mechanism in every single draw.</w:t>
      </w:r>
    </w:p>
    <w:bookmarkEnd w:id="97"/>
    <w:bookmarkEnd w:id="98"/>
    <w:bookmarkStart w:id="101" w:name="sec:remeasure"/>
    <w:p>
      <w:pPr>
        <w:pStyle w:val="Heading3"/>
      </w:pPr>
      <w:r>
        <w:t xml:space="preserve">Re-measurement with retention across the roster</w:t>
      </w:r>
    </w:p>
    <w:p>
      <w:pPr>
        <w:pStyle w:val="FirstParagraph"/>
      </w:pPr>
      <w:r>
        <w:t xml:space="preserve">The published harness discards raw completions, so the audit above covers the one cell for which</w:t>
      </w:r>
      <w:r>
        <w:t xml:space="preserve"> </w:t>
      </w:r>
      <w:r>
        <w:t xml:space="preserve">they were kept. We therefore re-measured every verified interference cell with retention enabled,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under the published prompt for each backend, and scored each draw twice: under the</w:t>
      </w:r>
      <w:r>
        <w:t xml:space="preserve"> </w:t>
      </w:r>
      <w:r>
        <w:t xml:space="preserve">published verifier and under the import-neutralized one. Table 6 reports it.</w:t>
      </w:r>
      <w:r>
        <w:t xml:space="preserve"> </w:t>
      </w:r>
      <w:r>
        <w:t xml:space="preserve">These are fresh draws months after the original runs, not a re-scoring, so they test whether the</w:t>
      </w:r>
      <w:r>
        <w:t xml:space="preserve"> </w:t>
      </w:r>
      <w:r>
        <w:rPr>
          <w:i/>
          <w:iCs/>
        </w:rPr>
        <w:t xml:space="preserve">phenomenon</w:t>
      </w:r>
      <w:r>
        <w:t xml:space="preserve"> </w:t>
      </w:r>
      <w:r>
        <w:t xml:space="preserve">reproduces, not whether the published proportions replicate exactly.</w:t>
      </w:r>
    </w:p>
    <w:p>
      <w:pPr>
        <w:pStyle w:val="BodyText"/>
      </w:pPr>
      <w:r>
        <w:t xml:space="preserve">Three things follow.</w:t>
      </w:r>
      <w:r>
        <w:t xml:space="preserve"> </w:t>
      </w:r>
      <w:r>
        <w:rPr>
          <w:b/>
          <w:bCs/>
        </w:rPr>
        <w:t xml:space="preserve">(i) The collapse reproduces in every cell</w:t>
      </w:r>
      <w:r>
        <w:t xml:space="preserve">, with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1.000</m:t>
        </m:r>
      </m:oMath>
      <w:r>
        <w:t xml:space="preserve">; no cell failed to reproduce.</w:t>
      </w:r>
      <w:r>
        <w:t xml:space="preserve"> </w:t>
      </w:r>
      <w:r>
        <w:rPr>
          <w:b/>
          <w:bCs/>
        </w:rPr>
        <w:t xml:space="preserve">(ii) Packaging is never the cause</w:t>
      </w:r>
      <w:r>
        <w:t xml:space="preserve">: across</w:t>
      </w:r>
      <w:r>
        <w:t xml:space="preserve"> </w:t>
      </w:r>
      <w:r>
        <w:t xml:space="preserve">all</w:t>
      </w:r>
      <w:r>
        <w:t xml:space="preserve"> </w:t>
      </w:r>
      <m:oMath>
        <m:r>
          <m:t>880</m:t>
        </m:r>
      </m:oMath>
      <w:r>
        <w:t xml:space="preserve"> </w:t>
      </w:r>
      <w:r>
        <w:t xml:space="preserve">retained draws of these eleven cells the extractor returned a non-empty code block every</w:t>
      </w:r>
      <w:r>
        <w:t xml:space="preserve"> </w:t>
      </w:r>
      <w:r>
        <w:t xml:space="preserve">time, so no failure is an artifact of an empty extraction or of fencing. That is weaker than a</w:t>
      </w:r>
      <w:r>
        <w:t xml:space="preserve"> </w:t>
      </w:r>
      <w:r>
        <w:t xml:space="preserve">guarantee that every reply was well-formed Python; it rules out the packaging explanation, not</w:t>
      </w:r>
      <w:r>
        <w:t xml:space="preserve"> </w:t>
      </w:r>
      <w:r>
        <w:t xml:space="preserve">every formatting one.</w:t>
      </w:r>
      <w:r>
        <w:t xml:space="preserve"> </w:t>
      </w:r>
      <w:r>
        <w:rPr>
          <w:b/>
          <w:bCs/>
        </w:rPr>
        <w:t xml:space="preserve">(iii) The import artifact suppressed the measured harm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manufacturing it.</w:t>
      </w:r>
      <w:r>
        <w:t xml:space="preserve"> </w:t>
      </w:r>
      <w:r>
        <w:t xml:space="preserve">It falls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arm, not the superset arm, so neutralizing it deepens every</w:t>
      </w:r>
      <w:r>
        <w:t xml:space="preserve"> </w:t>
      </w:r>
      <w:r>
        <w:t xml:space="preserve">contrast it touches: DeepSeek’s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moves 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0.975</m:t>
        </m:r>
      </m:oMath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0.625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0.950</m:t>
        </m:r>
      </m:oMath>
      <w:r>
        <w:t xml:space="preserve">.</w:t>
      </w:r>
    </w:p>
    <w:bookmarkStart w:id="100" w:name="X6048aa77d89549cebd162582b87914a697e9c2a"/>
    <w:p>
      <w:pPr>
        <w:pStyle w:val="Heading4"/>
      </w:pPr>
      <w:r>
        <w:t xml:space="preserve">The mechanism is not universal: Sonnet refuses.</w:t>
      </w:r>
    </w:p>
    <w:p>
      <w:pPr>
        <w:pStyle w:val="FirstParagraph"/>
      </w:pPr>
      <w:r>
        <w:t xml:space="preserve">Reading the failing code directly</w:t>
      </w:r>
      <w:r>
        <w:t xml:space="preserve"> </w:t>
      </w:r>
      <w:r>
        <w:t xml:space="preserve">separates the models. We count over the draws that still fail once the import is neutralized, which</w:t>
      </w:r>
      <w:r>
        <w:t xml:space="preserve"> </w:t>
      </w:r>
      <w:r>
        <w:t xml:space="preserve">removes that confound from the attribution. On nine of the eleven cells the failure is then the one</w:t>
      </w:r>
      <w:r>
        <w:t xml:space="preserve"> </w:t>
      </w:r>
      <w:r>
        <w:t xml:space="preserve">this paper describes, the reply applying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 amount, in</w:t>
      </w:r>
      <w:r>
        <w:t xml:space="preserve"> </w:t>
      </w:r>
      <m:oMath>
        <m:r>
          <m:t>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 those draws per cell (</w:t>
      </w:r>
      <m:oMath>
        <m:r>
          <m:t>359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434</m:t>
        </m:r>
      </m:oMath>
      <w:r>
        <w:t xml:space="preserve"> </w:t>
      </w:r>
      <w:r>
        <w:t xml:space="preserve">across the roster, the shortfall being Sonnet). The</w:t>
      </w:r>
      <w:r>
        <w:t xml:space="preserve"> </w:t>
      </w:r>
      <w:r>
        <w:t xml:space="preserve">verifier’s own record is a stricter witness and agrees where it can speak: it logs a wire-format</w:t>
      </w:r>
      <w:r>
        <w:t xml:space="preserve"> </w:t>
      </w:r>
      <w:r>
        <w:t xml:space="preserve">string such as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the posted call in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draws per cell. The two counts</w:t>
      </w:r>
      <w:r>
        <w:t xml:space="preserve"> </w:t>
      </w:r>
      <w:r>
        <w:t xml:space="preserve">separate only where a missing import raises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before the call assertion executes,</w:t>
      </w:r>
      <w:r>
        <w:t xml:space="preserve"> </w:t>
      </w:r>
      <w:r>
        <w:t xml:space="preserve">so the posted value is never recorded; every such draw still fails under the neutralized verifier</w:t>
      </w:r>
      <w:r>
        <w:t xml:space="preserve"> </w:t>
      </w:r>
      <w:r>
        <w:t xml:space="preserve">and its code computes the encoding. Sonnet is the exception, and completely so.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of its superset</w:t>
      </w:r>
      <w:r>
        <w:t xml:space="preserve"> </w:t>
      </w:r>
      <w:r>
        <w:t xml:space="preserve">draws,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, decline the task, opening with a variant of</w:t>
      </w:r>
      <w:r>
        <w:t xml:space="preserve"> </w:t>
      </w:r>
      <w:r>
        <w:t xml:space="preserve">“I’m</w:t>
      </w:r>
      <w:r>
        <w:t xml:space="preserve"> </w:t>
      </w:r>
      <w:r>
        <w:t xml:space="preserve">flagging this as a likely prompt injection attempt”</w:t>
      </w:r>
      <w:r>
        <w:t xml:space="preserve"> </w:t>
      </w:r>
      <w:r>
        <w:t xml:space="preserve">and identifying the stacked</w:t>
      </w:r>
      <w:r>
        <w:t xml:space="preserve"> </w:t>
      </w:r>
      <w:r>
        <w:rPr>
          <w:rStyle w:val="VerbatimChar"/>
        </w:rPr>
        <w:t xml:space="preserve">TEAM CONTEXT (private)</w:t>
      </w:r>
      <w:r>
        <w:t xml:space="preserve"> </w:t>
      </w:r>
      <w:r>
        <w:t xml:space="preserve">blocks as injected instructions; the encoding error accounts for</w:t>
      </w:r>
      <w:r>
        <w:t xml:space="preserve"> </w:t>
      </w:r>
      <w:r>
        <w:t xml:space="preserve">only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39</m:t>
        </m:r>
      </m:oMath>
      <w:r>
        <w:t xml:space="preserve">. No other model on any arm produced such a reply. Sonnet’s refusals are not</w:t>
      </w:r>
      <w:r>
        <w:t xml:space="preserve"> </w:t>
      </w:r>
      <w:r>
        <w:t xml:space="preserve">confined to the superset, and counting them across all of its retained arms locates the trigger</w:t>
      </w:r>
      <w:r>
        <w:t xml:space="preserve"> </w:t>
      </w:r>
      <w:r>
        <w:t xml:space="preserve">elsewhere than in the number of blocks: an arm carrying only the block that is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for</w:t>
      </w:r>
      <w:r>
        <w:t xml:space="preserve"> </w:t>
      </w:r>
      <w:r>
        <w:t xml:space="preserve">its task draws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refusals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the trap and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while an arm carrying only a</w:t>
      </w:r>
      <w:r>
        <w:t xml:space="preserve"> </w:t>
      </w:r>
      <w:r>
        <w:rPr>
          <w:i/>
          <w:iCs/>
        </w:rPr>
        <w:t xml:space="preserve">non</w:t>
      </w:r>
      <w:r>
        <w:t xml:space="preserve">-decisive block draws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the same four tasks. A single private block is therefore</w:t>
      </w:r>
      <w:r>
        <w:t xml:space="preserve"> </w:t>
      </w:r>
      <w:r>
        <w:t xml:space="preserve">enough, when it does not serve the task at hand. On that reading the superset refuses because it</w:t>
      </w:r>
      <w:r>
        <w:t xml:space="preserve"> </w:t>
      </w:r>
      <w:r>
        <w:t xml:space="preserve">always contains a block the task does not need, which is the same mismatch the collapse turns on</w:t>
      </w:r>
      <w:r>
        <w:t xml:space="preserve"> </w:t>
      </w:r>
      <w:r>
        <w:t xml:space="preserve">rather than a separate effect of stacking. We state this as the pattern the retained draws show,</w:t>
      </w:r>
      <w:r>
        <w:t xml:space="preserve"> </w:t>
      </w:r>
      <w:r>
        <w:t xml:space="preserve">not as a mechanism: it rests on one model and four tasks.</w:t>
      </w:r>
      <w:r>
        <w:t xml:space="preserve"> </w:t>
      </w:r>
      <w:r>
        <w:t xml:space="preserve">Theorem 3 is indifferent to it, since it constrains any rule whose PASS</w:t>
      </w:r>
      <w:r>
        <w:t xml:space="preserve"> </w:t>
      </w:r>
      <w:r>
        <w:t xml:space="preserve">falls under a strict superset whatever the internal cause, and Sonnet’s PASS does fall. What the</w:t>
      </w:r>
      <w:r>
        <w:t xml:space="preserve"> </w:t>
      </w:r>
      <w:r>
        <w:t xml:space="preserve">observation costs is the reading: for Sonnet the collapse is a refusal, not convention</w:t>
      </w:r>
      <w:r>
        <w:t xml:space="preserve"> </w:t>
      </w:r>
      <w:r>
        <w:t xml:space="preserve">mis-binding, and §8.3 should be read with that exception in force. Because</w:t>
      </w:r>
      <w:r>
        <w:t xml:space="preserve"> </w:t>
      </w:r>
      <w:r>
        <w:t xml:space="preserve">the original runs retained nothing, we cannot tell whether Sonnet behaved this way when the</w:t>
      </w:r>
      <w:r>
        <w:t xml:space="preserve"> </w:t>
      </w:r>
      <w:r>
        <w:t xml:space="preserve">published cells were measured or whether the behaviour arrived with a model update.</w:t>
      </w:r>
    </w:p>
    <w:bookmarkStart w:id="99" w:name="tab:remeasure"/>
    <w:p>
      <w:pPr>
        <w:pStyle w:val="TableCaption"/>
      </w:pPr>
      <w:r>
        <w:t xml:space="preserve">Re-measurement with raw-completion retention,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fresh draws.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under the published verifier 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under the import-neutralized one.</w:t>
      </w:r>
      <w:r>
        <w:t xml:space="preserve"> </w:t>
      </w:r>
      <w:r>
        <w:t xml:space="preserve">“Mechanism”</w:t>
      </w:r>
      <w:r>
        <w:t xml:space="preserve"> </w:t>
      </w:r>
      <w:r>
        <w:t xml:space="preserve">counts, among the superset draws that still fail once the import is neutralized,</w:t>
      </w:r>
      <w:r>
        <w:t xml:space="preserve"> </w:t>
      </w:r>
      <w:r>
        <w:t xml:space="preserve">those that wire-encode the amount;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draws declining the task as a suspected</w:t>
      </w:r>
      <w:r>
        <w:t xml:space="preserve"> </w:t>
      </w:r>
      <w:r>
        <w:t xml:space="preserve">prompt injection, over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the arm. The two denominators therefore differ, and the</w:t>
      </w:r>
      <w:r>
        <w:t xml:space="preserve"> </w:t>
      </w:r>
      <w:r>
        <w:t xml:space="preserve">labels are not mutually exclusive: on Sonnet’s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one draw carries both flags,</w:t>
      </w:r>
      <w:r>
        <w:t xml:space="preserve"> </w:t>
      </w:r>
      <w:r>
        <w:t xml:space="preserve">and on its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one refusal-flagged draw nonetheless passed. Every row is a</w:t>
      </w:r>
      <w:r>
        <w:t xml:space="preserve"> </w:t>
      </w:r>
      <w:r>
        <w:t xml:space="preserve">single-shot re-measurement in the published regime.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-measurement with raw-completion retention, n=40 per arm, fresh draws. \Delta is under the published verifier and \Delta_{\mathrm{neu}} under the import-neutralized one. “Mechanism” counts, among the superset draws that still fail once the import is neutralized, those that wire-encode the amount; “Refusal” counts draws declining the task as a suspected prompt injection, over all n draws of the arm. The two denominators therefore differ, and the labels are not mutually exclusive: on Sonnet’s api_argorder one draw carries both flags, and on its api_post_ok one refusal-flagged draw nonetheless passed. Every row is a single-shot re-measurement in the published regim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bookmarkEnd w:id="99"/>
    <w:bookmarkEnd w:id="100"/>
    <w:bookmarkEnd w:id="101"/>
    <w:bookmarkEnd w:id="102"/>
    <w:bookmarkStart w:id="107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The formal results reduce to a comparison an engineer can act on. On the measured pair there are</w:t>
      </w:r>
      <w:r>
        <w:t xml:space="preserve"> </w:t>
      </w:r>
      <w:r>
        <w:t xml:space="preserve">four things a selection layer can do, and every one of them was measured (Table A1);</w:t>
      </w:r>
      <w:r>
        <w:t xml:space="preserve"> </w:t>
      </w:r>
      <w:r>
        <w:t xml:space="preserve">Table 7 scores them per model as mean PASS over the four verified cells.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 query-independent-scalar class its best case: any such</w:t>
      </w:r>
      <w:r>
        <w:t xml:space="preserve"> </w:t>
      </w:r>
      <w:r>
        <w:t xml:space="preserve">scalar induces one total order, hence one top-1 reused for every task, and we let it pick the</w:t>
      </w:r>
      <w:r>
        <w:t xml:space="preserve"> </w:t>
      </w:r>
      <w:r>
        <w:t xml:space="preserve">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</w:t>
      </w:r>
      <w:r>
        <w:t xml:space="preserve"> </w:t>
      </w:r>
      <w:r>
        <w:t xml:space="preserve">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</w:t>
      </w:r>
      <w:r>
        <w:t xml:space="preserve"> </w:t>
      </w:r>
      <w:r>
        <w:t xml:space="preserve">where every measured topical ranker puts the wrong source first</w:t>
      </w:r>
      <w:r>
        <w:t xml:space="preserve"> </w:t>
      </w:r>
      <w:r>
        <w:t xml:space="preserve">(§7.4.2).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 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keeps the non-dominated pair and takes the per-cell maximum of</w:t>
      </w:r>
      <w:r>
        <w:t xml:space="preserve"> </w:t>
      </w:r>
      <w:r>
        <w:t xml:space="preserve">the two. It is the benchmark the partial order licenses one to aim at, and its price is exactly</w:t>
      </w:r>
      <w:r>
        <w:t xml:space="preserve"> </w:t>
      </w:r>
      <w:r>
        <w:t xml:space="preserve">one probe’s worth of knowledge, namely which source is decisive for which family. We report it as</w:t>
      </w:r>
      <w:r>
        <w:t xml:space="preserve"> </w:t>
      </w:r>
      <w:r>
        <w:t xml:space="preserve">an oracle rather than as an achieved result because the per-cell maximum is read off the same</w:t>
      </w:r>
      <w:r>
        <w:t xml:space="preserve"> </w:t>
      </w:r>
      <w:r>
        <w:t xml:space="preserve">outcomes it is scored on; a deployable router would have to be fixed before testing and evaluated</w:t>
      </w:r>
      <w:r>
        <w:t xml:space="preserve"> </w:t>
      </w:r>
      <w:r>
        <w:t xml:space="preserve">on held-out tasks, against matched latency and token budgets. This paper does not do that, and</w:t>
      </w:r>
      <w:r>
        <w:t xml:space="preserve"> </w:t>
      </w:r>
      <w:r>
        <w:t xml:space="preserve">the number below should not be read as a measured gain from a shipped selector.</w:t>
      </w:r>
    </w:p>
    <w:bookmarkStart w:id="103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85.6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86.25</m:t>
        </m:r>
      </m:oMath>
      <w:r>
        <w:t xml:space="preserve">,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edges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5.6 to 86.25, because W_{1+} edges W_1 on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93.3</w:t>
            </w:r>
          </w:p>
        </w:tc>
      </w:tr>
    </w:tbl>
    <w:bookmarkEnd w:id="103"/>
    <w:p>
      <w:pPr>
        <w:pStyle w:val="BodyText"/>
      </w:pPr>
      <w:bookmarkStart w:id="104" w:name="tab:policies"/>
      <w:bookmarkEnd w:id="104"/>
    </w:p>
    <w:bookmarkStart w:id="105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7,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105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land within about one point of the same aggregate: the cap 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cost, not a</w:t>
      </w:r>
      <w:r>
        <w:t xml:space="preserve"> </w:t>
      </w:r>
      <w:r>
        <w:t xml:space="preserve">tie-breaking subtlety (§7.4.3). Third, the oracle column shows what</w:t>
      </w:r>
      <w:r>
        <w:t xml:space="preserve"> </w:t>
      </w:r>
      <w:r>
        <w:t xml:space="preserve">selection over the pair could have recovered had the deciding source been chosen on every cell;</w:t>
      </w:r>
      <w:r>
        <w:t xml:space="preserve"> </w:t>
      </w:r>
      <w:r>
        <w:t xml:space="preserve">its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not selection error, though neither is it all capability. For</w:t>
      </w:r>
      <w:r>
        <w:t xml:space="preserve"> </w:t>
      </w:r>
      <w:r>
        <w:t xml:space="preserve">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the model’s own capability limit; for Haiku the apparent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ceiling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 not even that. A raw-failure audit (§7.5.1) shows</w:t>
      </w:r>
      <w:r>
        <w:t xml:space="preserve"> </w:t>
      </w:r>
      <w:r>
        <w:t xml:space="preserve">every Haiku reply on that cell calls the private contract correctly and the deficit is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line; with the import neutralized,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. One limit on reading these magnitudes: the four</w:t>
      </w:r>
      <w:r>
        <w:t xml:space="preserve"> </w:t>
      </w:r>
      <w:r>
        <w:t xml:space="preserve">cells were constructed to exhibit the phenomenon, so the aggregate magnitudes are diagnostic of the</w:t>
      </w:r>
      <w:r>
        <w:t xml:space="preserve"> </w:t>
      </w:r>
      <w:r>
        <w:t xml:space="preserve">failure structure, not an estimate of production-traffic gains; what transfers is the structure,</w:t>
      </w:r>
      <w:r>
        <w:t xml:space="preserve"> </w:t>
      </w:r>
      <w:r>
        <w:t xml:space="preserve">each of the two scalar policies measured here forfeits an entire cell class, and no single task-independent ranking keeps all four.</w:t>
      </w:r>
    </w:p>
    <w:bookmarkStart w:id="106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Five statements survive the caveats above and can be acted</w:t>
      </w:r>
      <w:r>
        <w:t xml:space="preserve"> </w:t>
      </w:r>
      <w:r>
        <w:t xml:space="preserve">on directly. (i) One number per source is structurally lossy: when two sources each carry a</w:t>
      </w:r>
      <w:r>
        <w:t xml:space="preserve"> </w:t>
      </w:r>
      <w:r>
        <w:t xml:space="preserve">decisive fact, any single task-independent ranking drops one of them</w:t>
      </w:r>
      <w:r>
        <w:t xml:space="preserve"> </w:t>
      </w:r>
      <w:r>
        <w:t xml:space="preserve">(Theorem 2). A threshold that instead</w:t>
      </w:r>
      <w:r>
        <w:t xml:space="preserve"> </w:t>
      </w:r>
      <w:r>
        <w:rPr>
          <w:i/>
          <w:iCs/>
        </w:rPr>
        <w:t xml:space="preserve">concatenates</w:t>
      </w:r>
      <w:r>
        <w:t xml:space="preserve"> </w:t>
      </w:r>
      <w:r>
        <w:t xml:space="preserve">both is not</w:t>
      </w:r>
      <w:r>
        <w:t xml:space="preserve"> </w:t>
      </w:r>
      <w:r>
        <w:t xml:space="preserve">forbidden by the theorem, but on this pair it is the worst of the four policies measured</w:t>
      </w:r>
      <w:r>
        <w:t xml:space="preserve"> </w:t>
      </w:r>
      <w:r>
        <w:t xml:space="preserve">(Table 7). 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</w:t>
      </w:r>
      <w:r>
        <w:t xml:space="preserve"> </w:t>
      </w:r>
      <w:r>
        <w:t xml:space="preserve">cache retrieval representations instead, because the value is model- and task-relative</w:t>
      </w:r>
      <w:r>
        <w:t xml:space="preserve"> </w:t>
      </w:r>
      <w:r>
        <w:t xml:space="preserve">(§7.4.4). (iii) Adding correct, on-topic text to a working prompt can break it, by</w:t>
      </w:r>
      <w:r>
        <w:t xml:space="preserve"> </w:t>
      </w:r>
      <w:r>
        <w:t xml:space="preserve">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</w:t>
      </w:r>
      <w:r>
        <w:t xml:space="preserve"> </w:t>
      </w:r>
      <w:r>
        <w:t xml:space="preserve">anti-monotonicity collapse before it is a model failure (§7.4.3).</w:t>
      </w:r>
      <w:r>
        <w:t xml:space="preserve"> </w:t>
      </w:r>
      <w:r>
        <w:t xml:space="preserve">(iv) When two candidates win on different tasks, keep both and route by task rather than forcing a</w:t>
      </w:r>
      <w:r>
        <w:t xml:space="preserve"> </w:t>
      </w:r>
      <w:r>
        <w:t xml:space="preserve">global top-</w:t>
      </w:r>
      <m:oMath>
        <m:r>
          <m:t>1</m:t>
        </m:r>
      </m:oMath>
      <w:r>
        <w:t xml:space="preserve">. Keeping both is what makes the per-cell maximum reachable; it does not by itself</w:t>
      </w:r>
      <w:r>
        <w:t xml:space="preserve"> </w:t>
      </w:r>
      <w:r>
        <w:t xml:space="preserve">route correctly on a new task, and concatenating the two instead is the worst policy measured</w:t>
      </w:r>
      <w:r>
        <w:t xml:space="preserve"> </w:t>
      </w:r>
      <w:r>
        <w:t xml:space="preserve">(Table 7). (v) A cheap topical ranker fails exactly where the surface lexicon</w:t>
      </w:r>
      <w:r>
        <w:t xml:space="preserve"> </w:t>
      </w:r>
      <w:r>
        <w:t xml:space="preserve">points at the wrong source, which is where a listwise reader earns its cost</w:t>
      </w:r>
      <w:r>
        <w:t xml:space="preserve"> </w:t>
      </w:r>
      <w:r>
        <w:t xml:space="preserve">(Proposition 2). Each is measurable on any stack with the released</w:t>
      </w:r>
      <w:r>
        <w:t xml:space="preserve"> </w:t>
      </w:r>
      <w:r>
        <w:t xml:space="preserve">harness.</w:t>
      </w:r>
    </w:p>
    <w:bookmarkEnd w:id="106"/>
    <w:bookmarkEnd w:id="107"/>
    <w:bookmarkEnd w:id="108"/>
    <w:bookmarkStart w:id="123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With the evidence in hand, we step back to what it licenses. Our results recast a piece of</w:t>
      </w:r>
      <w:r>
        <w:t xml:space="preserve"> </w:t>
      </w:r>
      <w:r>
        <w:t xml:space="preserve">practitioner folklore,</w:t>
      </w:r>
      <w:r>
        <w:t xml:space="preserve"> </w:t>
      </w:r>
      <w:r>
        <w:t xml:space="preserve">“relevance does not transfer across</w:t>
      </w:r>
      <w:r>
        <w:t xml:space="preserve"> </w:t>
      </w:r>
      <w:r>
        <w:t xml:space="preserve">tasks”</w:t>
      </w:r>
      <w:r>
        <w:t xml:space="preserve">, as a structural fact about context sources. When two sources are Blackwell-incomparable, the</w:t>
      </w:r>
      <w:r>
        <w:t xml:space="preserve"> </w:t>
      </w:r>
      <w:r>
        <w:t xml:space="preserve">order over them is partial, and any scalar score, by imposing a total order, must mis-rank</w:t>
      </w:r>
      <w:r>
        <w:t xml:space="preserve"> </w:t>
      </w:r>
      <w:r>
        <w:t xml:space="preserve">them on some task. The empirical program does not merely illustrate this; it instantiates a single</w:t>
      </w:r>
      <w:r>
        <w:t xml:space="preserve"> </w:t>
      </w:r>
      <w:r>
        <w:t xml:space="preserve">hand-built incomparable pair (a private API-call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 a private wire-encoding</w:t>
      </w:r>
      <w:r>
        <w:t xml:space="preserve"> </w:t>
      </w:r>
      <w:r>
        <w:t xml:space="preserve">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same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module) and shows that the resulting double crossover, the</w:t>
      </w:r>
      <w:r>
        <w:t xml:space="preserve"> </w:t>
      </w:r>
      <w:r>
        <w:t xml:space="preserve">relevance mis-rank, and an anti-monotonicity collapse all reproduce across six models and four</w:t>
      </w:r>
      <w:r>
        <w:t xml:space="preserve"> </w:t>
      </w:r>
      <w:r>
        <w:t xml:space="preserve">vendors. We discuss what the evidence does and does not license, and where the</w:t>
      </w:r>
      <w:r>
        <w:t xml:space="preserve"> </w:t>
      </w:r>
      <w:r>
        <w:t xml:space="preserve">formalization is a model rather than a proof of the realized object.</w:t>
      </w:r>
    </w:p>
    <w:bookmarkStart w:id="111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9" w:name="sec:disc-deficiency"/>
      <w:bookmarkEnd w:id="109"/>
      <w:bookmarkStart w:id="110" w:name="sec:disc-certificate"/>
      <w:bookmarkEnd w:id="110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2 connects the two in the direction we need: a verified</w:t>
      </w:r>
      <w:r>
        <w:t xml:space="preserve"> </w:t>
      </w:r>
      <w:r>
        <w:t xml:space="preserve">crossover on tasks where each source supplies its own decisive fact implies genuine Blackwell</w:t>
      </w:r>
      <w:r>
        <w:t xml:space="preserve"> </w:t>
      </w:r>
      <w:r>
        <w:t xml:space="preserve">incomparability, and the reverse needs an extra assumption (Assumption 1) that our</w:t>
      </w:r>
      <w:r>
        <w:t xml:space="preserve"> </w:t>
      </w:r>
      <w:r>
        <w:t xml:space="preserve">task design is built to make attainable and our measurements confirm on the named pairs. So we read the result as a statement about the</w:t>
      </w:r>
      <w:r>
        <w:t xml:space="preserve"> </w:t>
      </w:r>
      <w:r>
        <w:t xml:space="preserve">fixed model on a fixed battery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 structural conclusion through the bridge</w:t>
      </w:r>
      <w:r>
        <w:t xml:space="preserve"> </w:t>
      </w:r>
      <w:r>
        <w:t xml:space="preserve">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8).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claim is controlled on its own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all at once</w:t>
      </w:r>
      <w:r>
        <w:t xml:space="preserve"> </w:t>
      </w:r>
      <w:r>
        <w:t xml:space="preserve">(§6.5),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 not a task distribution.</w:t>
      </w:r>
    </w:p>
    <w:bookmarkEnd w:id="111"/>
    <w:bookmarkStart w:id="112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9).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5),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 on Sonnet, GPT-5.5 and Kimi.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Two cautions attach to it. The harm is robust across the capability ladder but not ordered by it</w:t>
      </w:r>
      <w:r>
        <w:t xml:space="preserve"> </w:t>
      </w:r>
      <w:r>
        <w:t xml:space="preserve">(§7.4.3), so we claim no capability trend. And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</w:t>
      </w:r>
    </w:p>
    <w:bookmarkEnd w:id="112"/>
    <w:bookmarkStart w:id="113" w:name="sec:disc-mechanism"/>
    <w:p>
      <w:pPr>
        <w:pStyle w:val="Heading2"/>
      </w:pPr>
      <w:r>
        <w:t xml:space="preserve">Mechanism: the runtime fingerprint is a correlate, not an explanation</w:t>
      </w:r>
    </w:p>
    <w:p>
      <w:pPr>
        <w:pStyle w:val="FirstParagraph"/>
      </w:pPr>
      <w:r>
        <w:t xml:space="preserve">Every collapse is accompanied by output-token inflation on the harmful arm. On the two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115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163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473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; the re-measured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carries no token record). One might read this</w:t>
      </w:r>
      <w:r>
        <w:t xml:space="preserve"> </w:t>
      </w:r>
      <w:r>
        <w:t xml:space="preserve">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</w:t>
      </w:r>
      <w:r>
        <w:t xml:space="preserve"> </w:t>
      </w:r>
      <w:r>
        <w:t xml:space="preserve">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 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Re-measuring the verified cells with raw</w:t>
      </w:r>
      <w:r>
        <w:t xml:space="preserve"> </w:t>
      </w:r>
      <w:r>
        <w:t xml:space="preserve">completions retained (§7.5.2) confirms the convention-misbinding account on nine of</w:t>
      </w:r>
      <w:r>
        <w:t xml:space="preserve"> </w:t>
      </w:r>
      <w:r>
        <w:t xml:space="preserve">eleven cells by direct inspection of the failing code, but not on Sonnet’s two, where the model</w:t>
      </w:r>
      <w:r>
        <w:t xml:space="preserve"> </w:t>
      </w:r>
      <w:r>
        <w:t xml:space="preserve">instead declines the superset prompt as a suspected injection. The mechanism discussion below</w:t>
      </w:r>
      <w:r>
        <w:t xml:space="preserve"> </w:t>
      </w:r>
      <w:r>
        <w:t xml:space="preserve">therefore describes nine cells, not all eleven.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already constrain the hypothesis space from outside, the harm is not position (order</w:t>
      </w:r>
      <w:r>
        <w:t xml:space="preserve"> </w:t>
      </w:r>
      <w:r>
        <w:t xml:space="preserve">control) and not by an off-topic block of equal character length 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while labeled XML segmentation of the</w:t>
      </w:r>
      <w:r>
        <w:t xml:space="preserve"> </w:t>
      </w:r>
      <w:r>
        <w:t xml:space="preserve">same content recovers only a minority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 locates the operative</w:t>
      </w:r>
      <w:r>
        <w:t xml:space="preserve"> </w:t>
      </w:r>
      <w:r>
        <w:t xml:space="preserve">variable in convention-to-task routing rather than formatting; this is an interpretation, not a</w:t>
      </w:r>
      <w:r>
        <w:t xml:space="preserve"> </w:t>
      </w:r>
      <w:r>
        <w:t xml:space="preserve">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13"/>
    <w:bookmarkStart w:id="122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14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scores, which is exactly what makes the selection safe under anti-monotonicity.</w:t>
      </w:r>
    </w:p>
    <w:bookmarkEnd w:id="114"/>
    <w:bookmarkStart w:id="115" w:name="X06aeafce811b2d0b24b8bca3f3ed218e5984ef0"/>
    <w:p>
      <w:pPr>
        <w:pStyle w:val="Heading4"/>
      </w:pPr>
      <w:r>
        <w:t xml:space="preserve">Source-pair generality, and its regime dependence.</w:t>
      </w:r>
    </w:p>
    <w:p>
      <w:pPr>
        <w:pStyle w:val="FirstParagraph"/>
      </w:pPr>
      <w:r>
        <w:t xml:space="preserve">Incomparability and dominance hold</w:t>
      </w:r>
      <w:r>
        <w:t xml:space="preserve"> </w:t>
      </w:r>
      <w:r>
        <w:t xml:space="preserve">for two hand-built pairs in two domains, but not in the same measurement regime: the second pair</w:t>
      </w:r>
      <w:r>
        <w:t xml:space="preserve"> </w:t>
      </w:r>
      <w:r>
        <w:t xml:space="preserve">was measured agentically. Re-measured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the regime of the six-model record,</w:t>
      </w:r>
      <w:r>
        <w:t xml:space="preserve"> </w:t>
      </w:r>
      <w:r>
        <w:t xml:space="preserve">it does not reproduce.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’s ceiling falls from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contract cell and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trap, the incomparability verification loses one direction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0.005</m:t>
        </m:r>
      </m:oMath>
      <w:r>
        <w:t xml:space="preserve">), and the superset</w:t>
      </w:r>
      <w:r>
        <w:t xml:space="preserve"> </w:t>
      </w:r>
      <w:r>
        <w:rPr>
          <w:i/>
          <w:iCs/>
        </w:rPr>
        <w:t xml:space="preserve">helps</w:t>
      </w:r>
      <w:r>
        <w:t xml:space="preserve"> </w:t>
      </w:r>
      <w:r>
        <w:t xml:space="preserve">rather than harms on the contract cell</w:t>
      </w:r>
      <w:r>
        <w:t xml:space="preserve"> </w:t>
      </w:r>
      <w:r>
        <w:t xml:space="preserve">(</w:t>
      </w:r>
      <m:oMath>
        <m:r>
          <m:t>25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0.30</m:t>
        </m:r>
      </m:oMath>
      <w:r>
        <w:t xml:space="preserve">). Without the agentic retries the model does not reliably satisfy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cache.put</w:t>
      </w:r>
      <w:r>
        <w:t xml:space="preserve"> </w:t>
      </w:r>
      <w:r>
        <w:t xml:space="preserve">contract at all, so the pair stops exhibiting the structure it was built</w:t>
      </w:r>
      <w:r>
        <w:t xml:space="preserve"> </w:t>
      </w:r>
      <w:r>
        <w:t xml:space="preserve">to exhibit. We report this rather than select the regime that works: second-domain generality is</w:t>
      </w:r>
      <w:r>
        <w:t xml:space="preserve"> </w:t>
      </w:r>
      <w:r>
        <w:t xml:space="preserve">established under the agentic harness only, and the single-shot evidence for both phenomena is</w:t>
      </w:r>
      <w:r>
        <w:t xml:space="preserve"> </w:t>
      </w:r>
      <w:r>
        <w:t xml:space="preserve">the six-model record on the first pair. The cross-vendor record is single-pair. Pair-2 harm, in</w:t>
      </w:r>
      <w:r>
        <w:t xml:space="preserve"> </w:t>
      </w:r>
      <w:r>
        <w:t xml:space="preserve">the agentic regime, is verified at the margin</w:t>
      </w:r>
      <w:r>
        <w:t xml:space="preserve"> </w:t>
      </w:r>
      <w:r>
        <w:t xml:space="preserve">(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); the second pair did not reproduce the relevance-trap effect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15"/>
    <w:bookmarkStart w:id="116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the same</w:t>
      </w:r>
      <w:r>
        <w:t xml:space="preserve"> </w:t>
      </w:r>
      <w:r>
        <w:t xml:space="preserve">way (single-shot,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so the run mode no longer confounds the comparison.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16"/>
    <w:bookmarkStart w:id="117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verifies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pairs.</w:t>
      </w:r>
    </w:p>
    <w:bookmarkEnd w:id="117"/>
    <w:bookmarkStart w:id="118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 and inexpensive: draw document pairs from a natural corpus, run the same verification</w:t>
      </w:r>
      <w:r>
        <w:t xml:space="preserve"> </w:t>
      </w:r>
      <w:r>
        <w:t xml:space="preserve">battery unchanged, and report the fraction of pairs that verify incomparable and the fraction of</w:t>
      </w:r>
      <w:r>
        <w:t xml:space="preserve"> </w:t>
      </w:r>
      <w:r>
        <w:t xml:space="preserve">superset unions that verify harmful, with the sampling frame stated. We name it as the open</w:t>
      </w:r>
      <w:r>
        <w:t xml:space="preserve"> </w:t>
      </w:r>
      <w:r>
        <w:t xml:space="preserve">question rather than approximate it here, because a prevalence figure computed from hand-built</w:t>
      </w:r>
      <w:r>
        <w:t xml:space="preserve"> </w:t>
      </w:r>
      <w:r>
        <w:t xml:space="preserve">pairs would be circular.</w:t>
      </w:r>
    </w:p>
    <w:bookmarkEnd w:id="118"/>
    <w:bookmarkStart w:id="119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 the controls show that on this model</w:t>
      </w:r>
      <w:r>
        <w:t xml:space="preserve"> </w:t>
      </w:r>
      <w:r>
        <w:t xml:space="preserve">the content of the added block and the routing instruction move the outcome, while an off-topic</w:t>
      </w:r>
      <w:r>
        <w:t xml:space="preserve"> </w:t>
      </w:r>
      <w:r>
        <w:t xml:space="preserve">block of the same character length does not. They do not isolate tokenization, processing</w:t>
      </w:r>
      <w:r>
        <w:t xml:space="preserve"> </w:t>
      </w:r>
      <w:r>
        <w:t xml:space="preserve">difficulty, or position, and they do not establish the internal cause. A tokenizer-matched</w:t>
      </w:r>
      <w:r>
        <w:t xml:space="preserve"> </w:t>
      </w:r>
      <w:r>
        <w:t xml:space="preserve">control, an on-topic but verifier-irrelevant control, a matched single-shot order control, and any</w:t>
      </w:r>
      <w:r>
        <w:t xml:space="preserve"> </w:t>
      </w:r>
      <w:r>
        <w:t xml:space="preserve">of these across the roster remain untested.</w:t>
      </w:r>
    </w:p>
    <w:bookmarkEnd w:id="119"/>
    <w:bookmarkStart w:id="120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C),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Marginal-versus-joint control is discussed in</w:t>
      </w:r>
      <w:r>
        <w:t xml:space="preserve"> </w:t>
      </w:r>
      <w:r>
        <w:t xml:space="preserve">§8.1.</w:t>
      </w:r>
    </w:p>
    <w:bookmarkEnd w:id="120"/>
    <w:bookmarkStart w:id="121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21"/>
    <w:bookmarkEnd w:id="122"/>
    <w:bookmarkEnd w:id="123"/>
    <w:bookmarkStart w:id="124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is a partial-order problem, not a scalar one. When two sources are incomparable,</w:t>
      </w:r>
      <w:r>
        <w:t xml:space="preserve"> </w:t>
      </w:r>
      <w:r>
        <w:t xml:space="preserve">no single per-source score ranks them correctly for all tasks</w:t>
      </w:r>
      <w:r>
        <w:t xml:space="preserve"> </w:t>
      </w:r>
      <w:r>
        <w:t xml:space="preserve">(Theorem 2), which gives the field’s</w:t>
      </w:r>
      <w:r>
        <w:t xml:space="preserve"> </w:t>
      </w:r>
      <w:r>
        <w:t xml:space="preserve">“relevance does not transfer”</w:t>
      </w:r>
      <w:r>
        <w:t xml:space="preserve"> </w:t>
      </w:r>
      <w:r>
        <w:t xml:space="preserve">folklore</w:t>
      </w:r>
      <w:r>
        <w:t xml:space="preserve"> </w:t>
      </w:r>
      <w:r>
        <w:t xml:space="preserve">a formal boundary. Making that testable is what this paper does: a value-deficiency surrogate and</w:t>
      </w:r>
      <w:r>
        <w:t xml:space="preserve"> </w:t>
      </w:r>
      <w:r>
        <w:t xml:space="preserve">a finite-sample verification turn the order into something one can measure on a live model. On</w:t>
      </w:r>
      <w:r>
        <w:t xml:space="preserve"> </w:t>
      </w:r>
      <w:r>
        <w:t xml:space="preserve">six models across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that two private sources cross in realized</w:t>
      </w:r>
      <w:r>
        <w:t xml:space="preserve"> </w:t>
      </w:r>
      <w:r>
        <w:t xml:space="preserve">pass rate; on each of them a deployed relevance score ranks the pair the wrong way on a designed</w:t>
      </w:r>
      <w:r>
        <w:t xml:space="preserve"> </w:t>
      </w:r>
      <w:r>
        <w:t xml:space="preserve">trap; and on eleven of twelve cells adding a strictly larger source lowers the pass rate, as far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which no</w:t>
      </w:r>
      <w:r>
        <w:t xml:space="preserve"> </w:t>
      </w:r>
      <w:r>
        <w:t xml:space="preserve">“more-is-better”</w:t>
      </w:r>
      <w:r>
        <w:t xml:space="preserve"> </w:t>
      </w:r>
      <w:r>
        <w:t xml:space="preserve">scalar predicts. How much a private source is worth</w:t>
      </w:r>
      <w:r>
        <w:t xml:space="preserve"> </w:t>
      </w:r>
      <w:r>
        <w:t xml:space="preserve">depends on the model: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and is not ordered by capability,</w:t>
      </w:r>
      <w:r>
        <w:t xml:space="preserve"> </w:t>
      </w:r>
      <w:r>
        <w:t xml:space="preserve">with the three Anthropic models alone spanning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, so it is not a vendor</w:t>
      </w:r>
      <w:r>
        <w:t xml:space="preserve"> </w:t>
      </w:r>
      <w:r>
        <w:t xml:space="preserve">effect either. What it does track these runs cannot identify.</w:t>
      </w:r>
    </w:p>
    <w:p>
      <w:pPr>
        <w:pStyle w:val="BodyText"/>
      </w:pPr>
      <w:r>
        <w:t xml:space="preserve">Bringing Blackwell and Le Cam to inference-time context is not ours to claim; concurrent work</w:t>
      </w:r>
      <w:r>
        <w:t xml:space="preserve"> </w:t>
      </w:r>
      <w:r>
        <w:t xml:space="preserve">reached the same apparatus from the admission side (§2.3). What follows</w:t>
      </w:r>
      <w:r>
        <w:t xml:space="preserve"> </w:t>
      </w:r>
      <w:r>
        <w:t xml:space="preserve">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 as the object is the</w:t>
      </w:r>
      <w:r>
        <w:t xml:space="preserve"> </w:t>
      </w:r>
      <w:r>
        <w:t xml:space="preserve">impossibility, and the instrument that tests it.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2. The estimator is a</w:t>
      </w:r>
      <w:r>
        <w:t xml:space="preserve"> </w:t>
      </w:r>
      <w:r>
        <w:t xml:space="preserve">regret-gap surrogate, not a Le Cam deficiency, and the verification is correct under that</w:t>
      </w:r>
      <w:r>
        <w:t xml:space="preserve"> </w:t>
      </w:r>
      <w:r>
        <w:t xml:space="preserve">re-labeling. All six models get one completion per attempt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though not over the same</w:t>
      </w:r>
      <w:r>
        <w:t xml:space="preserve"> </w:t>
      </w:r>
      <w:r>
        <w:t xml:space="preserve">transport (§7.3), so cross-vendor magnitudes are read as (model, transport)</w:t>
      </w:r>
      <w:r>
        <w:t xml:space="preserve"> </w:t>
      </w:r>
      <w:r>
        <w:t xml:space="preserve">pairs rather than as properties of the models; the verified claims are within-model contrasts,</w:t>
      </w:r>
      <w:r>
        <w:t xml:space="preserve"> </w:t>
      </w:r>
      <w:r>
        <w:t xml:space="preserve">where the transport is held fixed. The cross-vendor record is single-pair, and synergy is</w:t>
      </w:r>
      <w:r>
        <w:t xml:space="preserve"> </w:t>
      </w:r>
      <w:r>
        <w:t xml:space="preserve">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verified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narrow and its scope is stated exactly: one number per source fixed across tasks</w:t>
      </w:r>
      <w:r>
        <w:t xml:space="preserve"> </w:t>
      </w:r>
      <w:r>
        <w:t xml:space="preserve">(Theorem 2), and query-conditioned scores meeting the two hypotheses of</w:t>
      </w:r>
      <w:r>
        <w:t xml:space="preserve"> </w:t>
      </w:r>
      <w:r>
        <w:t xml:space="preserve">Proposition 2. It is not a statement about all context selection, and</w:t>
      </w:r>
      <w:r>
        <w:t xml:space="preserve"> </w:t>
      </w:r>
      <w:r>
        <w:t xml:space="preserve">it implies no lower bound on computational cost: a task-conditioned score, a router over public</w:t>
      </w:r>
      <w:r>
        <w:t xml:space="preserve"> </w:t>
      </w:r>
      <w:r>
        <w:t xml:space="preserve">task metadata, or any number of cheap algorithms lie outside it</w:t>
      </w:r>
      <w:r>
        <w:t xml:space="preserve"> </w:t>
      </w:r>
      <w:r>
        <w:t xml:space="preserve">(Remark 6).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That is a measured contrast between named checkpoints, not a</w:t>
      </w:r>
      <w:r>
        <w:t xml:space="preserve"> </w:t>
      </w:r>
      <w:r>
        <w:t xml:space="preserve">proved separation between complexity classes: what the theory establishes is that a single</w:t>
      </w:r>
      <w:r>
        <w:t xml:space="preserve"> </w:t>
      </w:r>
      <w:r>
        <w:t xml:space="preserve">task-independent number cannot represent a partial order, and what the probe shows is that</w:t>
      </w:r>
      <w:r>
        <w:t xml:space="preserve"> </w:t>
      </w:r>
      <w:r>
        <w:t xml:space="preserve">reading content suffices to measure it on this battery. The decisive next test is prevalence:</w:t>
      </w:r>
      <w:r>
        <w:t xml:space="preserve"> </w:t>
      </w:r>
      <w:r>
        <w:t xml:space="preserve">draw source pairs from a natural corpus rather than building them, run the same verification</w:t>
      </w:r>
      <w:r>
        <w:t xml:space="preserve"> </w:t>
      </w:r>
      <w:r>
        <w:t xml:space="preserve">unchanged, and report how often a deployed retrieval stream produces a pair that verifies</w:t>
      </w:r>
      <w:r>
        <w:t xml:space="preserve"> </w:t>
      </w:r>
      <w:r>
        <w:t xml:space="preserve">incomparable (§8.4).</w:t>
      </w:r>
    </w:p>
    <w:bookmarkEnd w:id="124"/>
    <w:bookmarkStart w:id="125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25"/>
    <w:bookmarkStart w:id="12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C were borne by the authors.</w:t>
      </w:r>
    </w:p>
    <w:bookmarkEnd w:id="126"/>
    <w:bookmarkStart w:id="127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27"/>
    <w:bookmarkStart w:id="128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28"/>
    <w:bookmarkStart w:id="129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4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§7.5.1.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retention re-measurement of §7.5.2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9"/>
    <w:bookmarkStart w:id="13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authors thank the Department of Information Systems and Networks, Lviv Polytechnic National</w:t>
      </w:r>
      <w:r>
        <w:t xml:space="preserve"> </w:t>
      </w:r>
      <w:r>
        <w:t xml:space="preserve">University, for institutional support. No third party contributed to the design, execution or</w:t>
      </w:r>
      <w:r>
        <w:t xml:space="preserve"> </w:t>
      </w:r>
      <w:r>
        <w:t xml:space="preserve">analysis of the reported measurements beyond the listed authors.</w:t>
      </w:r>
    </w:p>
    <w:p>
      <w:pPr>
        <w:pStyle w:val="BodyText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The authors inspected code changes, executed the experiments, verified</w:t>
      </w:r>
      <w:r>
        <w:t xml:space="preserve"> </w:t>
      </w:r>
      <w:r>
        <w:t xml:space="preserve">outputs against frozen manifests and source files, checked cited sources, and take full</w:t>
      </w:r>
      <w:r>
        <w:t xml:space="preserve"> </w:t>
      </w:r>
      <w:r>
        <w:t xml:space="preserve">responsibility for the study design, results, interpretations, and manuscript.</w:t>
      </w:r>
    </w:p>
    <w:bookmarkEnd w:id="130"/>
    <w:bookmarkStart w:id="131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§7.3;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the assistance described in</w:t>
      </w:r>
      <w:r>
        <w:t xml:space="preserve"> </w:t>
      </w:r>
      <w:r>
        <w:t xml:space="preserve">the Acknowledgments. No result, table or figure was produced by a language model acting as an</w:t>
      </w:r>
      <w:r>
        <w:t xml:space="preserve"> </w:t>
      </w:r>
      <w:r>
        <w:t xml:space="preserve">author or an analyst: every reported quantity is computed by the released scripts from the</w:t>
      </w:r>
      <w:r>
        <w:t xml:space="preserve"> </w:t>
      </w:r>
      <w:r>
        <w:t xml:space="preserve">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</w:t>
      </w:r>
      <w:r>
        <w:t xml:space="preserve"> </w:t>
      </w:r>
      <w:r>
        <w:t xml:space="preserve">figure that uses it.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31"/>
    <w:bookmarkStart w:id="132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32"/>
    <w:bookmarkStart w:id="133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33"/>
    <w:bookmarkStart w:id="145" w:name="app:proofs"/>
    <w:p>
      <w:pPr>
        <w:pStyle w:val="Heading1"/>
      </w:pPr>
      <w:r>
        <w:t xml:space="preserve">Deferred proofs and technical material</w:t>
      </w:r>
    </w:p>
    <w:bookmarkStart w:id="134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34"/>
    <w:bookmarkStart w:id="135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3); the rule</w:t>
      </w:r>
      <w:r>
        <w:t xml:space="preserve"> </w:t>
      </w:r>
      <w:r>
        <w:t xml:space="preserve">that reads that coordinate off and answers accordingly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</w:t>
      </w:r>
      <w:r>
        <w:t xml:space="preserve"> </w:t>
      </w:r>
      <w:r>
        <w:t xml:space="preserve">every state,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hypothesis: the</w:t>
      </w:r>
      <w:r>
        <w:t xml:space="preserve"> </w:t>
      </w:r>
      <w:r>
        <w:t xml:space="preserve">crossover is the observable signature of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 not a substitute for it. The caps remain</w:t>
      </w:r>
      <w:r>
        <w:t xml:space="preserve"> </w:t>
      </w:r>
      <w:r>
        <w:t xml:space="preserve">essential in the converse direction: without them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is compatible even with</w:t>
      </w:r>
      <w:r>
        <w:t xml:space="preserve"> </w:t>
      </w:r>
      <w:r>
        <w:t xml:space="preserve">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since a fixed rule keyed to one signal’s surface form can</w:t>
      </w:r>
      <w:r>
        <w:t xml:space="preserve"> </w:t>
      </w:r>
      <w:r>
        <w:t xml:space="preserve">under-perform on the other, exactly the non-coherence phenomenon Theorem 3</w:t>
      </w:r>
      <w:r>
        <w:t xml:space="preserve"> </w:t>
      </w:r>
      <w:r>
        <w:t xml:space="preserve">verifies 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incomparability; the failure of</w:t>
      </w:r>
      <w:r>
        <w:t xml:space="preserve"> </w:t>
      </w:r>
      <w:r>
        <w:t xml:space="preserve">the unconditional converse is witnessed by any fixed rule that violates monotonicity the optimal</w:t>
      </w:r>
      <w:r>
        <w:t xml:space="preserve"> </w:t>
      </w:r>
      <w:r>
        <w:t xml:space="preserve">value obeys. ◻</w:t>
      </w:r>
    </w:p>
    <w:bookmarkEnd w:id="135"/>
    <w:bookmarkStart w:id="136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36"/>
    <w:bookmarkStart w:id="137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37"/>
    <w:bookmarkStart w:id="138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2, cannot rank a Blackwell-incomparable pair correctly</w:t>
      </w:r>
      <w:r>
        <w:t xml:space="preserve"> </w:t>
      </w:r>
      <w:r>
        <w:t xml:space="preserve">for all tasks. ◻</w:t>
      </w:r>
    </w:p>
    <w:bookmarkEnd w:id="138"/>
    <w:bookmarkStart w:id="139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9"/>
    <w:bookmarkStart w:id="140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40"/>
    <w:bookmarkStart w:id="141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41"/>
    <w:bookmarkStart w:id="143" w:name="relation-to-llm-evaluation-statistics"/>
    <w:p>
      <w:pPr>
        <w:pStyle w:val="Heading2"/>
      </w:pPr>
      <w:r>
        <w:t xml:space="preserve">Relation to LLM-evaluation statistics</w:t>
      </w:r>
    </w:p>
    <w:bookmarkStart w:id="142" w:name="rem:evalstats"/>
    <w:p>
      <w:pPr>
        <w:pStyle w:val="FirstParagraph"/>
      </w:pPr>
      <w:r>
        <w:rPr>
          <w:i/>
          <w:iCs/>
        </w:rPr>
        <w:t xml:space="preserve">Remark 10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42"/>
    <w:bookmarkEnd w:id="143"/>
    <w:bookmarkStart w:id="144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so a mild collapse from a non-endpoint arm, as in the</w:t>
      </w:r>
      <w:r>
        <w:t xml:space="preserve"> </w:t>
      </w:r>
      <w:r>
        <w:t xml:space="preserve">import-neutralized Haiku control (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52</m:t>
        </m:r>
        <m:r>
          <m:rPr>
            <m:sty m:val="p"/>
          </m:rPr>
          <m:t>%</m:t>
        </m:r>
      </m:oMath>
      <w:r>
        <w:t xml:space="preserve">), is verified in sign but not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; that cell would clear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80</m:t>
        </m:r>
      </m:oMath>
      <w:r>
        <w:t xml:space="preserve">.</w:t>
      </w:r>
    </w:p>
    <w:bookmarkEnd w:id="144"/>
    <w:bookmarkEnd w:id="145"/>
    <w:bookmarkStart w:id="151" w:name="app:record"/>
    <w:p>
      <w:pPr>
        <w:pStyle w:val="Heading1"/>
      </w:pPr>
      <w:r>
        <w:t xml:space="preserve">Extended experimental record</w:t>
      </w:r>
    </w:p>
    <w:bookmarkStart w:id="150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bookmarkStart w:id="146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verifies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); re-running the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</w:t>
      </w:r>
      <w:r>
        <w:t xml:space="preserve"> </w:t>
      </w:r>
      <w:r>
        <w:t xml:space="preserve">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, which</w:t>
      </w:r>
      <w:r>
        <w:t xml:space="preserve"> </w:t>
      </w:r>
      <w:r>
        <w:t xml:space="preserve">clears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</w:t>
      </w:r>
      <w:r>
        <w:t xml:space="preserve"> </w:t>
      </w:r>
      <w: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so the margin is met with little to spare;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same collapse gives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and does not clear, which is why the cell was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re-run covers the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cell alone, so its dominance control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verified strict win) is a statement about that cell rather than about</w:t>
      </w:r>
      <w:r>
        <w:t xml:space="preserve"> </w:t>
      </w:r>
      <w:r>
        <w:t xml:space="preserve">the three-cell battery; the battery-wide control remains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one.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46"/>
    <w:bookmarkStart w:id="147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verification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0.88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47"/>
    <w:bookmarkStart w:id="148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on the carrying cell the instructed superset still sits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). That residual gap is verified negative by the same two-arm contrast</w:t>
      </w:r>
      <w:r>
        <w:t xml:space="preserve"> </w:t>
      </w:r>
      <w:r>
        <w:t xml:space="preserve">used throughout,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0.20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0.03</m:t>
        </m:r>
      </m:oMath>
      <w:r>
        <w:t xml:space="preserve">, but it falls far short of the harm</w:t>
      </w:r>
      <w:r>
        <w:t xml:space="preserve"> </w:t>
      </w:r>
      <w:r>
        <w:t xml:space="preserve">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instruction removes the collapse without closing the gap.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48"/>
    <w:bookmarkStart w:id="149" w:name="Xbb3bf0e6ff780408889ccfec61f731a5b2072ac"/>
    <w:p>
      <w:pPr>
        <w:pStyle w:val="Heading4"/>
      </w:pPr>
      <w:r>
        <w:t xml:space="preserve">A structured-context ablation: labeled XML segmentation mitigates only weakly.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</w:t>
      </w:r>
      <w:r>
        <w:t xml:space="preserve"> </w:t>
      </w:r>
      <w:r>
        <w:t xml:space="preserve">dominated signal, is consistent with the operative variable being convention-to-task routing</w:t>
      </w:r>
      <w:r>
        <w:t xml:space="preserve"> </w:t>
      </w:r>
      <w:r>
        <w:t xml:space="preserve">rather than segmentation alone; as in §8.3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the structure arm scored in a separate run.</w:t>
      </w:r>
    </w:p>
    <w:bookmarkEnd w:id="149"/>
    <w:bookmarkEnd w:id="150"/>
    <w:bookmarkEnd w:id="151"/>
    <w:bookmarkStart w:id="291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4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52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in a single-shot completion (one call, no tools,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52"/>
    <w:bookmarkStart w:id="153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Claude CLI and the</w:t>
      </w:r>
      <w:r>
        <w:t xml:space="preserve"> </w:t>
      </w:r>
      <w:r>
        <w:t xml:space="preserve">Azure/OpenAI-compatible launchers are 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behind the six-model tables. Two reported runs sit</w:t>
      </w:r>
      <w:r>
        <w:t xml:space="preserve"> </w:t>
      </w:r>
      <w:r>
        <w:t xml:space="preserve">outside it, both on the agentic Claude CLI path (up to six turns per attempt) rather than the</w:t>
      </w:r>
      <w:r>
        <w:t xml:space="preserve"> </w:t>
      </w:r>
      <w:r>
        <w:t xml:space="preserve">single-shot one, and both identifiable from their run logs, which lack the</w:t>
      </w:r>
      <w:r>
        <w:t xml:space="preserve"> </w:t>
      </w:r>
      <w:r>
        <w:rPr>
          <w:rStyle w:val="VerbatimChar"/>
        </w:rPr>
        <w:t xml:space="preserve">[SINGLE-SHOT]</w:t>
      </w:r>
      <w:r>
        <w:t xml:space="preserve"> </w:t>
      </w:r>
      <w:r>
        <w:t xml:space="preserve">marker every single-shot run carries. The first is the order control of</w:t>
      </w:r>
      <w:r>
        <w:t xml:space="preserve"> </w:t>
      </w:r>
      <w:r>
        <w:t xml:space="preserve">§7.4.3, an earlier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run, reported as an auxiliary control and</w:t>
      </w:r>
      <w:r>
        <w:t xml:space="preserve"> </w:t>
      </w:r>
      <w:r>
        <w:t xml:space="preserve">entering no table of the six-model record. The second is the entire second source pair</w:t>
      </w:r>
      <w:r>
        <w:t xml:space="preserve"> </w:t>
      </w:r>
      <w:r>
        <w:t xml:space="preserve">(§7.5), measured agentically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Its role is generality, so</w:t>
      </w:r>
      <w:r>
        <w:t xml:space="preserve"> </w:t>
      </w:r>
      <w:r>
        <w:t xml:space="preserve">the regime difference is worth stating plainly: what that pair shows is that incomparability and</w:t>
      </w:r>
      <w:r>
        <w:t xml:space="preserve"> </w:t>
      </w:r>
      <w:r>
        <w:t xml:space="preserve">the superset collapse reappear in another domain</w:t>
      </w:r>
      <w:r>
        <w:t xml:space="preserve"> </w:t>
      </w:r>
      <w:r>
        <w:rPr>
          <w:i/>
          <w:iCs/>
        </w:rPr>
        <w:t xml:space="preserve">under the agentic harness</w:t>
      </w:r>
      <w:r>
        <w:t xml:space="preserve">, not that they</w:t>
      </w:r>
      <w:r>
        <w:t xml:space="preserve"> </w:t>
      </w:r>
      <w:r>
        <w:t xml:space="preserve">reappear under the single-shot one. The single-shot evidence for both phenomena is the six-model</w:t>
      </w:r>
      <w:r>
        <w:t xml:space="preserve"> </w:t>
      </w:r>
      <w:r>
        <w:t xml:space="preserve">record on the first pair.</w:t>
      </w:r>
    </w:p>
    <w:p>
      <w:pPr>
        <w:pStyle w:val="BodyText"/>
      </w:pPr>
      <w:r>
        <w:t xml:space="preserve">Four arm-only re-measurements were originally produced by ad-hoc scripts that were not kept, so</w:t>
      </w:r>
      <w:r>
        <w:t xml:space="preserve"> </w:t>
      </w:r>
      <w:r>
        <w:t xml:space="preserve">their regime could be asserted but not recovered from a run log. All four have since been</w:t>
      </w:r>
      <w:r>
        <w:t xml:space="preserve"> </w:t>
      </w:r>
      <w:r>
        <w:t xml:space="preserve">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</w:t>
      </w:r>
      <w:r>
        <w:t xml:space="preserve"> </w:t>
      </w:r>
      <w:r>
        <w:t xml:space="preserve">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This manuscript reports the</w:t>
      </w:r>
      <w:r>
        <w:t xml:space="preserve"> </w:t>
      </w:r>
      <w:r>
        <w:t xml:space="preserve">re-measurements throughout, so every cited run now has a log 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each. The between-run</w:t>
      </w:r>
      <w:r>
        <w:t xml:space="preserve"> </w:t>
      </w:r>
      <w:r>
        <w:t xml:space="preserve">movement on the Opus arm is itself a data point for §8.4: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 The GPT-5.5 rows of Table 6 come from that run.</w:t>
      </w:r>
    </w:p>
    <w:bookmarkEnd w:id="153"/>
    <w:bookmarkStart w:id="154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single-shot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blackwell_haiku_ss_n40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blackwell_sonnet_ss_n40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blackwell_opus_ss_n40</w:t>
      </w:r>
      <w:r>
        <w:t xml:space="preserve"> </w:t>
      </w:r>
      <w:r>
        <w:t xml:space="preserve">with its arm-only re-run</w:t>
      </w:r>
      <w:r>
        <w:t xml:space="preserve"> </w:t>
      </w:r>
      <w:r>
        <w:rPr>
          <w:rStyle w:val="VerbatimChar"/>
        </w:rPr>
        <w:t xml:space="preserve">blackwell_opus_ss_W1plus_v2</w:t>
      </w:r>
      <w:r>
        <w:t xml:space="preserve"> </w:t>
      </w:r>
      <w:r>
        <w:t xml:space="preserve">and the clean single-cell re-measurements</w:t>
      </w:r>
      <w:r>
        <w:t xml:space="preserve"> </w:t>
      </w:r>
      <w:r>
        <w:rPr>
          <w:rStyle w:val="VerbatimChar"/>
        </w:rPr>
        <w:t xml:space="preserve">blackwell_opus_ss_W2_trap_v2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blackwell_haiku_ss_W1_enc_v2</w:t>
      </w:r>
      <w:r>
        <w:t xml:space="preserve">, all produced by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 and the follow-up controls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(character-matched padding,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blackwell_order_ss_n40</w:t>
      </w:r>
      <w:r>
        <w:t xml:space="preserve"> </w:t>
      </w:r>
      <w:r>
        <w:t xml:space="preserve">(order control, reversed concatenation,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blackwell_pair2_n40</w:t>
      </w:r>
      <w:r>
        <w:t xml:space="preserve"> </w:t>
      </w:r>
      <w:r>
        <w:t xml:space="preserve">(second source pair; the reported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all come from this file) and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(second source pair),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(routing-instruction ablation),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blackwell_xml_arm_v2</w:t>
      </w:r>
      <w:r>
        <w:t xml:space="preserve"> </w:t>
      </w:r>
      <w:r>
        <w:t xml:space="preserve">(structured-context ablation),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(LLM listwise reranker probe;</w:t>
      </w:r>
      <w:r>
        <w:t xml:space="preserve"> </w:t>
      </w:r>
      <w:r>
        <w:rPr>
          <w:rStyle w:val="VerbatimChar"/>
        </w:rPr>
        <w:t xml:space="preserve">harness/measure_reranker_trap.py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54"/>
    <w:bookmarkStart w:id="290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Anthropic spend was approximately $147: the</w:t>
      </w:r>
      <w:r>
        <w:t xml:space="preserve"> </w:t>
      </w:r>
      <w:r>
        <w:t xml:space="preserve">single-shot Haiku, Sonnet, and Opus runs (Opus the costliest, plus its arm-only re-run) and the</w:t>
      </w:r>
      <w:r>
        <w:t xml:space="preserve"> </w:t>
      </w:r>
      <w:r>
        <w:t xml:space="preserve">follow-up controls (padding, second pair, routing, structured-context). The non-Anthropic runs</w:t>
      </w:r>
      <w:r>
        <w:t xml:space="preserve"> </w:t>
      </w:r>
      <w:r>
        <w:t xml:space="preserve">(GPT-5.5, DeepSeek, Kimi) used Azure quota; the Azure API returns no cost field, so this figure is</w:t>
      </w:r>
      <w:r>
        <w:t xml:space="preserve"> </w:t>
      </w:r>
      <w:r>
        <w:t xml:space="preserve">the Anthropic spend, not the total across all six models. The dense/cross-encoder probe ran locally</w:t>
      </w:r>
      <w:r>
        <w:t xml:space="preserve"> </w:t>
      </w:r>
      <w:r>
        <w:t xml:space="preserve">on open weights at zero API cost.</w:t>
      </w:r>
    </w:p>
    <w:bookmarkStart w:id="289" w:name="refs"/>
    <w:bookmarkStart w:id="156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56"/>
    <w:bookmarkStart w:id="158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57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58"/>
    <w:bookmarkStart w:id="160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59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60"/>
    <w:bookmarkStart w:id="162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61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62"/>
    <w:bookmarkStart w:id="163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63"/>
    <w:bookmarkStart w:id="165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64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5"/>
    <w:bookmarkStart w:id="167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66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67"/>
    <w:bookmarkStart w:id="168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68"/>
    <w:bookmarkStart w:id="170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70"/>
    <w:bookmarkStart w:id="172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72"/>
    <w:bookmarkStart w:id="174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73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74"/>
    <w:bookmarkStart w:id="176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76"/>
    <w:bookmarkStart w:id="178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78"/>
    <w:bookmarkStart w:id="180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80"/>
    <w:bookmarkStart w:id="182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82"/>
    <w:bookmarkStart w:id="184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83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84"/>
    <w:bookmarkStart w:id="186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86"/>
    <w:bookmarkStart w:id="188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88"/>
    <w:bookmarkStart w:id="190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89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90"/>
    <w:bookmarkStart w:id="192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92"/>
    <w:bookmarkStart w:id="194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93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94"/>
    <w:bookmarkStart w:id="195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5"/>
    <w:bookmarkStart w:id="197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197"/>
    <w:bookmarkStart w:id="199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99"/>
    <w:bookmarkStart w:id="201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201"/>
    <w:bookmarkStart w:id="203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202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203"/>
    <w:bookmarkStart w:id="205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5"/>
    <w:bookmarkStart w:id="207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06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07"/>
    <w:bookmarkStart w:id="209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09"/>
    <w:bookmarkStart w:id="211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11"/>
    <w:bookmarkStart w:id="213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12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3"/>
    <w:bookmarkStart w:id="215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5"/>
    <w:bookmarkStart w:id="217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16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17"/>
    <w:bookmarkStart w:id="219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19"/>
    <w:bookmarkStart w:id="221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21"/>
    <w:bookmarkStart w:id="223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22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3"/>
    <w:bookmarkStart w:id="225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4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5"/>
    <w:bookmarkStart w:id="227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26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27"/>
    <w:bookmarkStart w:id="229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28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29"/>
    <w:bookmarkStart w:id="231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30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1"/>
    <w:bookmarkStart w:id="233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2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3"/>
    <w:bookmarkStart w:id="235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4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5"/>
    <w:bookmarkStart w:id="237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36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37"/>
    <w:bookmarkStart w:id="239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38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39"/>
    <w:bookmarkStart w:id="241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40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1"/>
    <w:bookmarkStart w:id="243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2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3"/>
    <w:bookmarkStart w:id="245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4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5"/>
    <w:bookmarkStart w:id="247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47"/>
    <w:bookmarkStart w:id="249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48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49"/>
    <w:bookmarkStart w:id="251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50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1"/>
    <w:bookmarkStart w:id="253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2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3"/>
    <w:bookmarkStart w:id="255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5"/>
    <w:bookmarkStart w:id="257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56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57"/>
    <w:bookmarkStart w:id="259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58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59"/>
    <w:bookmarkStart w:id="261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60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1"/>
    <w:bookmarkStart w:id="263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2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3"/>
    <w:bookmarkStart w:id="265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4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5"/>
    <w:bookmarkStart w:id="267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66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67"/>
    <w:bookmarkStart w:id="269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68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69"/>
    <w:bookmarkStart w:id="271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70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1"/>
    <w:bookmarkStart w:id="273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2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3"/>
    <w:bookmarkStart w:id="275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4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5"/>
    <w:bookmarkStart w:id="277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76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77"/>
    <w:bookmarkStart w:id="279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78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79"/>
    <w:bookmarkStart w:id="281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1"/>
    <w:bookmarkStart w:id="282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2"/>
    <w:bookmarkStart w:id="284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3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4"/>
    <w:bookmarkStart w:id="286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5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86"/>
    <w:bookmarkStart w:id="288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87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88"/>
    <w:bookmarkEnd w:id="289"/>
    <w:bookmarkEnd w:id="290"/>
    <w:bookmarkEnd w:id="2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9" Target="http://www.vldb.org/pvldb/vol6/p37-dong.pdf" TargetMode="External" /><Relationship Type="http://schemas.openxmlformats.org/officeDocument/2006/relationships/hyperlink" Id="rId212" Target="https://aclanthology.org/2025.fever-1.2/" TargetMode="External" /><Relationship Type="http://schemas.openxmlformats.org/officeDocument/2006/relationships/hyperlink" Id="rId208" Target="https://aclanthology.org/2026.findings-acl.583/" TargetMode="External" /><Relationship Type="http://schemas.openxmlformats.org/officeDocument/2006/relationships/hyperlink" Id="rId252" Target="https://arxiv.org/abs/1402.4884" TargetMode="External" /><Relationship Type="http://schemas.openxmlformats.org/officeDocument/2006/relationships/hyperlink" Id="rId254" Target="https://arxiv.org/abs/2302.00093" TargetMode="External" /><Relationship Type="http://schemas.openxmlformats.org/officeDocument/2006/relationships/hyperlink" Id="rId270" Target="https://arxiv.org/abs/2302.05698" TargetMode="External" /><Relationship Type="http://schemas.openxmlformats.org/officeDocument/2006/relationships/hyperlink" Id="rId214" Target="https://arxiv.org/abs/2304.04576" TargetMode="External" /><Relationship Type="http://schemas.openxmlformats.org/officeDocument/2006/relationships/hyperlink" Id="rId256" Target="https://arxiv.org/abs/2304.09542" TargetMode="External" /><Relationship Type="http://schemas.openxmlformats.org/officeDocument/2006/relationships/hyperlink" Id="rId240" Target="https://arxiv.org/abs/2307.03172" TargetMode="External" /><Relationship Type="http://schemas.openxmlformats.org/officeDocument/2006/relationships/hyperlink" Id="rId185" Target="https://arxiv.org/abs/2401.14887" TargetMode="External" /><Relationship Type="http://schemas.openxmlformats.org/officeDocument/2006/relationships/hyperlink" Id="rId260" Target="https://arxiv.org/abs/2402.11750" TargetMode="External" /><Relationship Type="http://schemas.openxmlformats.org/officeDocument/2006/relationships/hyperlink" Id="rId268" Target="https://arxiv.org/abs/2403.08319" TargetMode="External" /><Relationship Type="http://schemas.openxmlformats.org/officeDocument/2006/relationships/hyperlink" Id="rId283" Target="https://arxiv.org/abs/2405.18253" TargetMode="External" /><Relationship Type="http://schemas.openxmlformats.org/officeDocument/2006/relationships/hyperlink" Id="rId272" Target="https://arxiv.org/abs/2407.02485" TargetMode="External" /><Relationship Type="http://schemas.openxmlformats.org/officeDocument/2006/relationships/hyperlink" Id="rId224" Target="https://arxiv.org/abs/2410.05983" TargetMode="External" /><Relationship Type="http://schemas.openxmlformats.org/officeDocument/2006/relationships/hyperlink" Id="rId266" Target="https://arxiv.org/abs/2410.07523" TargetMode="External" /><Relationship Type="http://schemas.openxmlformats.org/officeDocument/2006/relationships/hyperlink" Id="rId204" Target="https://arxiv.org/abs/2410.20247" TargetMode="External" /><Relationship Type="http://schemas.openxmlformats.org/officeDocument/2006/relationships/hyperlink" Id="rId242" Target="https://arxiv.org/abs/2411.00640" TargetMode="External" /><Relationship Type="http://schemas.openxmlformats.org/officeDocument/2006/relationships/hyperlink" Id="rId171" Target="https://arxiv.org/abs/2411.01533" TargetMode="External" /><Relationship Type="http://schemas.openxmlformats.org/officeDocument/2006/relationships/hyperlink" Id="rId226" Target="https://arxiv.org/abs/2411.06037" TargetMode="External" /><Relationship Type="http://schemas.openxmlformats.org/officeDocument/2006/relationships/hyperlink" Id="rId210" Target="https://arxiv.org/abs/2412.17031" TargetMode="External" /><Relationship Type="http://schemas.openxmlformats.org/officeDocument/2006/relationships/hyperlink" Id="rId187" Target="https://arxiv.org/abs/2503.01478" TargetMode="External" /><Relationship Type="http://schemas.openxmlformats.org/officeDocument/2006/relationships/hyperlink" Id="rId169" Target="https://arxiv.org/abs/2503.01747" TargetMode="External" /><Relationship Type="http://schemas.openxmlformats.org/officeDocument/2006/relationships/hyperlink" Id="rId236" Target="https://arxiv.org/abs/2503.04388" TargetMode="External" /><Relationship Type="http://schemas.openxmlformats.org/officeDocument/2006/relationships/hyperlink" Id="rId198" Target="https://arxiv.org/abs/2503.05491" TargetMode="External" /><Relationship Type="http://schemas.openxmlformats.org/officeDocument/2006/relationships/hyperlink" Id="rId234" Target="https://arxiv.org/abs/2504.07104" TargetMode="External" /><Relationship Type="http://schemas.openxmlformats.org/officeDocument/2006/relationships/hyperlink" Id="rId274" Target="https://arxiv.org/abs/2504.15630" TargetMode="External" /><Relationship Type="http://schemas.openxmlformats.org/officeDocument/2006/relationships/hyperlink" Id="rId177" Target="https://arxiv.org/abs/2507.03279" TargetMode="External" /><Relationship Type="http://schemas.openxmlformats.org/officeDocument/2006/relationships/hyperlink" Id="rId181" Target="https://arxiv.org/abs/2508.21184" TargetMode="External" /><Relationship Type="http://schemas.openxmlformats.org/officeDocument/2006/relationships/hyperlink" Id="rId218" Target="https://arxiv.org/abs/2510.00079" TargetMode="External" /><Relationship Type="http://schemas.openxmlformats.org/officeDocument/2006/relationships/hyperlink" Id="rId191" Target="https://arxiv.org/abs/2510.05381" TargetMode="External" /><Relationship Type="http://schemas.openxmlformats.org/officeDocument/2006/relationships/hyperlink" Id="rId276" Target="https://arxiv.org/abs/2510.11358" TargetMode="External" /><Relationship Type="http://schemas.openxmlformats.org/officeDocument/2006/relationships/hyperlink" Id="rId175" Target="https://arxiv.org/abs/2511.17908" TargetMode="External" /><Relationship Type="http://schemas.openxmlformats.org/officeDocument/2006/relationships/hyperlink" Id="rId220" Target="https://arxiv.org/abs/2512.06464" TargetMode="External" /><Relationship Type="http://schemas.openxmlformats.org/officeDocument/2006/relationships/hyperlink" Id="rId155" Target="https://arxiv.org/abs/2512.23617" TargetMode="External" /><Relationship Type="http://schemas.openxmlformats.org/officeDocument/2006/relationships/hyperlink" Id="rId222" Target="https://arxiv.org/abs/2601.05027" TargetMode="External" /><Relationship Type="http://schemas.openxmlformats.org/officeDocument/2006/relationships/hyperlink" Id="rId196" Target="https://arxiv.org/abs/2601.11273" TargetMode="External" /><Relationship Type="http://schemas.openxmlformats.org/officeDocument/2006/relationships/hyperlink" Id="rId179" Target="https://arxiv.org/abs/2601.16478" TargetMode="External" /><Relationship Type="http://schemas.openxmlformats.org/officeDocument/2006/relationships/hyperlink" Id="rId262" Target="https://arxiv.org/abs/2602.08294" TargetMode="External" /><Relationship Type="http://schemas.openxmlformats.org/officeDocument/2006/relationships/hyperlink" Id="rId246" Target="https://arxiv.org/abs/2604.06621" TargetMode="External" /><Relationship Type="http://schemas.openxmlformats.org/officeDocument/2006/relationships/hyperlink" Id="rId278" Target="https://arxiv.org/abs/2604.08920" TargetMode="External" /><Relationship Type="http://schemas.openxmlformats.org/officeDocument/2006/relationships/hyperlink" Id="rId248" Target="https://arxiv.org/abs/2605.03534" TargetMode="External" /><Relationship Type="http://schemas.openxmlformats.org/officeDocument/2006/relationships/hyperlink" Id="rId238" Target="https://arxiv.org/abs/2605.05716" TargetMode="External" /><Relationship Type="http://schemas.openxmlformats.org/officeDocument/2006/relationships/hyperlink" Id="rId280" Target="https://arxiv.org/abs/2605.06028" TargetMode="External" /><Relationship Type="http://schemas.openxmlformats.org/officeDocument/2006/relationships/hyperlink" Id="rId206" Target="https://arxiv.org/abs/2606.20047" TargetMode="External" /><Relationship Type="http://schemas.openxmlformats.org/officeDocument/2006/relationships/hyperlink" Id="rId200" Target="https://arxiv.org/abs/2608.26762" TargetMode="External" /><Relationship Type="http://schemas.openxmlformats.org/officeDocument/2006/relationships/hyperlink" Id="rId232" Target="https://doi.org/10.1007/978-1-4612-4946-7" TargetMode="External" /><Relationship Type="http://schemas.openxmlformats.org/officeDocument/2006/relationships/hyperlink" Id="rId244" Target="https://doi.org/10.1007/978-3-032-19099-4_23" TargetMode="External" /><Relationship Type="http://schemas.openxmlformats.org/officeDocument/2006/relationships/hyperlink" Id="rId287" Target="https://doi.org/10.1007/978-3-642-12275-0_32" TargetMode="External" /><Relationship Type="http://schemas.openxmlformats.org/officeDocument/2006/relationships/hyperlink" Id="rId202" Target="https://doi.org/10.1007/s10791-008-9045-0" TargetMode="External" /><Relationship Type="http://schemas.openxmlformats.org/officeDocument/2006/relationships/hyperlink" Id="rId228" Target="https://doi.org/10.1016/j.econlet.2024.112146" TargetMode="External" /><Relationship Type="http://schemas.openxmlformats.org/officeDocument/2006/relationships/hyperlink" Id="rId258" Target="https://doi.org/10.1017/CBO9780511666353" TargetMode="External" /><Relationship Type="http://schemas.openxmlformats.org/officeDocument/2006/relationships/hyperlink" Id="rId183" Target="https://doi.org/10.1093/biomet/26.4.404" TargetMode="External" /><Relationship Type="http://schemas.openxmlformats.org/officeDocument/2006/relationships/hyperlink" Id="rId250" Target="https://doi.org/10.1108/eb026647" TargetMode="External" /><Relationship Type="http://schemas.openxmlformats.org/officeDocument/2006/relationships/hyperlink" Id="rId164" Target="https://doi.org/10.1109/ISIT.2014.6875280" TargetMode="External" /><Relationship Type="http://schemas.openxmlformats.org/officeDocument/2006/relationships/hyperlink" Id="rId264" Target="https://doi.org/10.1145/1571941.1571963" TargetMode="External" /><Relationship Type="http://schemas.openxmlformats.org/officeDocument/2006/relationships/hyperlink" Id="rId173" Target="https://doi.org/10.1145/290941.291025" TargetMode="External" /><Relationship Type="http://schemas.openxmlformats.org/officeDocument/2006/relationships/hyperlink" Id="rId285" Target="https://doi.org/10.1145/3802111" TargetMode="External" /><Relationship Type="http://schemas.openxmlformats.org/officeDocument/2006/relationships/hyperlink" Id="rId230" Target="https://doi.org/10.1214/aoms/1177700372" TargetMode="External" /><Relationship Type="http://schemas.openxmlformats.org/officeDocument/2006/relationships/hyperlink" Id="rId193" Target="https://doi.org/10.1214/aoms/1177728174" TargetMode="External" /><Relationship Type="http://schemas.openxmlformats.org/officeDocument/2006/relationships/hyperlink" Id="rId166" Target="https://doi.org/10.1214/aoms/1177729032" TargetMode="External" /><Relationship Type="http://schemas.openxmlformats.org/officeDocument/2006/relationships/hyperlink" Id="rId159" Target="https://doi.org/10.5281/zenodo.20800031" TargetMode="External" /><Relationship Type="http://schemas.openxmlformats.org/officeDocument/2006/relationships/hyperlink" Id="rId157" Target="https://doi.org/10.5281/zenodo.20800175" TargetMode="External" /><Relationship Type="http://schemas.openxmlformats.org/officeDocument/2006/relationships/hyperlink" Id="rId161" Target="https://doi.org/10.5281/zenodo.20800209" TargetMode="External" /><Relationship Type="http://schemas.openxmlformats.org/officeDocument/2006/relationships/hyperlink" Id="rId74" Target="https://github.com/abilous-ti/blackwell-llm-context" TargetMode="External" /><Relationship Type="http://schemas.openxmlformats.org/officeDocument/2006/relationships/hyperlink" Id="rId216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9" Target="http://www.vldb.org/pvldb/vol6/p37-dong.pdf" TargetMode="External" /><Relationship Type="http://schemas.openxmlformats.org/officeDocument/2006/relationships/hyperlink" Id="rId212" Target="https://aclanthology.org/2025.fever-1.2/" TargetMode="External" /><Relationship Type="http://schemas.openxmlformats.org/officeDocument/2006/relationships/hyperlink" Id="rId208" Target="https://aclanthology.org/2026.findings-acl.583/" TargetMode="External" /><Relationship Type="http://schemas.openxmlformats.org/officeDocument/2006/relationships/hyperlink" Id="rId252" Target="https://arxiv.org/abs/1402.4884" TargetMode="External" /><Relationship Type="http://schemas.openxmlformats.org/officeDocument/2006/relationships/hyperlink" Id="rId254" Target="https://arxiv.org/abs/2302.00093" TargetMode="External" /><Relationship Type="http://schemas.openxmlformats.org/officeDocument/2006/relationships/hyperlink" Id="rId270" Target="https://arxiv.org/abs/2302.05698" TargetMode="External" /><Relationship Type="http://schemas.openxmlformats.org/officeDocument/2006/relationships/hyperlink" Id="rId214" Target="https://arxiv.org/abs/2304.04576" TargetMode="External" /><Relationship Type="http://schemas.openxmlformats.org/officeDocument/2006/relationships/hyperlink" Id="rId256" Target="https://arxiv.org/abs/2304.09542" TargetMode="External" /><Relationship Type="http://schemas.openxmlformats.org/officeDocument/2006/relationships/hyperlink" Id="rId240" Target="https://arxiv.org/abs/2307.03172" TargetMode="External" /><Relationship Type="http://schemas.openxmlformats.org/officeDocument/2006/relationships/hyperlink" Id="rId185" Target="https://arxiv.org/abs/2401.14887" TargetMode="External" /><Relationship Type="http://schemas.openxmlformats.org/officeDocument/2006/relationships/hyperlink" Id="rId260" Target="https://arxiv.org/abs/2402.11750" TargetMode="External" /><Relationship Type="http://schemas.openxmlformats.org/officeDocument/2006/relationships/hyperlink" Id="rId268" Target="https://arxiv.org/abs/2403.08319" TargetMode="External" /><Relationship Type="http://schemas.openxmlformats.org/officeDocument/2006/relationships/hyperlink" Id="rId283" Target="https://arxiv.org/abs/2405.18253" TargetMode="External" /><Relationship Type="http://schemas.openxmlformats.org/officeDocument/2006/relationships/hyperlink" Id="rId272" Target="https://arxiv.org/abs/2407.02485" TargetMode="External" /><Relationship Type="http://schemas.openxmlformats.org/officeDocument/2006/relationships/hyperlink" Id="rId224" Target="https://arxiv.org/abs/2410.05983" TargetMode="External" /><Relationship Type="http://schemas.openxmlformats.org/officeDocument/2006/relationships/hyperlink" Id="rId266" Target="https://arxiv.org/abs/2410.07523" TargetMode="External" /><Relationship Type="http://schemas.openxmlformats.org/officeDocument/2006/relationships/hyperlink" Id="rId204" Target="https://arxiv.org/abs/2410.20247" TargetMode="External" /><Relationship Type="http://schemas.openxmlformats.org/officeDocument/2006/relationships/hyperlink" Id="rId242" Target="https://arxiv.org/abs/2411.00640" TargetMode="External" /><Relationship Type="http://schemas.openxmlformats.org/officeDocument/2006/relationships/hyperlink" Id="rId171" Target="https://arxiv.org/abs/2411.01533" TargetMode="External" /><Relationship Type="http://schemas.openxmlformats.org/officeDocument/2006/relationships/hyperlink" Id="rId226" Target="https://arxiv.org/abs/2411.06037" TargetMode="External" /><Relationship Type="http://schemas.openxmlformats.org/officeDocument/2006/relationships/hyperlink" Id="rId210" Target="https://arxiv.org/abs/2412.17031" TargetMode="External" /><Relationship Type="http://schemas.openxmlformats.org/officeDocument/2006/relationships/hyperlink" Id="rId187" Target="https://arxiv.org/abs/2503.01478" TargetMode="External" /><Relationship Type="http://schemas.openxmlformats.org/officeDocument/2006/relationships/hyperlink" Id="rId169" Target="https://arxiv.org/abs/2503.01747" TargetMode="External" /><Relationship Type="http://schemas.openxmlformats.org/officeDocument/2006/relationships/hyperlink" Id="rId236" Target="https://arxiv.org/abs/2503.04388" TargetMode="External" /><Relationship Type="http://schemas.openxmlformats.org/officeDocument/2006/relationships/hyperlink" Id="rId198" Target="https://arxiv.org/abs/2503.05491" TargetMode="External" /><Relationship Type="http://schemas.openxmlformats.org/officeDocument/2006/relationships/hyperlink" Id="rId234" Target="https://arxiv.org/abs/2504.07104" TargetMode="External" /><Relationship Type="http://schemas.openxmlformats.org/officeDocument/2006/relationships/hyperlink" Id="rId274" Target="https://arxiv.org/abs/2504.15630" TargetMode="External" /><Relationship Type="http://schemas.openxmlformats.org/officeDocument/2006/relationships/hyperlink" Id="rId177" Target="https://arxiv.org/abs/2507.03279" TargetMode="External" /><Relationship Type="http://schemas.openxmlformats.org/officeDocument/2006/relationships/hyperlink" Id="rId181" Target="https://arxiv.org/abs/2508.21184" TargetMode="External" /><Relationship Type="http://schemas.openxmlformats.org/officeDocument/2006/relationships/hyperlink" Id="rId218" Target="https://arxiv.org/abs/2510.00079" TargetMode="External" /><Relationship Type="http://schemas.openxmlformats.org/officeDocument/2006/relationships/hyperlink" Id="rId191" Target="https://arxiv.org/abs/2510.05381" TargetMode="External" /><Relationship Type="http://schemas.openxmlformats.org/officeDocument/2006/relationships/hyperlink" Id="rId276" Target="https://arxiv.org/abs/2510.11358" TargetMode="External" /><Relationship Type="http://schemas.openxmlformats.org/officeDocument/2006/relationships/hyperlink" Id="rId175" Target="https://arxiv.org/abs/2511.17908" TargetMode="External" /><Relationship Type="http://schemas.openxmlformats.org/officeDocument/2006/relationships/hyperlink" Id="rId220" Target="https://arxiv.org/abs/2512.06464" TargetMode="External" /><Relationship Type="http://schemas.openxmlformats.org/officeDocument/2006/relationships/hyperlink" Id="rId155" Target="https://arxiv.org/abs/2512.23617" TargetMode="External" /><Relationship Type="http://schemas.openxmlformats.org/officeDocument/2006/relationships/hyperlink" Id="rId222" Target="https://arxiv.org/abs/2601.05027" TargetMode="External" /><Relationship Type="http://schemas.openxmlformats.org/officeDocument/2006/relationships/hyperlink" Id="rId196" Target="https://arxiv.org/abs/2601.11273" TargetMode="External" /><Relationship Type="http://schemas.openxmlformats.org/officeDocument/2006/relationships/hyperlink" Id="rId179" Target="https://arxiv.org/abs/2601.16478" TargetMode="External" /><Relationship Type="http://schemas.openxmlformats.org/officeDocument/2006/relationships/hyperlink" Id="rId262" Target="https://arxiv.org/abs/2602.08294" TargetMode="External" /><Relationship Type="http://schemas.openxmlformats.org/officeDocument/2006/relationships/hyperlink" Id="rId246" Target="https://arxiv.org/abs/2604.06621" TargetMode="External" /><Relationship Type="http://schemas.openxmlformats.org/officeDocument/2006/relationships/hyperlink" Id="rId278" Target="https://arxiv.org/abs/2604.08920" TargetMode="External" /><Relationship Type="http://schemas.openxmlformats.org/officeDocument/2006/relationships/hyperlink" Id="rId248" Target="https://arxiv.org/abs/2605.03534" TargetMode="External" /><Relationship Type="http://schemas.openxmlformats.org/officeDocument/2006/relationships/hyperlink" Id="rId238" Target="https://arxiv.org/abs/2605.05716" TargetMode="External" /><Relationship Type="http://schemas.openxmlformats.org/officeDocument/2006/relationships/hyperlink" Id="rId280" Target="https://arxiv.org/abs/2605.06028" TargetMode="External" /><Relationship Type="http://schemas.openxmlformats.org/officeDocument/2006/relationships/hyperlink" Id="rId206" Target="https://arxiv.org/abs/2606.20047" TargetMode="External" /><Relationship Type="http://schemas.openxmlformats.org/officeDocument/2006/relationships/hyperlink" Id="rId200" Target="https://arxiv.org/abs/2608.26762" TargetMode="External" /><Relationship Type="http://schemas.openxmlformats.org/officeDocument/2006/relationships/hyperlink" Id="rId232" Target="https://doi.org/10.1007/978-1-4612-4946-7" TargetMode="External" /><Relationship Type="http://schemas.openxmlformats.org/officeDocument/2006/relationships/hyperlink" Id="rId244" Target="https://doi.org/10.1007/978-3-032-19099-4_23" TargetMode="External" /><Relationship Type="http://schemas.openxmlformats.org/officeDocument/2006/relationships/hyperlink" Id="rId287" Target="https://doi.org/10.1007/978-3-642-12275-0_32" TargetMode="External" /><Relationship Type="http://schemas.openxmlformats.org/officeDocument/2006/relationships/hyperlink" Id="rId202" Target="https://doi.org/10.1007/s10791-008-9045-0" TargetMode="External" /><Relationship Type="http://schemas.openxmlformats.org/officeDocument/2006/relationships/hyperlink" Id="rId228" Target="https://doi.org/10.1016/j.econlet.2024.112146" TargetMode="External" /><Relationship Type="http://schemas.openxmlformats.org/officeDocument/2006/relationships/hyperlink" Id="rId258" Target="https://doi.org/10.1017/CBO9780511666353" TargetMode="External" /><Relationship Type="http://schemas.openxmlformats.org/officeDocument/2006/relationships/hyperlink" Id="rId183" Target="https://doi.org/10.1093/biomet/26.4.404" TargetMode="External" /><Relationship Type="http://schemas.openxmlformats.org/officeDocument/2006/relationships/hyperlink" Id="rId250" Target="https://doi.org/10.1108/eb026647" TargetMode="External" /><Relationship Type="http://schemas.openxmlformats.org/officeDocument/2006/relationships/hyperlink" Id="rId164" Target="https://doi.org/10.1109/ISIT.2014.6875280" TargetMode="External" /><Relationship Type="http://schemas.openxmlformats.org/officeDocument/2006/relationships/hyperlink" Id="rId264" Target="https://doi.org/10.1145/1571941.1571963" TargetMode="External" /><Relationship Type="http://schemas.openxmlformats.org/officeDocument/2006/relationships/hyperlink" Id="rId173" Target="https://doi.org/10.1145/290941.291025" TargetMode="External" /><Relationship Type="http://schemas.openxmlformats.org/officeDocument/2006/relationships/hyperlink" Id="rId285" Target="https://doi.org/10.1145/3802111" TargetMode="External" /><Relationship Type="http://schemas.openxmlformats.org/officeDocument/2006/relationships/hyperlink" Id="rId230" Target="https://doi.org/10.1214/aoms/1177700372" TargetMode="External" /><Relationship Type="http://schemas.openxmlformats.org/officeDocument/2006/relationships/hyperlink" Id="rId193" Target="https://doi.org/10.1214/aoms/1177728174" TargetMode="External" /><Relationship Type="http://schemas.openxmlformats.org/officeDocument/2006/relationships/hyperlink" Id="rId166" Target="https://doi.org/10.1214/aoms/1177729032" TargetMode="External" /><Relationship Type="http://schemas.openxmlformats.org/officeDocument/2006/relationships/hyperlink" Id="rId159" Target="https://doi.org/10.5281/zenodo.20800031" TargetMode="External" /><Relationship Type="http://schemas.openxmlformats.org/officeDocument/2006/relationships/hyperlink" Id="rId157" Target="https://doi.org/10.5281/zenodo.20800175" TargetMode="External" /><Relationship Type="http://schemas.openxmlformats.org/officeDocument/2006/relationships/hyperlink" Id="rId161" Target="https://doi.org/10.5281/zenodo.20800209" TargetMode="External" /><Relationship Type="http://schemas.openxmlformats.org/officeDocument/2006/relationships/hyperlink" Id="rId74" Target="https://github.com/abilous-ti/blackwell-llm-context" TargetMode="External" /><Relationship Type="http://schemas.openxmlformats.org/officeDocument/2006/relationships/hyperlink" Id="rId216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2026-09-09T10:19:58Z</dcterms:created>
  <dcterms:modified xsi:type="dcterms:W3CDTF">2026-09-09T10:19:58Z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eleven of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