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4"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3"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3"/>
    <w:bookmarkEnd w:id="24"/>
    <w:bookmarkStart w:id="32"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8"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6"/>
    <w:bookmarkStart w:id="27"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7"/>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8"/>
    <w:bookmarkStart w:id="30"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9"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9"/>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0"/>
    <w:bookmarkStart w:id="31"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1"/>
    <w:bookmarkEnd w:id="32"/>
    <w:bookmarkStart w:id="44"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7" w:name="the-order-and-its-two-registers"/>
    <w:p>
      <w:pPr>
        <w:pStyle w:val="Heading2"/>
      </w:pPr>
      <w:r>
        <w:t xml:space="preserve">The order and its two registers</w:t>
      </w:r>
    </w:p>
    <w:bookmarkStart w:id="33"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3"/>
    <w:p>
      <w:pPr>
        <w:pStyle w:val="BodyText"/>
      </w:pPr>
      <w:r>
        <w:t xml:space="preserve">The classical content of the order is the Blackwell–Sherman–Stein theorem, which we state with</w:t>
      </w:r>
      <w:r>
        <w:t xml:space="preserve"> </w:t>
      </w:r>
      <w:r>
        <w:t xml:space="preserve">hypotheses for a self-contained treatment.</w:t>
      </w:r>
    </w:p>
    <w:bookmarkStart w:id="34"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4"/>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5"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5"/>
    <w:bookmarkStart w:id="36"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6"/>
    <w:bookmarkEnd w:id="37"/>
    <w:bookmarkStart w:id="39"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8"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8"/>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9"/>
    <w:bookmarkStart w:id="43"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0"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0"/>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1"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prior, no caps and no measurement. Lemma 2</w:t>
      </w:r>
      <w:r>
        <w:rPr>
          <w:i/>
          <w:iCs/>
        </w:rPr>
        <w:t xml:space="preserve">(a)</w:t>
      </w:r>
      <w:r>
        <w:rPr>
          <w:i/>
          <w:iCs/>
        </w:rPr>
        <w:t xml:space="preserve"> </w:t>
      </w:r>
      <w:r>
        <w:rPr>
          <w:i/>
          <w:iCs/>
        </w:rPr>
        <w:t xml:space="preserve">is</w:t>
      </w:r>
      <w:r>
        <w:rPr>
          <w:i/>
          <w:iCs/>
        </w:rPr>
        <w:t xml:space="preserve"> </w:t>
      </w:r>
      <w:r>
        <w:rPr>
          <w:i/>
          <w:iCs/>
        </w:rPr>
        <w:t xml:space="preserve">the more general route, for a pair not handed to us as projections, and its caps are the price of</w:t>
      </w:r>
      <w:r>
        <w:rPr>
          <w:i/>
          <w:iCs/>
        </w:rPr>
        <w:t xml:space="preserve"> </w:t>
      </w:r>
      <w:r>
        <w:rPr>
          <w:i/>
          <w:iCs/>
        </w:rPr>
        <w:t xml:space="preserve">that generality.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1"/>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2"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2"/>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w:t>
      </w:r>
      <w:r>
        <w:t xml:space="preserve"> </w:t>
      </w:r>
      <w:r>
        <w:rPr>
          <w:i/>
          <w:iCs/>
        </w:rPr>
        <w:t xml:space="preserve">where the baseline is in fact near zero</w:t>
      </w:r>
      <w:r>
        <w:t xml:space="preserve">, which</w:t>
      </w:r>
      <w:r>
        <w:t xml:space="preserve"> </w:t>
      </w:r>
      <w:r>
        <w:t xml:space="preserve">it is not everywhere: GPT-5.5 reads</w:t>
      </w:r>
      <w:r>
        <w:t xml:space="preserve"> </w:t>
      </w:r>
      <m:oMath>
        <m:r>
          <m:t>5</m:t>
        </m:r>
        <m:r>
          <m:rPr>
            <m:sty m:val="p"/>
          </m:rPr>
          <m:t>%</m:t>
        </m:r>
      </m:oMath>
      <w:r>
        <w:t xml:space="preserve">,</w:t>
      </w:r>
      <w:r>
        <w:t xml:space="preserve"> </w:t>
      </w:r>
      <m:oMath>
        <m:r>
          <m:t>75</m:t>
        </m:r>
        <m:r>
          <m:rPr>
            <m:sty m:val="p"/>
          </m:rPr>
          <m:t>%</m:t>
        </m:r>
      </m:oMath>
      <w:r>
        <w:t xml:space="preserve">,</w:t>
      </w:r>
      <w:r>
        <w:t xml:space="preserve"> </w:t>
      </w:r>
      <m:oMath>
        <m:r>
          <m:t>55</m:t>
        </m:r>
        <m:r>
          <m:rPr>
            <m:sty m:val="p"/>
          </m:rPr>
          <m:t>%</m:t>
        </m:r>
      </m:oMath>
      <w:r>
        <w:t xml:space="preserve"> </w:t>
      </w:r>
      <w:r>
        <w:t xml:space="preserve">and</w:t>
      </w:r>
      <w:r>
        <w:t xml:space="preserve"> </w:t>
      </w:r>
      <m:oMath>
        <m:r>
          <m:t>0</m:t>
        </m:r>
        <m:r>
          <m:rPr>
            <m:sty m:val="p"/>
          </m:rPr>
          <m:t>%</m:t>
        </m:r>
      </m:oMath>
      <w:r>
        <w:t xml:space="preserve"> </w:t>
      </w:r>
      <w:r>
        <w:t xml:space="preserve">across the four cells, and</w:t>
      </w:r>
      <w:r>
        <w:t xml:space="preserve"> </w:t>
      </w:r>
      <w:r>
        <w:t xml:space="preserve">its only</w:t>
      </w:r>
      <w:r>
        <w:t xml:space="preserve"> </w:t>
      </w:r>
      <m:oMath>
        <m:sSub>
          <m:e>
            <m:r>
              <m:t>W</m:t>
            </m:r>
          </m:e>
          <m:sub>
            <m:r>
              <m:t>2</m:t>
            </m:r>
          </m:sub>
        </m:sSub>
      </m:oMath>
      <w:r>
        <w:t xml:space="preserve">-decisive cell,</w:t>
      </w:r>
      <w:r>
        <w:t xml:space="preserve"> </w:t>
      </w:r>
      <w:r>
        <w:rPr>
          <w:rStyle w:val="VerbatimChar"/>
        </w:rPr>
        <w:t xml:space="preserve">enc_amount</w:t>
      </w:r>
      <w:r>
        <w:t xml:space="preserve">, sits at</w:t>
      </w:r>
      <w:r>
        <w:t xml:space="preserve"> </w:t>
      </w:r>
      <m:oMath>
        <m:r>
          <m:t>55</m:t>
        </m:r>
        <m:r>
          <m:rPr>
            <m:sty m:val="p"/>
          </m:rPr>
          <m:t>%</m:t>
        </m:r>
      </m:oMath>
      <w:r>
        <w:t xml:space="preserve">. Two claims must be kept apart</w:t>
      </w:r>
      <w:r>
        <w:t xml:space="preserve"> </w:t>
      </w:r>
      <w:r>
        <w:t xml:space="preserve">here. The</w:t>
      </w:r>
      <w:r>
        <w:t xml:space="preserve"> </w:t>
      </w:r>
      <m:oMath>
        <m:r>
          <m:rPr>
            <m:sty m:val="p"/>
          </m:rPr>
          <m:t>(</m:t>
        </m:r>
        <m:r>
          <m:t>M</m:t>
        </m:r>
        <m:r>
          <m:rPr>
            <m:sty m:val="p"/>
          </m:rPr>
          <m:t>,</m:t>
        </m:r>
        <m:r>
          <m:rPr>
            <m:scr m:val="script"/>
            <m:sty m:val="p"/>
          </m:rPr>
          <m:t>D</m:t>
        </m:r>
        <m:r>
          <m:rPr>
            <m:sty m:val="p"/>
          </m:rPr>
          <m:t>)</m:t>
        </m:r>
      </m:oMath>
      <w:r>
        <w:t xml:space="preserve">-incomparability verification is unaffected, since it contrasts</w:t>
      </w:r>
      <w:r>
        <w:t xml:space="preserve"> </w:t>
      </w:r>
      <m:oMath>
        <m:sSub>
          <m:e>
            <m:r>
              <m:t>W</m:t>
            </m:r>
          </m:e>
          <m:sub>
            <m:r>
              <m:t>1</m:t>
            </m:r>
          </m:sub>
        </m:sSub>
      </m:oMath>
      <w:r>
        <w:t xml:space="preserve"> </w:t>
      </w:r>
      <w:r>
        <w:t xml:space="preserve">against</w:t>
      </w:r>
      <w:r>
        <w:t xml:space="preserve"> </w:t>
      </w:r>
      <m:oMath>
        <m:sSub>
          <m:e>
            <m:r>
              <m:t>W</m:t>
            </m:r>
          </m:e>
          <m:sub>
            <m:r>
              <m:t>2</m:t>
            </m:r>
          </m:sub>
        </m:sSub>
      </m:oMath>
      <w:r>
        <w:t xml:space="preserve"> </w:t>
      </w:r>
      <w:r>
        <w:t xml:space="preserve">and never reads the</w:t>
      </w:r>
      <w:r>
        <w:t xml:space="preserve"> </w:t>
      </w:r>
      <w:r>
        <w:rPr>
          <w:rStyle w:val="VerbatimChar"/>
        </w:rPr>
        <w:t xml:space="preserve">none</w:t>
      </w:r>
      <w:r>
        <w:t xml:space="preserve"> </w:t>
      </w:r>
      <w:r>
        <w:t xml:space="preserve">arm. What weakens on a leaky cell is the</w:t>
      </w:r>
      <w:r>
        <w:t xml:space="preserve"> </w:t>
      </w:r>
      <w:r>
        <w:rPr>
          <w:i/>
          <w:iCs/>
        </w:rPr>
        <w:t xml:space="preserve">bridge</w:t>
      </w:r>
      <w:r>
        <w:t xml:space="preserve"> </w:t>
      </w:r>
      <w:r>
        <w:t xml:space="preserve">to</w:t>
      </w:r>
      <w:r>
        <w:t xml:space="preserve"> </w:t>
      </w:r>
      <w:r>
        <w:t xml:space="preserve">structural incomparability, which is what the caps are for; on GPT-5.5’s</w:t>
      </w:r>
      <w:r>
        <w:t xml:space="preserve"> </w:t>
      </w:r>
      <m:oMath>
        <m:sSub>
          <m:e>
            <m:r>
              <m:t>W</m:t>
            </m:r>
          </m:e>
          <m:sub>
            <m:r>
              <m:t>2</m:t>
            </m:r>
          </m:sub>
        </m:sSub>
      </m:oMath>
      <w:r>
        <w:t xml:space="preserve"> </w:t>
      </w:r>
      <w:r>
        <w:t xml:space="preserve">direction we</w:t>
      </w:r>
      <w:r>
        <w:t xml:space="preserve"> </w:t>
      </w:r>
      <w:r>
        <w:t xml:space="preserve">therefore report the measured crossing and do not claim the structural conclusion. A measured</w:t>
      </w:r>
      <w:r>
        <w:t xml:space="preserve"> </w:t>
      </w:r>
      <w:r>
        <w:t xml:space="preserve">floor is in any case evidence for the cap premise, 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 hypotheses throughout (Remark 1).</w:t>
      </w:r>
      <w:r>
        <w:t xml:space="preserve"> </w:t>
      </w:r>
      <w:r>
        <w:t xml:space="preserve">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3"/>
    <w:bookmarkEnd w:id="44"/>
    <w:bookmarkStart w:id="54"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9" w:name="query-independent-scores-the-theorem"/>
    <w:p>
      <w:pPr>
        <w:pStyle w:val="Heading2"/>
      </w:pPr>
      <w:r>
        <w:t xml:space="preserve">Query-independent scores: the theorem</w:t>
      </w:r>
    </w:p>
    <w:bookmarkStart w:id="45"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5"/>
    <w:bookmarkStart w:id="46"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6"/>
    <w:bookmarkStart w:id="47"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7"/>
    <w:bookmarkStart w:id="48"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8"/>
    <w:bookmarkEnd w:id="49"/>
    <w:bookmarkStart w:id="53"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0"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0"/>
    <w:bookmarkStart w:id="51"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1"/>
    <w:bookmarkStart w:id="52"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2"/>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3"/>
    <w:bookmarkEnd w:id="54"/>
    <w:bookmarkStart w:id="66"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6"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5"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5"/>
    <w:bookmarkEnd w:id="56"/>
    <w:bookmarkStart w:id="59"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7"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7"/>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8"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8"/>
    <w:bookmarkEnd w:id="59"/>
    <w:bookmarkStart w:id="62"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0"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0"/>
    <w:bookmarkStart w:id="61"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1"/>
    <w:bookmarkEnd w:id="62"/>
    <w:bookmarkStart w:id="64"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3"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3"/>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4"/>
    <w:bookmarkStart w:id="65"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5"/>
    <w:bookmarkEnd w:id="66"/>
    <w:bookmarkStart w:id="106"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9"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7"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7"/>
    <w:bookmarkStart w:id="68"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8"/>
    <w:bookmarkEnd w:id="69"/>
    <w:bookmarkStart w:id="72"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0"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0"/>
    <w:bookmarkStart w:id="71"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1"/>
    <w:bookmarkEnd w:id="72"/>
    <w:bookmarkStart w:id="82" w:name="sec:methodology"/>
    <w:p>
      <w:pPr>
        <w:pStyle w:val="Heading2"/>
      </w:pPr>
      <w:r>
        <w:t xml:space="preserve">Methodology</w:t>
      </w:r>
    </w:p>
    <w:bookmarkStart w:id="73"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3"/>
    <w:bookmarkStart w:id="75"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4">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5"/>
    <w:bookmarkStart w:id="76"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6"/>
    <w:bookmarkStart w:id="77"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7"/>
    <w:bookmarkStart w:id="78"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8"/>
    <w:bookmarkStart w:id="79"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9"/>
    <w:bookmarkStart w:id="80"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End w:id="82"/>
    <w:bookmarkStart w:id="96"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4"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3"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3"/>
    <w:bookmarkEnd w:id="84"/>
    <w:bookmarkStart w:id="86"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5"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5"/>
    <w:bookmarkEnd w:id="86"/>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0.744</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0.744</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7"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7"/>
    <w:bookmarkEnd w:id="88"/>
    <w:bookmarkStart w:id="89"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 earlier</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 on</w:t>
      </w:r>
      <w:r>
        <w:t xml:space="preserve"> </w:t>
      </w:r>
      <w:r>
        <w:rPr>
          <w:rStyle w:val="VerbatimChar"/>
        </w:rPr>
        <w:t xml:space="preserve">api_post_ok</w:t>
      </w:r>
      <w:r>
        <w:t xml:space="preserve">, whose</w:t>
      </w:r>
      <w:r>
        <w:t xml:space="preserve"> </w:t>
      </w:r>
      <w:r>
        <w:rPr>
          <w:rStyle w:val="VerbatimChar"/>
        </w:rPr>
        <w:t xml:space="preserve">none</w:t>
      </w:r>
      <w:r>
        <w:t xml:space="preserve"> </w:t>
      </w:r>
      <w:r>
        <w:t xml:space="preserve">arm is</w:t>
      </w:r>
      <w:r>
        <w:t xml:space="preserve"> </w:t>
      </w:r>
      <m:oMath>
        <m:r>
          <m:t>0</m:t>
        </m:r>
        <m:r>
          <m:rPr>
            <m:sty m:val="p"/>
          </m:rPr>
          <m:t>/</m:t>
        </m:r>
        <m:r>
          <m:t>80</m:t>
        </m:r>
      </m:oMath>
      <w:r>
        <w:t xml:space="preserve"> </w:t>
      </w:r>
      <w:r>
        <w:t xml:space="preserve">in that run,</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and the reversed superset</w:t>
      </w:r>
      <w:r>
        <w:t xml:space="preserve"> </w:t>
      </w:r>
      <m:oMath>
        <m:r>
          <m:t>1</m:t>
        </m:r>
        <m:r>
          <m:rPr>
            <m:sty m:val="p"/>
          </m:rPr>
          <m:t>%</m:t>
        </m:r>
      </m:oMath>
      <w:r>
        <w:t xml:space="preserve">, a</w:t>
      </w:r>
      <w:r>
        <w:t xml:space="preserve"> </w:t>
      </w:r>
      <w:r>
        <w:t xml:space="preserve">contrast whose upper bound is</w:t>
      </w:r>
      <w:r>
        <w:t xml:space="preserve"> </w:t>
      </w:r>
      <m:oMath>
        <m:r>
          <m:rPr>
            <m:sty m:val="p"/>
          </m:rPr>
          <m:t>−</m:t>
        </m:r>
        <m:r>
          <m:t>0.83</m:t>
        </m:r>
      </m:oMath>
      <w:r>
        <w:t xml:space="preserve">. Neither ordering restores the single-source arm, so within</w:t>
      </w:r>
      <w:r>
        <w:t xml:space="preserve"> </w:t>
      </w:r>
      <w:r>
        <w:t xml:space="preserve">that run the collapse is not a pure primacy or recency effect. Two limits on how far this</w:t>
      </w:r>
      <w:r>
        <w:t xml:space="preserve"> </w:t>
      </w:r>
      <w:r>
        <w:t xml:space="preserve">carries. The run is agentic while the main table is single-shot, so we report it as an auxiliary</w:t>
      </w:r>
      <w:r>
        <w:t xml:space="preserve"> </w:t>
      </w:r>
      <w:r>
        <w:t xml:space="preserve">control rather than as part of the six-model record. And its</w:t>
      </w:r>
      <w:r>
        <w:t xml:space="preserve"> </w:t>
      </w:r>
      <w:r>
        <w:rPr>
          <w:rStyle w:val="VerbatimChar"/>
        </w:rPr>
        <w:t xml:space="preserve">api_argorder</w:t>
      </w:r>
      <w:r>
        <w:t xml:space="preserve"> </w:t>
      </w:r>
      <w:r>
        <w:t xml:space="preserve">arm used an</w:t>
      </w:r>
      <w:r>
        <w:t xml:space="preserve"> </w:t>
      </w:r>
      <w:r>
        <w:t xml:space="preserve">earlier, leakier version of that task, with a</w:t>
      </w:r>
      <w:r>
        <w:t xml:space="preserve"> </w:t>
      </w:r>
      <m:oMath>
        <m:r>
          <m:t>40</m:t>
        </m:r>
        <m:r>
          <m:rPr>
            <m:sty m:val="p"/>
          </m:rPr>
          <m:t>%</m:t>
        </m:r>
      </m:oMath>
      <w:r>
        <w:t xml:space="preserve"> </w:t>
      </w:r>
      <w:r>
        <w:rPr>
          <w:rStyle w:val="VerbatimChar"/>
        </w:rPr>
        <w:t xml:space="preserve">none</w:t>
      </w:r>
      <w:r>
        <w:t xml:space="preserve"> </w:t>
      </w:r>
      <w:r>
        <w:t xml:space="preserve">baseline against the</w:t>
      </w:r>
      <w:r>
        <w:t xml:space="preserve"> </w:t>
      </w:r>
      <m:oMath>
        <m:r>
          <m:t>1</m:t>
        </m:r>
      </m:oMath>
      <w:r>
        <w:t xml:space="preserve">–</w:t>
      </w:r>
      <m:oMath>
        <m:r>
          <m:t>2</m:t>
        </m:r>
        <m:r>
          <m:rPr>
            <m:sty m:val="p"/>
          </m:rPr>
          <m:t>%</m:t>
        </m:r>
      </m:oMath>
      <w:r>
        <w:t xml:space="preserve"> </w:t>
      </w:r>
      <w:r>
        <w:t xml:space="preserve">of the hardened version used everywhere else, so we do not read its reversed-order figure as</w:t>
      </w:r>
      <w:r>
        <w:t xml:space="preserve"> </w:t>
      </w:r>
      <w:r>
        <w:t xml:space="preserve">comparable and do not rely on it here. What the control establishes is that position does not</w:t>
      </w:r>
      <w:r>
        <w:t xml:space="preserve"> </w:t>
      </w:r>
      <w:r>
        <w:rPr>
          <w:i/>
          <w:iCs/>
        </w:rPr>
        <w:t xml:space="preserve">explain</w:t>
      </w:r>
      <w:r>
        <w:t xml:space="preserve"> </w:t>
      </w:r>
      <w:r>
        <w:t xml:space="preserve">the collapse; it does not bound how much position contributes to its size.</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2"/>
    <w:bookmarkEnd w:id="93"/>
    <w:bookmarkStart w:id="95"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auditable-per-cell-record."/>
    <w:p>
      <w:pPr>
        <w:pStyle w:val="Heading4"/>
      </w:pPr>
      <w:r>
        <w:t xml:space="preserve">Auditable per-cell record.</w:t>
      </w:r>
    </w:p>
    <w:p>
      <w:pPr>
        <w:pStyle w:val="FirstParagraph"/>
      </w:pPr>
      <w:r>
        <w:t xml:space="preserve">The full per-arm PASS record for every carrying cell is Table A1 in Appendix B, so each verification can be reconstructed from the reported counts.</w:t>
      </w:r>
    </w:p>
    <w:bookmarkEnd w:id="94"/>
    <w:bookmarkEnd w:id="95"/>
    <w:bookmarkEnd w:id="96"/>
    <w:bookmarkStart w:id="102"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8"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7"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7"/>
    <w:bookmarkEnd w:id="98"/>
    <w:bookmarkStart w:id="101"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0"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9"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9"/>
    <w:bookmarkEnd w:id="100"/>
    <w:bookmarkEnd w:id="101"/>
    <w:bookmarkEnd w:id="102"/>
    <w:bookmarkStart w:id="105"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3"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3"/>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4"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4"/>
    <w:bookmarkEnd w:id="105"/>
    <w:bookmarkEnd w:id="106"/>
    <w:bookmarkStart w:id="121"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bridge"/>
    <w:p>
      <w:pPr>
        <w:pStyle w:val="Heading2"/>
      </w:pPr>
      <w:r>
        <w:t xml:space="preserve">Scope of the claims</w:t>
      </w:r>
    </w:p>
    <w:p>
      <w:pPr>
        <w:pStyle w:val="FirstParagraph"/>
      </w:pPr>
      <w:bookmarkStart w:id="107" w:name="sec:disc-deficiency"/>
      <w:bookmarkEnd w:id="107"/>
      <w:bookmarkStart w:id="108" w:name="sec:disc-certificate"/>
      <w:bookmarkEnd w:id="108"/>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9"/>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20"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and its</w:t>
      </w:r>
      <w:r>
        <w:t xml:space="preserve"> </w:t>
      </w:r>
      <w:r>
        <w:rPr>
          <w:rStyle w:val="VerbatimChar"/>
        </w:rPr>
        <w:t xml:space="preserve">api_argorder</w:t>
      </w:r>
      <w:r>
        <w:t xml:space="preserve"> </w:t>
      </w:r>
      <w:r>
        <w:t xml:space="preserve">cell used</w:t>
      </w:r>
      <w:r>
        <w:t xml:space="preserve"> </w:t>
      </w:r>
      <w:r>
        <w:t xml:space="preserve">an earlier variant of that task with a</w:t>
      </w:r>
      <w:r>
        <w:t xml:space="preserve"> </w:t>
      </w:r>
      <m:oMath>
        <m:r>
          <m:t>40</m:t>
        </m:r>
        <m:r>
          <m:rPr>
            <m:sty m:val="p"/>
          </m:rPr>
          <m:t>%</m:t>
        </m:r>
      </m:oMath>
      <w:r>
        <w:t xml:space="preserve"> </w:t>
      </w:r>
      <w:r>
        <w:rPr>
          <w:rStyle w:val="VerbatimChar"/>
        </w:rPr>
        <w:t xml:space="preserve">none</w:t>
      </w:r>
      <w:r>
        <w:t xml:space="preserve"> </w:t>
      </w:r>
      <w:r>
        <w:t xml:space="preserve">baseline; it is therefore not</w:t>
      </w:r>
      <w:r>
        <w:t xml:space="preserve"> </w:t>
      </w:r>
      <w:r>
        <w:t xml:space="preserve">comparable with the single-shot main table and we report only its clean</w:t>
      </w:r>
      <w:r>
        <w:t xml:space="preserve"> </w:t>
      </w:r>
      <w:r>
        <w:rPr>
          <w:rStyle w:val="VerbatimChar"/>
        </w:rPr>
        <w:t xml:space="preserve">api_post_ok</w:t>
      </w:r>
      <w:r>
        <w:t xml:space="preserve"> </w:t>
      </w:r>
      <w:r>
        <w:t xml:space="preserve">arm,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7"/>
    <w:bookmarkStart w:id="118"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8"/>
    <w:bookmarkStart w:id="119"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9"/>
    <w:bookmarkEnd w:id="120"/>
    <w:bookmarkEnd w:id="121"/>
    <w:bookmarkStart w:id="122"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2"/>
    <w:bookmarkStart w:id="123"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3"/>
    <w:bookmarkStart w:id="124"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4"/>
    <w:bookmarkStart w:id="125"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5"/>
    <w:bookmarkStart w:id="126" w:name="informed-consent-statement"/>
    <w:p>
      <w:pPr>
        <w:pStyle w:val="Heading1"/>
      </w:pPr>
      <w:r>
        <w:t xml:space="preserve">Informed Consent Statement</w:t>
      </w:r>
    </w:p>
    <w:p>
      <w:pPr>
        <w:pStyle w:val="FirstParagraph"/>
      </w:pPr>
      <w:r>
        <w:t xml:space="preserve">Not applicable.</w:t>
      </w:r>
    </w:p>
    <w:bookmarkEnd w:id="126"/>
    <w:bookmarkStart w:id="127"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4">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7"/>
    <w:bookmarkStart w:id="128"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8"/>
    <w:bookmarkStart w:id="129"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29"/>
    <w:bookmarkStart w:id="130" w:name="conflicts-of-interest"/>
    <w:p>
      <w:pPr>
        <w:pStyle w:val="Heading1"/>
      </w:pPr>
      <w:r>
        <w:t xml:space="preserve">Conflicts of Interest</w:t>
      </w:r>
    </w:p>
    <w:p>
      <w:pPr>
        <w:pStyle w:val="FirstParagraph"/>
      </w:pPr>
      <w:r>
        <w:t xml:space="preserve">The authors declare no conflict of interest.</w:t>
      </w:r>
    </w:p>
    <w:bookmarkEnd w:id="130"/>
    <w:bookmarkStart w:id="131"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1"/>
    <w:bookmarkStart w:id="143" w:name="app:proofs"/>
    <w:p>
      <w:pPr>
        <w:pStyle w:val="Heading1"/>
      </w:pPr>
      <w:r>
        <w:t xml:space="preserve">Deferred proofs and technical material</w:t>
      </w:r>
    </w:p>
    <w:bookmarkStart w:id="132"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2"/>
    <w:bookmarkStart w:id="133"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3"/>
    <w:bookmarkStart w:id="134"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4"/>
    <w:bookmarkStart w:id="135"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5"/>
    <w:bookmarkStart w:id="13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6"/>
    <w:bookmarkStart w:id="13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7"/>
    <w:bookmarkStart w:id="138"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8"/>
    <w:bookmarkStart w:id="13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9"/>
    <w:bookmarkStart w:id="141" w:name="relation-to-llm-evaluation-statistics"/>
    <w:p>
      <w:pPr>
        <w:pStyle w:val="Heading2"/>
      </w:pPr>
      <w:r>
        <w:t xml:space="preserve">Relation to LLM-evaluation statistics</w:t>
      </w:r>
    </w:p>
    <w:bookmarkStart w:id="140"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0"/>
    <w:bookmarkEnd w:id="141"/>
    <w:bookmarkStart w:id="142"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2"/>
    <w:bookmarkEnd w:id="143"/>
    <w:bookmarkStart w:id="149" w:name="app:record"/>
    <w:p>
      <w:pPr>
        <w:pStyle w:val="Heading1"/>
      </w:pPr>
      <w:r>
        <w:t xml:space="preserve">Extended experimental record</w:t>
      </w:r>
    </w:p>
    <w:bookmarkStart w:id="148"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4"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4"/>
    <w:bookmarkStart w:id="145"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5"/>
    <w:bookmarkStart w:id="146"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6"/>
    <w:bookmarkStart w:id="147"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7"/>
    <w:bookmarkEnd w:id="148"/>
    <w:bookmarkEnd w:id="149"/>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4">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0"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0"/>
    <w:bookmarkStart w:id="151"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1"/>
    <w:bookmarkStart w:id="152"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4">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blackwell_argorder_n80</w:t>
      </w:r>
      <w:r>
        <w:t xml:space="preserve"> </w:t>
      </w:r>
      <w:r>
        <w:t xml:space="preserve">(an agentic</w:t>
      </w:r>
      <w:r>
        <w:t xml:space="preserve"> </w:t>
      </w:r>
      <m:oMath>
        <m:r>
          <m:t>n</m:t>
        </m:r>
        <m:r>
          <m:rPr>
            <m:sty m:val="p"/>
          </m:rPr>
          <m:t>=</m:t>
        </m:r>
        <m:r>
          <m:t>80</m:t>
        </m:r>
      </m:oMath>
      <w:r>
        <w:t xml:space="preserve"> </w:t>
      </w:r>
      <w:r>
        <w:t xml:space="preserve">confirmation of the</w:t>
      </w:r>
      <w:r>
        <w:t xml:space="preserve"> </w:t>
      </w:r>
      <w:r>
        <w:rPr>
          <w:rStyle w:val="VerbatimChar"/>
        </w:rPr>
        <w:t xml:space="preserve">api_argorder</w:t>
      </w:r>
      <w:r>
        <w:t xml:space="preserve"> </w:t>
      </w:r>
      <w:r>
        <w:t xml:space="preserve">collapse on the hardened task,</w:t>
      </w:r>
      <w:r>
        <w:t xml:space="preserve"> </w:t>
      </w:r>
      <m:oMath>
        <m:r>
          <m:t>100</m:t>
        </m:r>
        <m:r>
          <m:rPr>
            <m:sty m:val="p"/>
          </m:rPr>
          <m:t>%</m:t>
        </m:r>
        <m:r>
          <m:rPr>
            <m:sty m:val="p"/>
          </m:rPr>
          <m:t>→</m:t>
        </m:r>
        <m:r>
          <m:t>1</m:t>
        </m:r>
        <m:r>
          <m:rPr>
            <m:sty m:val="p"/>
          </m:rPr>
          <m:t>%</m:t>
        </m:r>
      </m:oMath>
      <w:r>
        <w:t xml:space="preserve"> </w:t>
      </w:r>
      <w:r>
        <w:t xml:space="preserve">with upper bound</w:t>
      </w:r>
      <w:r>
        <w:t xml:space="preserve"> </w:t>
      </w:r>
      <m:oMath>
        <m:r>
          <m:rPr>
            <m:sty m:val="p"/>
          </m:rPr>
          <m:t>−</m:t>
        </m:r>
        <m:r>
          <m:t>0.91</m:t>
        </m:r>
      </m:oMath>
      <w:r>
        <w:t xml:space="preserve">;</w:t>
      </w:r>
      <w:r>
        <w:t xml:space="preserve"> </w:t>
      </w:r>
      <w:r>
        <w:t xml:space="preserve">reported here for completeness, since the manuscript uses the single-shot</w:t>
      </w:r>
      <w:r>
        <w:t xml:space="preserve"> </w:t>
      </w:r>
      <m:oMath>
        <m:r>
          <m:t>n</m:t>
        </m:r>
        <m:r>
          <m:rPr>
            <m:sty m:val="p"/>
          </m:rPr>
          <m:t>=</m:t>
        </m:r>
        <m:r>
          <m:t>40</m:t>
        </m:r>
      </m:oMath>
      <w:r>
        <w:t xml:space="preserve"> </w:t>
      </w:r>
      <w:r>
        <w:t xml:space="preserve">measurement of</w:t>
      </w:r>
      <w:r>
        <w:t xml:space="preserve"> </w:t>
      </w:r>
      <w:r>
        <w:t xml:space="preserve">that cell instead),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2"/>
    <w:bookmarkStart w:id="288"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2">
        <w:r>
          <w:rPr>
            <w:rStyle w:val="Hyperlink"/>
          </w:rPr>
          <w:t xml:space="preserve">https://doi.org/10.1109/ISIT.2014.6875280</w:t>
        </w:r>
      </w:hyperlink>
      <w:r>
        <w:t xml:space="preserve">.</w:t>
      </w:r>
    </w:p>
    <w:bookmarkEnd w:id="163"/>
    <w:bookmarkStart w:id="16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4">
        <w:r>
          <w:rPr>
            <w:rStyle w:val="Hyperlink"/>
          </w:rPr>
          <w:t xml:space="preserve">https://doi.org/10.1214/aoms/1177729032</w:t>
        </w:r>
      </w:hyperlink>
      <w:r>
        <w:t xml:space="preserve">.</w:t>
      </w:r>
    </w:p>
    <w:bookmarkEnd w:id="165"/>
    <w:bookmarkStart w:id="16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6"/>
    <w:bookmarkStart w:id="16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7">
        <w:r>
          <w:rPr>
            <w:rStyle w:val="Hyperlink"/>
          </w:rPr>
          <w:t xml:space="preserve">https://arxiv.org/abs/2503.01747</w:t>
        </w:r>
      </w:hyperlink>
      <w:r>
        <w:t xml:space="preserve">.</w:t>
      </w:r>
    </w:p>
    <w:bookmarkEnd w:id="168"/>
    <w:bookmarkStart w:id="17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9">
        <w:r>
          <w:rPr>
            <w:rStyle w:val="Hyperlink"/>
          </w:rPr>
          <w:t xml:space="preserve">https://arxiv.org/abs/2411.01533</w:t>
        </w:r>
      </w:hyperlink>
      <w:r>
        <w:t xml:space="preserve">.</w:t>
      </w:r>
    </w:p>
    <w:bookmarkEnd w:id="170"/>
    <w:bookmarkStart w:id="17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1">
        <w:r>
          <w:rPr>
            <w:rStyle w:val="Hyperlink"/>
          </w:rPr>
          <w:t xml:space="preserve">https://doi.org/10.1145/290941.291025</w:t>
        </w:r>
      </w:hyperlink>
      <w:r>
        <w:t xml:space="preserve">.</w:t>
      </w:r>
    </w:p>
    <w:bookmarkEnd w:id="172"/>
    <w:bookmarkStart w:id="174"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3">
        <w:r>
          <w:rPr>
            <w:rStyle w:val="Hyperlink"/>
          </w:rPr>
          <w:t xml:space="preserve">https://arxiv.org/abs/2511.17908</w:t>
        </w:r>
      </w:hyperlink>
      <w:r>
        <w:t xml:space="preserve">.</w:t>
      </w:r>
    </w:p>
    <w:bookmarkEnd w:id="174"/>
    <w:bookmarkStart w:id="176"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5">
        <w:r>
          <w:rPr>
            <w:rStyle w:val="Hyperlink"/>
          </w:rPr>
          <w:t xml:space="preserve">https://arxiv.org/abs/2507.03279</w:t>
        </w:r>
      </w:hyperlink>
      <w:r>
        <w:t xml:space="preserve">.</w:t>
      </w:r>
    </w:p>
    <w:bookmarkEnd w:id="176"/>
    <w:bookmarkStart w:id="178"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7">
        <w:r>
          <w:rPr>
            <w:rStyle w:val="Hyperlink"/>
          </w:rPr>
          <w:t xml:space="preserve">https://arxiv.org/abs/2601.16478</w:t>
        </w:r>
      </w:hyperlink>
      <w:r>
        <w:t xml:space="preserve">.</w:t>
      </w:r>
    </w:p>
    <w:bookmarkEnd w:id="178"/>
    <w:bookmarkStart w:id="180"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9">
        <w:r>
          <w:rPr>
            <w:rStyle w:val="Hyperlink"/>
          </w:rPr>
          <w:t xml:space="preserve">https://arxiv.org/abs/2508.21184</w:t>
        </w:r>
      </w:hyperlink>
      <w:r>
        <w:t xml:space="preserve">.</w:t>
      </w:r>
    </w:p>
    <w:bookmarkEnd w:id="180"/>
    <w:bookmarkStart w:id="182"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1">
        <w:r>
          <w:rPr>
            <w:rStyle w:val="Hyperlink"/>
          </w:rPr>
          <w:t xml:space="preserve">https://doi.org/10.1093/biomet/26.4.404</w:t>
        </w:r>
      </w:hyperlink>
      <w:r>
        <w:t xml:space="preserve">.</w:t>
      </w:r>
    </w:p>
    <w:bookmarkEnd w:id="182"/>
    <w:bookmarkStart w:id="184"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3">
        <w:r>
          <w:rPr>
            <w:rStyle w:val="Hyperlink"/>
          </w:rPr>
          <w:t xml:space="preserve">https://arxiv.org/abs/2401.14887</w:t>
        </w:r>
      </w:hyperlink>
      <w:r>
        <w:t xml:space="preserve">.</w:t>
      </w:r>
    </w:p>
    <w:bookmarkEnd w:id="184"/>
    <w:bookmarkStart w:id="186"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5">
        <w:r>
          <w:rPr>
            <w:rStyle w:val="Hyperlink"/>
          </w:rPr>
          <w:t xml:space="preserve">https://arxiv.org/abs/2503.01478</w:t>
        </w:r>
      </w:hyperlink>
      <w:r>
        <w:t xml:space="preserve">.</w:t>
      </w:r>
    </w:p>
    <w:bookmarkEnd w:id="186"/>
    <w:bookmarkStart w:id="188"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7">
        <w:r>
          <w:rPr>
            <w:rStyle w:val="Hyperlink"/>
          </w:rPr>
          <w:t xml:space="preserve">http://www.vldb.org/pvldb/vol6/p37-dong.pdf</w:t>
        </w:r>
      </w:hyperlink>
      <w:r>
        <w:t xml:space="preserve">.</w:t>
      </w:r>
    </w:p>
    <w:bookmarkEnd w:id="188"/>
    <w:bookmarkStart w:id="19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9">
        <w:r>
          <w:rPr>
            <w:rStyle w:val="Hyperlink"/>
          </w:rPr>
          <w:t xml:space="preserve">https://arxiv.org/abs/2510.05381</w:t>
        </w:r>
      </w:hyperlink>
      <w:r>
        <w:t xml:space="preserve">.</w:t>
      </w:r>
    </w:p>
    <w:bookmarkEnd w:id="190"/>
    <w:bookmarkStart w:id="19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1">
        <w:r>
          <w:rPr>
            <w:rStyle w:val="Hyperlink"/>
          </w:rPr>
          <w:t xml:space="preserve">https://doi.org/10.1214/aoms/1177728174</w:t>
        </w:r>
      </w:hyperlink>
      <w:r>
        <w:t xml:space="preserve">.</w:t>
      </w:r>
    </w:p>
    <w:bookmarkEnd w:id="192"/>
    <w:bookmarkStart w:id="19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3"/>
    <w:bookmarkStart w:id="195"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4">
        <w:r>
          <w:rPr>
            <w:rStyle w:val="Hyperlink"/>
          </w:rPr>
          <w:t xml:space="preserve">https://arxiv.org/abs/2601.11273</w:t>
        </w:r>
      </w:hyperlink>
      <w:r>
        <w:t xml:space="preserve">.</w:t>
      </w:r>
    </w:p>
    <w:bookmarkEnd w:id="195"/>
    <w:bookmarkStart w:id="19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6">
        <w:r>
          <w:rPr>
            <w:rStyle w:val="Hyperlink"/>
          </w:rPr>
          <w:t xml:space="preserve">https://arxiv.org/abs/2503.05491</w:t>
        </w:r>
      </w:hyperlink>
      <w:r>
        <w:t xml:space="preserve">.</w:t>
      </w:r>
    </w:p>
    <w:bookmarkEnd w:id="197"/>
    <w:bookmarkStart w:id="199"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8">
        <w:r>
          <w:rPr>
            <w:rStyle w:val="Hyperlink"/>
          </w:rPr>
          <w:t xml:space="preserve">https://arxiv.org/abs/2608.26762</w:t>
        </w:r>
      </w:hyperlink>
      <w:r>
        <w:t xml:space="preserve">.</w:t>
      </w:r>
    </w:p>
    <w:bookmarkEnd w:id="199"/>
    <w:bookmarkStart w:id="201"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0">
        <w:r>
          <w:rPr>
            <w:rStyle w:val="Hyperlink"/>
          </w:rPr>
          <w:t xml:space="preserve">https://doi.org/10.1007/s10791-008-9045-0</w:t>
        </w:r>
      </w:hyperlink>
      <w:r>
        <w:t xml:space="preserve">.</w:t>
      </w:r>
    </w:p>
    <w:bookmarkEnd w:id="201"/>
    <w:bookmarkStart w:id="203"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2">
        <w:r>
          <w:rPr>
            <w:rStyle w:val="Hyperlink"/>
          </w:rPr>
          <w:t xml:space="preserve">https://arxiv.org/abs/2410.20247</w:t>
        </w:r>
      </w:hyperlink>
      <w:r>
        <w:t xml:space="preserve">.</w:t>
      </w:r>
    </w:p>
    <w:bookmarkEnd w:id="203"/>
    <w:bookmarkStart w:id="205"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4">
        <w:r>
          <w:rPr>
            <w:rStyle w:val="Hyperlink"/>
          </w:rPr>
          <w:t xml:space="preserve">https://arxiv.org/abs/2606.20047</w:t>
        </w:r>
      </w:hyperlink>
      <w:r>
        <w:t xml:space="preserve">.</w:t>
      </w:r>
    </w:p>
    <w:bookmarkEnd w:id="205"/>
    <w:bookmarkStart w:id="207"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6">
        <w:r>
          <w:rPr>
            <w:rStyle w:val="Hyperlink"/>
          </w:rPr>
          <w:t xml:space="preserve">https://aclanthology.org/2026.findings-acl.583/</w:t>
        </w:r>
      </w:hyperlink>
      <w:r>
        <w:t xml:space="preserve">.</w:t>
      </w:r>
    </w:p>
    <w:bookmarkEnd w:id="207"/>
    <w:bookmarkStart w:id="209"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8">
        <w:r>
          <w:rPr>
            <w:rStyle w:val="Hyperlink"/>
          </w:rPr>
          <w:t xml:space="preserve">https://arxiv.org/abs/2412.17031</w:t>
        </w:r>
      </w:hyperlink>
      <w:r>
        <w:t xml:space="preserve">.</w:t>
      </w:r>
    </w:p>
    <w:bookmarkEnd w:id="209"/>
    <w:bookmarkStart w:id="211"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0">
        <w:r>
          <w:rPr>
            <w:rStyle w:val="Hyperlink"/>
          </w:rPr>
          <w:t xml:space="preserve">https://aclanthology.org/2025.fever-1.2/</w:t>
        </w:r>
      </w:hyperlink>
      <w:r>
        <w:t xml:space="preserve">.</w:t>
      </w:r>
    </w:p>
    <w:bookmarkEnd w:id="211"/>
    <w:bookmarkStart w:id="213"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2">
        <w:r>
          <w:rPr>
            <w:rStyle w:val="Hyperlink"/>
          </w:rPr>
          <w:t xml:space="preserve">https://arxiv.org/abs/2304.04576</w:t>
        </w:r>
      </w:hyperlink>
      <w:r>
        <w:t xml:space="preserve">.</w:t>
      </w:r>
    </w:p>
    <w:bookmarkEnd w:id="213"/>
    <w:bookmarkStart w:id="21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4">
        <w:r>
          <w:rPr>
            <w:rStyle w:val="Hyperlink"/>
          </w:rPr>
          <w:t xml:space="preserve">https://www.trychroma.com/research/context-rot</w:t>
        </w:r>
      </w:hyperlink>
      <w:r>
        <w:t xml:space="preserve">.</w:t>
      </w:r>
    </w:p>
    <w:bookmarkEnd w:id="215"/>
    <w:bookmarkStart w:id="21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6">
        <w:r>
          <w:rPr>
            <w:rStyle w:val="Hyperlink"/>
          </w:rPr>
          <w:t xml:space="preserve">https://arxiv.org/abs/2510.00079</w:t>
        </w:r>
      </w:hyperlink>
      <w:r>
        <w:t xml:space="preserve">.</w:t>
      </w:r>
    </w:p>
    <w:bookmarkEnd w:id="217"/>
    <w:bookmarkStart w:id="219"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8">
        <w:r>
          <w:rPr>
            <w:rStyle w:val="Hyperlink"/>
          </w:rPr>
          <w:t xml:space="preserve">https://arxiv.org/abs/2512.06464</w:t>
        </w:r>
      </w:hyperlink>
      <w:r>
        <w:t xml:space="preserve">.</w:t>
      </w:r>
    </w:p>
    <w:bookmarkEnd w:id="219"/>
    <w:bookmarkStart w:id="221"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0">
        <w:r>
          <w:rPr>
            <w:rStyle w:val="Hyperlink"/>
          </w:rPr>
          <w:t xml:space="preserve">https://arxiv.org/abs/2601.05027</w:t>
        </w:r>
      </w:hyperlink>
      <w:r>
        <w:t xml:space="preserve">.</w:t>
      </w:r>
    </w:p>
    <w:bookmarkEnd w:id="221"/>
    <w:bookmarkStart w:id="223"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2">
        <w:r>
          <w:rPr>
            <w:rStyle w:val="Hyperlink"/>
          </w:rPr>
          <w:t xml:space="preserve">https://arxiv.org/abs/2410.05983</w:t>
        </w:r>
      </w:hyperlink>
      <w:r>
        <w:t xml:space="preserve">.</w:t>
      </w:r>
    </w:p>
    <w:bookmarkEnd w:id="223"/>
    <w:bookmarkStart w:id="225"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4">
        <w:r>
          <w:rPr>
            <w:rStyle w:val="Hyperlink"/>
          </w:rPr>
          <w:t xml:space="preserve">https://arxiv.org/abs/2411.06037</w:t>
        </w:r>
      </w:hyperlink>
      <w:r>
        <w:t xml:space="preserve">.</w:t>
      </w:r>
    </w:p>
    <w:bookmarkEnd w:id="225"/>
    <w:bookmarkStart w:id="227"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6">
        <w:r>
          <w:rPr>
            <w:rStyle w:val="Hyperlink"/>
          </w:rPr>
          <w:t xml:space="preserve">https://doi.org/10.1016/j.econlet.2024.112146</w:t>
        </w:r>
      </w:hyperlink>
      <w:r>
        <w:t xml:space="preserve">.</w:t>
      </w:r>
    </w:p>
    <w:bookmarkEnd w:id="227"/>
    <w:bookmarkStart w:id="22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8">
        <w:r>
          <w:rPr>
            <w:rStyle w:val="Hyperlink"/>
          </w:rPr>
          <w:t xml:space="preserve">https://doi.org/10.1214/aoms/1177700372</w:t>
        </w:r>
      </w:hyperlink>
      <w:r>
        <w:t xml:space="preserve">.</w:t>
      </w:r>
    </w:p>
    <w:bookmarkEnd w:id="229"/>
    <w:bookmarkStart w:id="23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0">
        <w:r>
          <w:rPr>
            <w:rStyle w:val="Hyperlink"/>
          </w:rPr>
          <w:t xml:space="preserve">https://doi.org/10.1007/978-1-4612-4946-7</w:t>
        </w:r>
      </w:hyperlink>
      <w:r>
        <w:t xml:space="preserve">.</w:t>
      </w:r>
    </w:p>
    <w:bookmarkEnd w:id="231"/>
    <w:bookmarkStart w:id="23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2">
        <w:r>
          <w:rPr>
            <w:rStyle w:val="Hyperlink"/>
          </w:rPr>
          <w:t xml:space="preserve">https://arxiv.org/abs/2504.07104</w:t>
        </w:r>
      </w:hyperlink>
      <w:r>
        <w:t xml:space="preserve">.</w:t>
      </w:r>
    </w:p>
    <w:bookmarkEnd w:id="233"/>
    <w:bookmarkStart w:id="23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4">
        <w:r>
          <w:rPr>
            <w:rStyle w:val="Hyperlink"/>
          </w:rPr>
          <w:t xml:space="preserve">https://arxiv.org/abs/2503.04388</w:t>
        </w:r>
      </w:hyperlink>
      <w:r>
        <w:t xml:space="preserve">.</w:t>
      </w:r>
    </w:p>
    <w:bookmarkEnd w:id="235"/>
    <w:bookmarkStart w:id="23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6">
        <w:r>
          <w:rPr>
            <w:rStyle w:val="Hyperlink"/>
          </w:rPr>
          <w:t xml:space="preserve">https://arxiv.org/abs/2605.05716</w:t>
        </w:r>
      </w:hyperlink>
      <w:r>
        <w:t xml:space="preserve">.</w:t>
      </w:r>
    </w:p>
    <w:bookmarkEnd w:id="237"/>
    <w:bookmarkStart w:id="23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8">
        <w:r>
          <w:rPr>
            <w:rStyle w:val="Hyperlink"/>
          </w:rPr>
          <w:t xml:space="preserve">https://arxiv.org/abs/2307.03172</w:t>
        </w:r>
      </w:hyperlink>
      <w:r>
        <w:t xml:space="preserve">.</w:t>
      </w:r>
    </w:p>
    <w:bookmarkEnd w:id="239"/>
    <w:bookmarkStart w:id="24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0">
        <w:r>
          <w:rPr>
            <w:rStyle w:val="Hyperlink"/>
          </w:rPr>
          <w:t xml:space="preserve">https://arxiv.org/abs/2411.00640</w:t>
        </w:r>
      </w:hyperlink>
      <w:r>
        <w:t xml:space="preserve">.</w:t>
      </w:r>
    </w:p>
    <w:bookmarkEnd w:id="241"/>
    <w:bookmarkStart w:id="24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2">
        <w:r>
          <w:rPr>
            <w:rStyle w:val="Hyperlink"/>
          </w:rPr>
          <w:t xml:space="preserve">https://doi.org/10.1007/978-3-032-19099-4_23</w:t>
        </w:r>
      </w:hyperlink>
      <w:r>
        <w:t xml:space="preserve">.</w:t>
      </w:r>
    </w:p>
    <w:bookmarkEnd w:id="243"/>
    <w:bookmarkStart w:id="24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4">
        <w:r>
          <w:rPr>
            <w:rStyle w:val="Hyperlink"/>
          </w:rPr>
          <w:t xml:space="preserve">https://arxiv.org/abs/2604.06621</w:t>
        </w:r>
      </w:hyperlink>
      <w:r>
        <w:t xml:space="preserve">.</w:t>
      </w:r>
    </w:p>
    <w:bookmarkEnd w:id="245"/>
    <w:bookmarkStart w:id="24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6">
        <w:r>
          <w:rPr>
            <w:rStyle w:val="Hyperlink"/>
          </w:rPr>
          <w:t xml:space="preserve">https://arxiv.org/abs/2605.03534</w:t>
        </w:r>
      </w:hyperlink>
      <w:r>
        <w:t xml:space="preserve">.</w:t>
      </w:r>
    </w:p>
    <w:bookmarkEnd w:id="247"/>
    <w:bookmarkStart w:id="24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8">
        <w:r>
          <w:rPr>
            <w:rStyle w:val="Hyperlink"/>
          </w:rPr>
          <w:t xml:space="preserve">https://doi.org/10.1108/eb026647</w:t>
        </w:r>
      </w:hyperlink>
      <w:r>
        <w:t xml:space="preserve">.</w:t>
      </w:r>
    </w:p>
    <w:bookmarkEnd w:id="249"/>
    <w:bookmarkStart w:id="25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0">
        <w:r>
          <w:rPr>
            <w:rStyle w:val="Hyperlink"/>
          </w:rPr>
          <w:t xml:space="preserve">https://arxiv.org/abs/1402.4884</w:t>
        </w:r>
      </w:hyperlink>
      <w:r>
        <w:t xml:space="preserve">.</w:t>
      </w:r>
    </w:p>
    <w:bookmarkEnd w:id="251"/>
    <w:bookmarkStart w:id="25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2">
        <w:r>
          <w:rPr>
            <w:rStyle w:val="Hyperlink"/>
          </w:rPr>
          <w:t xml:space="preserve">https://arxiv.org/abs/2302.00093</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2026-09-09T08:05:10Z</dcterms:created>
  <dcterms:modified xsi:type="dcterms:W3CDTF">2026-09-09T08:05:10Z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