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and when they</w:t>
      </w:r>
      <w:r>
        <w:t xml:space="preserve"> </w:t>
      </w:r>
      <w:r>
        <w:t xml:space="preserve">are, no single per-source score, relevance or utility,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w:t>
      </w:r>
      <w:r>
        <w:t xml:space="preserve"> </w:t>
      </w:r>
      <w:r>
        <w:t xml:space="preserve">Scaling the selection rule this implies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7"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0.35</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0.37</m:t>
        </m:r>
      </m:oMath>
      <w:r>
        <w:t xml:space="preserve">); a length-matched padding control shows equal-length irrelevant text is harmless, so</w:t>
      </w:r>
      <w:r>
        <w:t xml:space="preserve"> </w:t>
      </w:r>
      <w:r>
        <w:t xml:space="preserve">the harm is the added signal, not token count or position (§7.4.3).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2"/>
    <w:bookmarkStart w:id="13"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both impossibility results are machine-checked in Lean 4 and depend on no axioms</w:t>
      </w:r>
      <w:r>
        <w:t xml:space="preserve"> </w:t>
      </w:r>
      <w:r>
        <w:t xml:space="preserve">(Remark 3). 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(Dvoretzky et al. 1956)</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3"/>
    <w:bookmarkStart w:id="14" w:name="roadmap."/>
    <w:p>
      <w:pPr>
        <w:pStyle w:val="Heading4"/>
      </w:pPr>
      <w:r>
        <w:t xml:space="preserve">Roadmap.</w:t>
      </w:r>
    </w:p>
    <w:p>
      <w:pPr>
        <w:pStyle w:val="FirstParagraph"/>
      </w:pPr>
      <w:r>
        <w:t xml:space="preserve">§2 positions the work; §3 fixes the objects and defines</w:t>
      </w:r>
      <w:r>
        <w:t xml:space="preserve"> </w:t>
      </w:r>
      <m:oMath>
        <m:r>
          <m:t>θ</m:t>
        </m:r>
      </m:oMath>
      <w:r>
        <w:t xml:space="preserve">; §4 develops the partial order, the</w:t>
      </w:r>
      <w:r>
        <w:t xml:space="preserve"> </w:t>
      </w:r>
      <m:oMath>
        <m:sSub>
          <m:e>
            <m:r>
              <m:t>δ</m:t>
            </m:r>
          </m:e>
          <m:sub>
            <m:r>
              <m:t>M</m:t>
            </m:r>
          </m:sub>
        </m:sSub>
      </m:oMath>
      <w:r>
        <w:t xml:space="preserve">-restricted order and the</w:t>
      </w:r>
      <w:r>
        <w:t xml:space="preserve"> </w:t>
      </w:r>
      <w:r>
        <w:t xml:space="preserve">bridging lemma; §5 proves the impossibility and isolates the</w:t>
      </w:r>
      <w:r>
        <w:t xml:space="preserve"> </w:t>
      </w:r>
      <w:r>
        <w:t xml:space="preserve">query-conditioned case (C1); §6 gives the surrogate and its verifications (C2);</w:t>
      </w:r>
      <w:r>
        <w:t xml:space="preserve"> </w:t>
      </w:r>
      <w:r>
        <w:t xml:space="preserve">§7 reports the six-model program (C3); §8.4 states scope,</w:t>
      </w:r>
      <w:r>
        <w:t xml:space="preserve"> </w:t>
      </w:r>
      <w:r>
        <w:t xml:space="preserve">and §9 concludes. The two impossibility proofs accompany their statements; the</w:t>
      </w:r>
      <w:r>
        <w:t xml:space="preserve"> </w:t>
      </w:r>
      <w:r>
        <w:t xml:space="preserve">rest is deferred to Appendices A–C. Every reference has been verified</w:t>
      </w:r>
      <w:r>
        <w:t xml:space="preserve"> </w:t>
      </w:r>
      <w:r>
        <w:t xml:space="preserve">against arXiv/DBLP/publisher records, and both impossibility results are machine-checked in Lean 4</w:t>
      </w:r>
      <w:r>
        <w:t xml:space="preserve"> </w:t>
      </w:r>
      <w:r>
        <w:t xml:space="preserve">(Remark 3).</w:t>
      </w:r>
    </w:p>
    <w:bookmarkEnd w:id="14"/>
    <w:bookmarkStart w:id="16"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5"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5"/>
    <w:bookmarkEnd w:id="16"/>
    <w:bookmarkEnd w:id="17"/>
    <w:bookmarkStart w:id="27" w:name="sec:related"/>
    <w:p>
      <w:pPr>
        <w:pStyle w:val="Heading1"/>
      </w:pPr>
      <w:r>
        <w:t xml:space="preserve">Related Work</w:t>
      </w:r>
    </w:p>
    <w:bookmarkStart w:id="18"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8"/>
    <w:bookmarkStart w:id="20" w:name="sec:related-scalar"/>
    <w:p>
      <w:pPr>
        <w:pStyle w:val="Heading2"/>
      </w:pPr>
      <w:r>
        <w:t xml:space="preserve">Scalar selection and its limits in information retrieval</w:t>
      </w:r>
    </w:p>
    <w:p>
      <w:pPr>
        <w:pStyle w:val="FirstParagraph"/>
      </w:pPr>
      <w:bookmarkStart w:id="19" w:name="sec:related-ir"/>
      <w:bookmarkEnd w:id="19"/>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0"/>
    <w:bookmarkStart w:id="21"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1"/>
    <w:bookmarkStart w:id="24" w:name="sec:related-deficiency"/>
    <w:p>
      <w:pPr>
        <w:pStyle w:val="Heading2"/>
      </w:pPr>
      <w:r>
        <w:t xml:space="preserve">The comparison of experiments in machine learning</w:t>
      </w:r>
    </w:p>
    <w:p>
      <w:pPr>
        <w:pStyle w:val="FirstParagraph"/>
      </w:pPr>
      <w:bookmarkStart w:id="22" w:name="sec:related-llmrep"/>
      <w:bookmarkEnd w:id="22"/>
      <w:bookmarkStart w:id="23" w:name="sec:related-foundations"/>
      <w:bookmarkEnd w:id="23"/>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in their Bayesian regime a</w:t>
      </w:r>
      <w:r>
        <w:t xml:space="preserve"> </w:t>
      </w:r>
      <w:r>
        <w:rPr>
          <w:i/>
          <w:iCs/>
        </w:rPr>
        <w:t xml:space="preserve">scalar</w:t>
      </w:r>
      <w:r>
        <w:t xml:space="preserve">, the mutual</w:t>
      </w:r>
      <w:r>
        <w:t xml:space="preserve"> </w:t>
      </w:r>
      <w:r>
        <w:t xml:space="preserve">information between the curated and the test data, determines that order, the opposite of our</w:t>
      </w:r>
      <w:r>
        <w:t xml:space="preserve"> </w:t>
      </w:r>
      <w:r>
        <w:t xml:space="preserve">finding that no query-independent scalar can be faithful once the order is partial</w:t>
      </w:r>
      <w:r>
        <w:t xml:space="preserve"> </w:t>
      </w:r>
      <w:r>
        <w:t xml:space="preserve">(Theorem 2); the difference is that their comparison is taken against the</w:t>
      </w:r>
      <w:r>
        <w:t xml:space="preserve"> </w:t>
      </w:r>
      <w:r>
        <w:t xml:space="preserve">Bayes-optimal user of the data, ours against a fixed model rule on a task family.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 and machine-checked in Lean 4</w:t>
      </w:r>
      <w:r>
        <w:t xml:space="preserve"> </w:t>
      </w:r>
      <w:r>
        <w:t xml:space="preserve">(Remark 3);</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4"/>
    <w:bookmarkStart w:id="26"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5"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5"/>
    <w:bookmarkEnd w:id="26"/>
    <w:bookmarkEnd w:id="27"/>
    <w:bookmarkStart w:id="34"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0"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8"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8"/>
    <w:bookmarkStart w:id="29"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9"/>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0"/>
    <w:bookmarkStart w:id="32"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1"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1"/>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2"/>
    <w:bookmarkStart w:id="33"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3"/>
    <w:bookmarkEnd w:id="34"/>
    <w:bookmarkStart w:id="46"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9" w:name="the-order-and-its-two-registers"/>
    <w:p>
      <w:pPr>
        <w:pStyle w:val="Heading2"/>
      </w:pPr>
      <w:r>
        <w:t xml:space="preserve">The order and its two registers</w:t>
      </w:r>
    </w:p>
    <w:bookmarkStart w:id="35"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5"/>
    <w:p>
      <w:pPr>
        <w:pStyle w:val="BodyText"/>
      </w:pPr>
      <w:r>
        <w:t xml:space="preserve">The classical content of the order is the Blackwell–Sherman–Stein theorem, which we state with</w:t>
      </w:r>
      <w:r>
        <w:t xml:space="preserve"> </w:t>
      </w:r>
      <w:r>
        <w:t xml:space="preserve">hypotheses for a self-contained treatment.</w:t>
      </w:r>
    </w:p>
    <w:bookmarkStart w:id="36"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6"/>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7"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7"/>
    <w:bookmarkStart w:id="38"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(Torgersen 1991)</w:t>
      </w:r>
      <w:r>
        <w:t xml:space="preserve">.</w:t>
      </w:r>
      <w:r>
        <w:t xml:space="preserve"> </w:t>
      </w:r>
      <w:r>
        <w:t xml:space="preserve">Incomparability is exactly the regime our experiments target.</w:t>
      </w:r>
    </w:p>
    <w:bookmarkEnd w:id="38"/>
    <w:bookmarkEnd w:id="39"/>
    <w:bookmarkStart w:id="41"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0"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0"/>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1"/>
    <w:bookmarkStart w:id="45"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2"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2"/>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3"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3"/>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4"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4"/>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5"/>
    <w:bookmarkEnd w:id="46"/>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2" w:name="query-independent-scores-the-theorem"/>
    <w:p>
      <w:pPr>
        <w:pStyle w:val="Heading2"/>
      </w:pPr>
      <w:r>
        <w:t xml:space="preserve">Query-independent scores: the theorem</w:t>
      </w:r>
    </w:p>
    <w:bookmarkStart w:id="47"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7"/>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8"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8"/>
    <w:bookmarkStart w:id="49"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49"/>
    <w:bookmarkStart w:id="50"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0"/>
    <w:bookmarkStart w:id="51"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1"/>
    <w:bookmarkEnd w:id="52"/>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3"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a feature map that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 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w:t>
      </w:r>
      <w:r>
        <w:rPr>
          <w:i/>
          <w:iCs/>
        </w:rPr>
        <w:t xml:space="preserve"> </w:t>
      </w:r>
      <w:r>
        <w:rPr>
          <w:b/>
          <w:bCs/>
          <w:i/>
          <w:iCs/>
        </w:rPr>
        <w:t xml:space="preserve">(a)</w:t>
      </w:r>
      <w:r>
        <w:rPr>
          <w:i/>
          <w:iCs/>
        </w:rPr>
        <w:t xml:space="preserve"> </w:t>
      </w:r>
      <w:r>
        <w:rPr>
          <w:i/>
          <w:iCs/>
        </w:rPr>
        <w:t xml:space="preserve">If</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w:t>
      </w:r>
      <w:r>
        <w:rPr>
          <w:i/>
          <w:iCs/>
        </w:rPr>
        <w:t xml:space="preserve"> </w:t>
      </w:r>
      <w:r>
        <w:rPr>
          <w:i/>
          <w:iCs/>
        </w:rPr>
        <w:t xml:space="preserve">topically indistinguishable on</w:t>
      </w:r>
      <w:r>
        <w:rPr>
          <w:i/>
          <w:iCs/>
        </w:rPr>
        <w:t xml:space="preserve"> </w:t>
      </w:r>
      <m:oMath>
        <m:sSub>
          <m:e>
            <m:r>
              <m:t>T</m:t>
            </m:r>
          </m:e>
          <m:sub>
            <m:r>
              <m:t>c</m:t>
            </m:r>
          </m:sub>
        </m:sSub>
      </m:oMath>
      <w:r>
        <w:rPr>
          <w:i/>
          <w:iCs/>
        </w:rPr>
        <w:t xml:space="preserve">, then</w:t>
      </w:r>
      <w:r>
        <w:rPr>
          <w:i/>
          <w:iCs/>
        </w:rPr>
        <w:t xml:space="preserve"> </w:t>
      </w:r>
      <m:oMath>
        <m:r>
          <m:t>φ</m:t>
        </m:r>
      </m:oMath>
      <w:r>
        <w:rPr>
          <w:i/>
          <w:iCs/>
        </w:rPr>
        <w:t xml:space="preserve"> </w:t>
      </w:r>
      <w:r>
        <w:rPr>
          <w:i/>
          <w:iCs/>
        </w:rPr>
        <w:t xml:space="preserve">assigns them equal scores and 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w:t>
      </w:r>
      <w:r>
        <w:rPr>
          <w:i/>
          <w:iCs/>
        </w:rPr>
        <w:t xml:space="preserve"> </w:t>
      </w:r>
      <w:r>
        <w:rPr>
          <w:i/>
          <w:iCs/>
        </w:rPr>
        <w:t xml:space="preserve">If in addition</w:t>
      </w:r>
      <w:r>
        <w:rPr>
          <w:i/>
          <w:iCs/>
        </w:rPr>
        <w:t xml:space="preserve"> </w:t>
      </w:r>
      <m:oMath>
        <m:r>
          <m:t>φ</m:t>
        </m:r>
        <m:r>
          <m:rPr>
            <m:sty m:val="p"/>
          </m:rPr>
          <m:t>(</m:t>
        </m:r>
        <m:r>
          <m:rPr>
            <m:sty m:val="p"/>
          </m:rPr>
          <m:t>⋅</m:t>
        </m:r>
        <m:r>
          <m:rPr>
            <m:sty m:val="p"/>
          </m:rPr>
          <m:t>,</m:t>
        </m:r>
        <m:sSub>
          <m:e>
            <m:r>
              <m:t>T</m:t>
            </m:r>
          </m:e>
          <m:sub>
            <m:r>
              <m:t>c</m:t>
            </m:r>
          </m:sub>
        </m:sSub>
        <m:r>
          <m:rPr>
            <m:sty m:val="p"/>
          </m:rPr>
          <m:t>)</m:t>
        </m:r>
      </m:oMath>
      <w:r>
        <w:rPr>
          <w:i/>
          <w:iCs/>
        </w:rPr>
        <w:t xml:space="preserve"> </w:t>
      </w:r>
      <w:r>
        <w:rPr>
          <w:i/>
          <w:iCs/>
        </w:rPr>
        <w:t xml:space="preserve">is strictly increasing</w:t>
      </w:r>
      <w:r>
        <w:rPr>
          <w:i/>
          <w:iCs/>
        </w:rPr>
        <w:t xml:space="preserve"> </w:t>
      </w:r>
      <w:r>
        <w:rPr>
          <w:i/>
          <w:iCs/>
        </w:rPr>
        <w:t xml:space="preserve">in lexical overlap and</w:t>
      </w:r>
      <w:r>
        <w:rPr>
          <w:i/>
          <w:iCs/>
        </w:rPr>
        <w:t xml:space="preserve"> </w:t>
      </w:r>
      <m:oMath>
        <m:sSub>
          <m:e>
            <m:r>
              <m:t>T</m:t>
            </m:r>
          </m:e>
          <m:sub>
            <m:r>
              <m:t>c</m:t>
            </m:r>
          </m:sub>
        </m:sSub>
      </m:oMath>
      <w:r>
        <w:rPr>
          <w:i/>
          <w:iCs/>
        </w:rPr>
        <w:t xml:space="preserve">’s surface lexicon is saturated with</w:t>
      </w:r>
      <w:r>
        <w:rPr>
          <w:i/>
          <w:iCs/>
        </w:rPr>
        <w:t xml:space="preserve"> </w:t>
      </w:r>
      <m:oMath>
        <m:sSub>
          <m:e>
            <m:r>
              <m:t>W</m:t>
            </m:r>
          </m:e>
          <m:sub>
            <m:r>
              <m:t>2</m:t>
            </m:r>
          </m:sub>
        </m:sSub>
      </m:oMath>
      <w:r>
        <w:rPr>
          <w:i/>
          <w:iCs/>
        </w:rPr>
        <w:t xml:space="preserve">’s vocabulary,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 mis-rank. Either way no topical query-conditioned</w:t>
      </w:r>
      <w:r>
        <w:rPr>
          <w:i/>
          <w:iCs/>
        </w:rPr>
        <w:t xml:space="preserve"> </w:t>
      </w:r>
      <w:r>
        <w:rPr>
          <w:i/>
          <w:iCs/>
        </w:rPr>
        <w:t xml:space="preserve">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3"/>
    <w:p>
      <w:pPr>
        <w:pStyle w:val="BodyText"/>
      </w:pPr>
      <w:r>
        <w:rPr>
          <w:i/>
          <w:iCs/>
        </w:rPr>
        <w:t xml:space="preserve">Proof.</w:t>
      </w:r>
      <w:r>
        <w:t xml:space="preserve"> </w:t>
      </w:r>
      <w:r>
        <w:t xml:space="preserve">For (a), topicality makes</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a function of the topical features alone, so equal</w:t>
      </w:r>
      <w:r>
        <w:t xml:space="preserve"> </w:t>
      </w:r>
      <w:r>
        <w:t xml:space="preserve">features force equal scores, while faithfulness on</w:t>
      </w:r>
      <w:r>
        <w:t xml:space="preserve"> </w:t>
      </w:r>
      <m:oMath>
        <m:sSub>
          <m:e>
            <m:r>
              <m:t>T</m:t>
            </m:r>
          </m:e>
          <m:sub>
            <m:r>
              <m:t>c</m:t>
            </m:r>
          </m:sub>
        </m:sSub>
      </m:oMath>
      <w:r>
        <w:t xml:space="preserve"> </w:t>
      </w:r>
      <w:r>
        <w:t xml:space="preserve">would require a strict gap. For (b), the</w:t>
      </w:r>
      <w:r>
        <w:t xml:space="preserve"> </w:t>
      </w:r>
      <w:r>
        <w:t xml:space="preserve">added strict monotonicity in overlap turns the saturation hypothesis into</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so the</w:t>
      </w:r>
      <w:r>
        <w:t xml:space="preserve"> </w:t>
      </w:r>
      <w:r>
        <w:t xml:space="preserve">two orders disagree. Part (a) is the statement machine-checked in Lean</w:t>
      </w:r>
      <w:r>
        <w:t xml:space="preserve"> </w:t>
      </w:r>
      <w:r>
        <w:t xml:space="preserve">(Remark 3); (b) adds the monotonicity hypothesis that the informal reading of</w:t>
      </w:r>
      <w:r>
        <w:t xml:space="preserve"> </w:t>
      </w:r>
      <w:r>
        <w:t xml:space="preserve">“saturated lexicon”</w:t>
      </w:r>
      <w:r>
        <w:t xml:space="preserve"> </w:t>
      </w:r>
      <w:r>
        <w:t xml:space="preserve">presumes, and without which no strict inequality follows.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6).</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2</m:t>
        </m:r>
      </m:oMath>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6</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05"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7),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6).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0.37</m:t>
        </m:r>
      </m:oMath>
      <w:r>
        <w:t xml:space="preserve"> </w:t>
      </w:r>
      <w:r>
        <w:t xml:space="preserve">to</w:t>
      </w:r>
      <w:r>
        <w:t xml:space="preserve"> </w:t>
      </w:r>
      <m:oMath>
        <m:r>
          <m:rPr>
            <m:sty m:val="p"/>
          </m:rPr>
          <m:t>−</m:t>
        </m:r>
        <m:r>
          <m:t>0.82</m:t>
        </m:r>
      </m:oMath>
      <w:r>
        <w:t xml:space="preserve"> </w:t>
      </w:r>
      <w:r>
        <w:t xml:space="preserve">(Table 5), and the length-matched padding control clears it at</w:t>
      </w:r>
      <w:r>
        <w:t xml:space="preserve"> </w:t>
      </w:r>
      <m:oMath>
        <m:r>
          <m:rPr>
            <m:sty m:val="p"/>
          </m:rPr>
          <m:t>−</m:t>
        </m:r>
        <m:r>
          <m:t>0.63</m:t>
        </m:r>
      </m:oMath>
      <w:r>
        <w:t xml:space="preserve">. Two real effects fail it and are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0.06</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0.23</m:t>
        </m:r>
      </m:oMath>
      <w:r>
        <w:t xml:space="preserve"> </w:t>
      </w:r>
      <w:r>
        <w:t xml:space="preserve">once the import is neutralized, and the second-pair contrast (upper</w:t>
      </w:r>
      <w:r>
        <w:t xml:space="preserve"> </w:t>
      </w:r>
      <m:oMath>
        <m:r>
          <m:rPr>
            <m:sty m:val="p"/>
          </m:rPr>
          <m:t>−</m:t>
        </m:r>
        <m:r>
          <m:t>0.296</m:t>
        </m:r>
      </m:oMath>
      <w:r>
        <w:t xml:space="preserve">, sign-only;</w:t>
      </w:r>
      <w:r>
        <w:t xml:space="preserve"> </w:t>
      </w:r>
      <w:r>
        <w:t xml:space="preserve">§7.5). A threshold that</w:t>
      </w:r>
      <w:r>
        <w:t xml:space="preserve"> </w:t>
      </w:r>
      <w:r>
        <w:t xml:space="preserve">genuine effects fail is evidence it was not tuned to pass the data.</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Start w:id="82"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2"/>
    <w:bookmarkEnd w:id="83"/>
    <w:bookmarkStart w:id="99"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7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Start w:id="88"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7"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6"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6"/>
    <w:bookmarkEnd w:id="87"/>
    <w:bookmarkEnd w:id="88"/>
    <w:bookmarkStart w:id="96"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0.37</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Ten of the eleven survive a Bonferroni correction across the two</w:t>
      </w:r>
      <w:r>
        <w:t xml:space="preserve"> </w:t>
      </w:r>
      <w:r>
        <w:t xml:space="preserve">cells within each model (</w:t>
      </w:r>
      <m:oMath>
        <m:r>
          <m:t>α</m:t>
        </m:r>
        <m:r>
          <m:rPr>
            <m:sty m:val="p"/>
          </m:rPr>
          <m:t>=</m:t>
        </m:r>
        <m:r>
          <m:t>η</m:t>
        </m:r>
        <m:r>
          <m:rPr>
            <m:sty m:val="p"/>
          </m:rPr>
          <m:t>/</m:t>
        </m:r>
        <m:r>
          <m:t>4</m:t>
        </m:r>
      </m:oMath>
      <w:r>
        <w:t xml:space="preserve">); DeepSeek’s</w:t>
      </w:r>
      <w:r>
        <w:t xml:space="preserve"> </w:t>
      </w:r>
      <w:r>
        <w:rPr>
          <w:rStyle w:val="VerbatimChar"/>
        </w:rPr>
        <w:t xml:space="preserve">api_argorder</w:t>
      </w:r>
      <w:r>
        <w:t xml:space="preserve"> </w:t>
      </w:r>
      <w:r>
        <w:t xml:space="preserve">is the one that falls</w:t>
      </w:r>
      <w:r>
        <w:t xml:space="preserve"> </w:t>
      </w:r>
      <w:r>
        <w:t xml:space="preserve">just short, at</w:t>
      </w:r>
      <w:r>
        <w:t xml:space="preserve"> </w:t>
      </w:r>
      <m:oMath>
        <m:r>
          <m:rPr>
            <m:sty m:val="p"/>
          </m:rPr>
          <m:t>−</m:t>
        </m:r>
        <m:r>
          <m:t>0.298</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7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1"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1).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89"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9"/>
    <w:bookmarkStart w:id="90"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0.74</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0.06</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0.78</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0.34</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0.37</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0.61</m:t>
              </m:r>
            </m:oMath>
            <w:r>
              <w:t xml:space="preserve">​</w:t>
            </w:r>
          </w:p>
        </w:tc>
        <w:tc>
          <w:tcPr/>
          <w:p>
            <w:pPr>
              <w:pStyle w:val="Compact"/>
            </w:pPr>
          </w:p>
        </w:tc>
      </w:tr>
    </w:tbl>
    <w:bookmarkEnd w:id="90"/>
    <w:bookmarkEnd w:id="91"/>
    <w:bookmarkStart w:id="92"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2"/>
    <w:bookmarkStart w:id="93"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3"/>
    <w:bookmarkStart w:id="94"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4"/>
    <w:bookmarkStart w:id="95"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5"/>
    <w:bookmarkEnd w:id="96"/>
    <w:bookmarkStart w:id="98"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7" w:name="auditable-per-cell-record."/>
    <w:p>
      <w:pPr>
        <w:pStyle w:val="Heading4"/>
      </w:pPr>
      <w:r>
        <w:t xml:space="preserve">Auditable per-cell record.</w:t>
      </w:r>
    </w:p>
    <w:p>
      <w:pPr>
        <w:pStyle w:val="FirstParagraph"/>
      </w:pPr>
      <w:r>
        <w:t xml:space="preserve">The full per-arm PASS record for every carrying cell is Table 7 in Appendix B, so each verification can be reconstructed from the reported counts.</w:t>
      </w:r>
    </w:p>
    <w:bookmarkEnd w:id="97"/>
    <w:bookmarkEnd w:id="98"/>
    <w:bookmarkEnd w:id="99"/>
    <w:bookmarkStart w:id="101"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in sign (</w:t>
      </w:r>
      <m:oMath>
        <m:sSub>
          <m:e>
            <m:r>
              <m:rPr>
                <m:sty m:val="p"/>
              </m:rPr>
              <m:t>Δ</m:t>
            </m:r>
          </m:e>
          <m:sub>
            <m:r>
              <m:t>T</m:t>
            </m:r>
          </m:sub>
        </m:sSub>
        <m:r>
          <m:rPr>
            <m:sty m:val="p"/>
          </m:rPr>
          <m:t>&lt;</m:t>
        </m:r>
        <m:r>
          <m:t>0</m:t>
        </m:r>
      </m:oMath>
      <w:r>
        <w:t xml:space="preserve">, upper bound</w:t>
      </w:r>
      <w:r>
        <w:t xml:space="preserve"> </w:t>
      </w:r>
      <m:oMath>
        <m:r>
          <m:rPr>
            <m:sty m:val="p"/>
          </m:rPr>
          <m:t>−</m:t>
        </m:r>
        <m:r>
          <m:t>0.296</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0.63</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0"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7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0.23</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0"/>
    <w:bookmarkEnd w:id="101"/>
    <w:bookmarkStart w:id="104"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7);</w:t>
      </w:r>
      <w:r>
        <w:t xml:space="preserve"> </w:t>
      </w:r>
      <w:r>
        <w:t xml:space="preserve">Table 6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2" w:name="tab:policies"/>
    <w:p>
      <w:pPr>
        <w:pStyle w:val="TableCaption"/>
      </w:pPr>
      <w:r>
        <w:t xml:space="preserve">Mean PASS (%) over the four verified cells under four selection policies, per model,</w:t>
      </w:r>
      <w:r>
        <w:t xml:space="preserve"> </w:t>
      </w:r>
      <w:r>
        <w:t xml:space="preserve">computed from the measured per-cell rates of Table 7.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7.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2"/>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3"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6).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3"/>
    <w:bookmarkEnd w:id="104"/>
    <w:bookmarkEnd w:id="105"/>
    <w:bookmarkStart w:id="120"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8" w:name="sec:disc-bridge"/>
    <w:p>
      <w:pPr>
        <w:pStyle w:val="Heading2"/>
      </w:pPr>
      <w:r>
        <w:t xml:space="preserve">Scope of the claims</w:t>
      </w:r>
    </w:p>
    <w:p>
      <w:pPr>
        <w:pStyle w:val="FirstParagraph"/>
      </w:pPr>
      <w:bookmarkStart w:id="106" w:name="sec:disc-deficiency"/>
      <w:bookmarkEnd w:id="106"/>
      <w:bookmarkStart w:id="107" w:name="sec:disc-certificate"/>
      <w:bookmarkEnd w:id="107"/>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8"/>
    <w:bookmarkStart w:id="110"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6).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on Sonnet, GPT-5.5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Start w:id="109" w:name="will-scale-restore-blackwell-coherence"/>
    <w:p>
      <w:pPr>
        <w:pStyle w:val="Heading4"/>
      </w:pPr>
      <w:r>
        <w:t xml:space="preserve">Will scale restore Blackwell coherence?</w:t>
      </w:r>
    </w:p>
    <w:p>
      <w:pPr>
        <w:pStyle w:val="FirstParagraph"/>
      </w:pPr>
      <w:r>
        <w:t xml:space="preserve">Three points on one vendor’s ladder cannot answer this, and we do not extrapolate; what the</w:t>
      </w:r>
      <w:r>
        <w:t xml:space="preserve"> </w:t>
      </w:r>
      <w:r>
        <w:t xml:space="preserve">framework contributes is the instrument, since coherence is now a verifiable property of any fixed</w:t>
      </w:r>
      <w:r>
        <w:t xml:space="preserve"> </w:t>
      </w:r>
      <w:r>
        <w:t xml:space="preserve">rule and</w:t>
      </w:r>
      <w:r>
        <w:t xml:space="preserve"> </w:t>
      </w:r>
      <w:r>
        <w:t xml:space="preserve">“</w:t>
      </w:r>
      <m:oMath>
        <m:sSub>
          <m:e>
            <m:r>
              <m:rPr>
                <m:sty m:val="p"/>
              </m:rPr>
              <m:t>Δ</m:t>
            </m:r>
          </m:e>
          <m:sub>
            <m:r>
              <m:t>T</m:t>
            </m:r>
          </m:sub>
        </m:sSub>
      </m:oMath>
      <w:r>
        <w:t xml:space="preserve"> </w:t>
      </w:r>
      <w:r>
        <w:t xml:space="preserve">versus scale”</w:t>
      </w:r>
      <w:r>
        <w:t xml:space="preserve"> </w:t>
      </w:r>
      <w:r>
        <w:t xml:space="preserve">is a measurable trajectory. Whatever that curve shows, the</w:t>
      </w:r>
      <w:r>
        <w:t xml:space="preserve"> </w:t>
      </w:r>
      <w:r>
        <w:t xml:space="preserve">central claim is unaffected: anti-monotonicity is a coherence failure of the</w:t>
      </w:r>
      <w:r>
        <w:t xml:space="preserve"> </w:t>
      </w:r>
      <w:r>
        <w:rPr>
          <w:i/>
          <w:iCs/>
        </w:rPr>
        <w:t xml:space="preserve">rule</w:t>
      </w:r>
      <w:r>
        <w:t xml:space="preserve"> </w:t>
      </w:r>
      <w:r>
        <w:t xml:space="preserve">and could</w:t>
      </w:r>
      <w:r>
        <w:t xml:space="preserve"> </w:t>
      </w:r>
      <w:r>
        <w:t xml:space="preserve">in principle vanish with scale, but incomparability is a property of the</w:t>
      </w:r>
      <w:r>
        <w:t xml:space="preserve"> </w:t>
      </w:r>
      <w:r>
        <w:rPr>
          <w:i/>
          <w:iCs/>
        </w:rPr>
        <w:t xml:space="preserve">sources</w:t>
      </w:r>
      <w:r>
        <w:t xml:space="preserve">, and</w:t>
      </w:r>
      <w:r>
        <w:t xml:space="preserve"> </w:t>
      </w:r>
      <w:r>
        <w:t xml:space="preserve">mutually non-refining signals stay incomparable however capable the reader becomes.</w:t>
      </w:r>
    </w:p>
    <w:bookmarkEnd w:id="109"/>
    <w:bookmarkEnd w:id="110"/>
    <w:bookmarkStart w:id="111"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1"/>
    <w:bookmarkStart w:id="119"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2"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2"/>
    <w:bookmarkStart w:id="113"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in sign</w:t>
      </w:r>
      <w:r>
        <w:t xml:space="preserve"> </w:t>
      </w:r>
      <w:r>
        <w:t xml:space="preserve">(</w:t>
      </w:r>
      <m:oMath>
        <m:sSub>
          <m:e>
            <m:bar>
              <m:barPr>
                <m:pos m:val="top"/>
              </m:barPr>
              <m:e>
                <m:r>
                  <m:rPr>
                    <m:sty m:val="p"/>
                  </m:rPr>
                  <m:t>Δ</m:t>
                </m:r>
              </m:e>
            </m:bar>
          </m:e>
          <m:sub>
            <m:r>
              <m:t>T</m:t>
            </m:r>
          </m:sub>
        </m:sSub>
        <m:r>
          <m:rPr>
            <m:sty m:val="p"/>
          </m:rPr>
          <m:t>=</m:t>
        </m:r>
        <m:r>
          <m:rPr>
            <m:sty m:val="p"/>
          </m:rPr>
          <m:t>−</m:t>
        </m:r>
        <m:r>
          <m:t>0.296</m:t>
        </m:r>
      </m:oMath>
      <w:r>
        <w:t xml:space="preserve">) but not at the</w:t>
      </w:r>
      <w:r>
        <w:t xml:space="preserve"> </w:t>
      </w:r>
      <m:oMath>
        <m:r>
          <m:t>τ</m:t>
        </m:r>
        <m:r>
          <m:rPr>
            <m:sty m:val="p"/>
          </m:rPr>
          <m:t>=</m:t>
        </m:r>
        <m:r>
          <m:t>0.30</m:t>
        </m:r>
      </m:oMath>
      <w:r>
        <w:t xml:space="preserve"> </w:t>
      </w:r>
      <w:r>
        <w:t xml:space="preserve">margin, because its</w:t>
      </w:r>
      <w:r>
        <w:t xml:space="preserve"> </w:t>
      </w:r>
      <m:oMath>
        <m:r>
          <m:t>80</m:t>
        </m:r>
        <m:r>
          <m:rPr>
            <m:sty m:val="p"/>
          </m:rPr>
          <m:t>%</m:t>
        </m:r>
      </m:oMath>
      <w:r>
        <w:t xml:space="preserve"> </w:t>
      </w:r>
      <m:oMath>
        <m:sSub>
          <m:e>
            <m:r>
              <m:t>V</m:t>
            </m:r>
          </m:e>
          <m:sub>
            <m:r>
              <m:t>1</m:t>
            </m:r>
          </m:sub>
        </m:sSub>
      </m:oMath>
      <w:r>
        <w:t xml:space="preserve"> </w:t>
      </w:r>
      <w:r>
        <w:t xml:space="preserve">ceiling</w:t>
      </w:r>
      <w:r>
        <w:t xml:space="preserve"> </w:t>
      </w:r>
      <w:r>
        <w:t xml:space="preserve">keeps the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3"/>
    <w:bookmarkStart w:id="114"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4"/>
    <w:bookmarkStart w:id="115"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5"/>
    <w:bookmarkStart w:id="116"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6"/>
    <w:bookmarkStart w:id="117"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17"/>
    <w:bookmarkStart w:id="118"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8"/>
    <w:bookmarkEnd w:id="119"/>
    <w:bookmarkEnd w:id="120"/>
    <w:bookmarkStart w:id="121"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1"/>
    <w:bookmarkStart w:id="122" w:name="author-contributions"/>
    <w:p>
      <w:pPr>
        <w:pStyle w:val="Heading1"/>
      </w:pPr>
      <w:r>
        <w:t xml:space="preserve">Author Contributions</w:t>
      </w:r>
    </w:p>
    <w:p>
      <w:pPr>
        <w:pStyle w:val="FirstParagraph"/>
      </w:pPr>
      <w:r>
        <w:t xml:space="preserve">Conceptualization, A.B. and O.R.; methodology, A.B. and O.R.; software, A.B.; validation, A.B.</w:t>
      </w:r>
      <w:r>
        <w:t xml:space="preserve"> </w:t>
      </w:r>
      <w:r>
        <w:t xml:space="preserve">and O.R.; formal analysis, A.B. and O.R.; investigation, A.B.; data curation, A.B.;</w:t>
      </w:r>
      <w:r>
        <w:t xml:space="preserve"> </w:t>
      </w:r>
      <w:r>
        <w:t xml:space="preserve">writing—original draft preparation, A.B.; writing—review and editing, A.B. and O.R.;</w:t>
      </w:r>
      <w:r>
        <w:t xml:space="preserve"> </w:t>
      </w:r>
      <w:r>
        <w:t xml:space="preserve">visualization, A.B. All authors have read and agreed to the published version of the manuscript.</w:t>
      </w:r>
    </w:p>
    <w:bookmarkEnd w:id="122"/>
    <w:bookmarkStart w:id="123"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3"/>
    <w:bookmarkStart w:id="124"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4"/>
    <w:bookmarkStart w:id="125" w:name="informed-consent-statement"/>
    <w:p>
      <w:pPr>
        <w:pStyle w:val="Heading1"/>
      </w:pPr>
      <w:r>
        <w:t xml:space="preserve">Informed Consent Statement</w:t>
      </w:r>
    </w:p>
    <w:p>
      <w:pPr>
        <w:pStyle w:val="FirstParagraph"/>
      </w:pPr>
      <w:r>
        <w:t xml:space="preserve">Not applicable.</w:t>
      </w:r>
    </w:p>
    <w:bookmarkEnd w:id="125"/>
    <w:bookmarkStart w:id="126" w:name="data-availability-statement"/>
    <w:p>
      <w:pPr>
        <w:pStyle w:val="Heading1"/>
      </w:pPr>
      <w:r>
        <w:t xml:space="preserve">Data Availability Statement</w:t>
      </w:r>
    </w:p>
    <w:p>
      <w:pPr>
        <w:pStyle w:val="FirstParagraph"/>
      </w:pPr>
      <w:r>
        <w:t xml:space="preserve">All data, code and machine-checked proofs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the raw-completion diagnostic records of §7.5.1, and</w:t>
      </w:r>
      <w:r>
        <w:t xml:space="preserve"> </w:t>
      </w:r>
      <w:r>
        <w:t xml:space="preserve">the Lean 4 formalization of Remark 3 with the continuous-integration job that</w:t>
      </w:r>
      <w:r>
        <w:t xml:space="preserve"> </w:t>
      </w:r>
      <w:r>
        <w:t xml:space="preserve">re-checks it. No data were withheld; every reported figure is computed from those files by the</w:t>
      </w:r>
      <w:r>
        <w:t xml:space="preserve"> </w:t>
      </w:r>
      <w:r>
        <w:t xml:space="preserve">released scripts.</w:t>
      </w:r>
    </w:p>
    <w:bookmarkEnd w:id="126"/>
    <w:bookmarkStart w:id="127" w:name="conflicts-of-interest"/>
    <w:p>
      <w:pPr>
        <w:pStyle w:val="Heading1"/>
      </w:pPr>
      <w:r>
        <w:t xml:space="preserve">Conflicts of Interest</w:t>
      </w:r>
    </w:p>
    <w:p>
      <w:pPr>
        <w:pStyle w:val="FirstParagraph"/>
      </w:pPr>
      <w:r>
        <w:t xml:space="preserve">The authors declare no conflict of interest.</w:t>
      </w:r>
    </w:p>
    <w:bookmarkEnd w:id="127"/>
    <w:bookmarkStart w:id="128"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8"/>
    <w:bookmarkStart w:id="140" w:name="app:proofs"/>
    <w:p>
      <w:pPr>
        <w:pStyle w:val="Heading1"/>
      </w:pPr>
      <w:r>
        <w:t xml:space="preserve">Deferred proofs and technical material</w:t>
      </w:r>
    </w:p>
    <w:bookmarkStart w:id="12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9"/>
    <w:bookmarkStart w:id="13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0"/>
    <w:bookmarkStart w:id="131"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1"/>
    <w:bookmarkStart w:id="132"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2"/>
    <w:bookmarkStart w:id="133"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3"/>
    <w:bookmarkStart w:id="134"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4"/>
    <w:bookmarkStart w:id="136" w:name="why-a-naive-dkw-bound-fails"/>
    <w:p>
      <w:pPr>
        <w:pStyle w:val="Heading2"/>
      </w:pPr>
      <w:r>
        <w:t xml:space="preserve">Why a naive DKW bound fails</w:t>
      </w:r>
    </w:p>
    <w:bookmarkStart w:id="135"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(Dvoretzky et al. 1956)</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5"/>
    <w:bookmarkEnd w:id="136"/>
    <w:bookmarkStart w:id="138" w:name="relation-to-llm-evaluation-statistics"/>
    <w:p>
      <w:pPr>
        <w:pStyle w:val="Heading2"/>
      </w:pPr>
      <w:r>
        <w:t xml:space="preserve">Relation to LLM-evaluation statistics</w:t>
      </w:r>
    </w:p>
    <w:bookmarkStart w:id="137"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7"/>
    <w:bookmarkEnd w:id="138"/>
    <w:bookmarkStart w:id="139"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w:t>
      </w:r>
      <w:r>
        <w:t xml:space="preserve"> </w:t>
      </w:r>
      <w:r>
        <w:t xml:space="preserve">a one-sided bound that clears</w:t>
      </w:r>
      <w:r>
        <w:t xml:space="preserve"> </w:t>
      </w:r>
      <m:oMath>
        <m:r>
          <m:t>0</m:t>
        </m:r>
      </m:oMath>
      <w:r>
        <w:t xml:space="preserve"> </w:t>
      </w:r>
      <w:r>
        <w:t xml:space="preserve">even at small</w:t>
      </w:r>
      <w:r>
        <w:t xml:space="preserve"> </w:t>
      </w:r>
      <m:oMath>
        <m:r>
          <m:t>n</m:t>
        </m:r>
      </m:oMath>
      <w:r>
        <w:t xml:space="preserve">, and the incomparability verification</w:t>
      </w:r>
      <w:r>
        <w:t xml:space="preserve"> </w:t>
      </w:r>
      <w:r>
        <w:t xml:space="preserve">(5)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(7)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9"/>
    <w:bookmarkEnd w:id="140"/>
    <w:bookmarkStart w:id="147" w:name="app:record"/>
    <w:p>
      <w:pPr>
        <w:pStyle w:val="Heading1"/>
      </w:pPr>
      <w:r>
        <w:t xml:space="preserve">Extended experimental record</w:t>
      </w:r>
    </w:p>
    <w:bookmarkStart w:id="141"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1"/>
    <w:bookmarkStart w:id="146"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2"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0.296</m:t>
        </m:r>
      </m:oMath>
      <w:r>
        <w:t xml:space="preserve">, which</w:t>
      </w:r>
      <w:r>
        <w:t xml:space="preserve"> </w:t>
      </w:r>
      <w:r>
        <w:t xml:space="preserve">verifies</w:t>
      </w:r>
      <w:r>
        <w:t xml:space="preserve"> </w:t>
      </w:r>
      <w:r>
        <w:rPr>
          <w:i/>
          <w:iCs/>
        </w:rPr>
        <w:t xml:space="preserve">strictly negative</w:t>
      </w:r>
      <w:r>
        <w:t xml:space="preserve"> </w:t>
      </w:r>
      <w:r>
        <w:t xml:space="preserve">harm (</w:t>
      </w:r>
      <m:oMath>
        <m:sSub>
          <m:e>
            <m:r>
              <m:rPr>
                <m:sty m:val="p"/>
              </m:rPr>
              <m:t>Δ</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 does not clear the</w:t>
      </w:r>
      <w:r>
        <w:t xml:space="preserve"> </w:t>
      </w:r>
      <w:r>
        <w:t xml:space="preserve">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w:t>
      </w:r>
      <w:r>
        <w:t xml:space="preserve"> </w:t>
      </w:r>
      <w:r>
        <w:t xml:space="preserve">versus pair-1’s</w:t>
      </w:r>
      <w:r>
        <w:t xml:space="preserve"> </w:t>
      </w:r>
      <m:oMath>
        <m:r>
          <m:rPr>
            <m:sty m:val="p"/>
          </m:rPr>
          <m:t>∼</m:t>
        </m:r>
        <m:r>
          <m:t>100</m:t>
        </m:r>
        <m:r>
          <m:rPr>
            <m:sty m:val="p"/>
          </m:rPr>
          <m:t>%</m:t>
        </m:r>
      </m:oMath>
      <w:r>
        <w:t xml:space="preserve">), which keeps the bound wide. We report pair-2 harm as a verified</w:t>
      </w:r>
      <w:r>
        <w:t xml:space="preserve"> </w:t>
      </w:r>
      <w:r>
        <w:t xml:space="preserve">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2"/>
    <w:bookmarkStart w:id="143"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0.63</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3"/>
    <w:bookmarkStart w:id="144"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4"/>
    <w:bookmarkStart w:id="145"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5"/>
    <w:bookmarkEnd w:id="146"/>
    <w:bookmarkEnd w:id="147"/>
    <w:bookmarkStart w:id="28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8"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48"/>
    <w:bookmarkStart w:id="149"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9"/>
    <w:bookmarkStart w:id="150"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50"/>
    <w:bookmarkStart w:id="151"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1"/>
    <w:bookmarkStart w:id="152"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2"/>
    <w:bookmarkStart w:id="288"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87" w:name="refs"/>
    <w:bookmarkStart w:id="154"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3">
        <w:r>
          <w:rPr>
            <w:rStyle w:val="Hyperlink"/>
          </w:rPr>
          <w:t xml:space="preserve">https://arxiv.org/abs/2512.23617</w:t>
        </w:r>
      </w:hyperlink>
      <w:r>
        <w:t xml:space="preserve">.</w:t>
      </w:r>
    </w:p>
    <w:bookmarkEnd w:id="154"/>
    <w:bookmarkStart w:id="156"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5">
        <w:r>
          <w:rPr>
            <w:rStyle w:val="Hyperlink"/>
          </w:rPr>
          <w:t xml:space="preserve">https://doi.org/10.5281/zenodo.20800175</w:t>
        </w:r>
      </w:hyperlink>
      <w:r>
        <w:t xml:space="preserve">.</w:t>
      </w:r>
    </w:p>
    <w:bookmarkEnd w:id="156"/>
    <w:bookmarkStart w:id="158"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7">
        <w:r>
          <w:rPr>
            <w:rStyle w:val="Hyperlink"/>
          </w:rPr>
          <w:t xml:space="preserve">https://doi.org/10.5281/zenodo.20800031</w:t>
        </w:r>
      </w:hyperlink>
      <w:r>
        <w:t xml:space="preserve">.</w:t>
      </w:r>
    </w:p>
    <w:bookmarkEnd w:id="158"/>
    <w:bookmarkStart w:id="160" w:name="ref-alpila2026lmrecall"/>
    <w:p>
      <w:pPr>
        <w:pStyle w:val="Bibliography"/>
      </w:pPr>
      <w:r>
        <w:t xml:space="preserve">Alpila, Pia. 2026c.</w:t>
      </w:r>
      <w:r>
        <w:t xml:space="preserve"> </w:t>
      </w:r>
      <w:r>
        <w:rPr>
          <w:i/>
          <w:iCs/>
        </w:rPr>
        <w:t xml:space="preserve">LM Recall</w:t>
      </w:r>
      <w:r>
        <w:rPr>
          <w:i/>
          <w:iCs/>
        </w:rPr>
        <w:t xml:space="preserve">: Corpus, Experiment Code and Per-Decoder Results</w:t>
      </w:r>
      <w:r>
        <w:t xml:space="preserve">. Zenodo.</w:t>
      </w:r>
      <w:r>
        <w:t xml:space="preserve"> </w:t>
      </w:r>
      <w:hyperlink r:id="rId159">
        <w:r>
          <w:rPr>
            <w:rStyle w:val="Hyperlink"/>
          </w:rPr>
          <w:t xml:space="preserve">https://doi.org/10.5281/zenodo.20800209</w:t>
        </w:r>
      </w:hyperlink>
      <w:r>
        <w:t xml:space="preserve">.</w:t>
      </w:r>
    </w:p>
    <w:bookmarkEnd w:id="160"/>
    <w:bookmarkStart w:id="161"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1"/>
    <w:bookmarkStart w:id="163"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2">
        <w:r>
          <w:rPr>
            <w:rStyle w:val="Hyperlink"/>
          </w:rPr>
          <w:t xml:space="preserve">https://doi.org/10.1214/aoms/1177729032</w:t>
        </w:r>
      </w:hyperlink>
      <w:r>
        <w:t xml:space="preserve">.</w:t>
      </w:r>
    </w:p>
    <w:bookmarkEnd w:id="163"/>
    <w:bookmarkStart w:id="164"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4"/>
    <w:bookmarkStart w:id="166"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5">
        <w:r>
          <w:rPr>
            <w:rStyle w:val="Hyperlink"/>
          </w:rPr>
          <w:t xml:space="preserve">https://arxiv.org/abs/2503.01747</w:t>
        </w:r>
      </w:hyperlink>
      <w:r>
        <w:t xml:space="preserve">.</w:t>
      </w:r>
    </w:p>
    <w:bookmarkEnd w:id="166"/>
    <w:bookmarkStart w:id="168"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7">
        <w:r>
          <w:rPr>
            <w:rStyle w:val="Hyperlink"/>
          </w:rPr>
          <w:t xml:space="preserve">https://arxiv.org/abs/2411.01533</w:t>
        </w:r>
      </w:hyperlink>
      <w:r>
        <w:t xml:space="preserve">.</w:t>
      </w:r>
    </w:p>
    <w:bookmarkEnd w:id="168"/>
    <w:bookmarkStart w:id="170"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9">
        <w:r>
          <w:rPr>
            <w:rStyle w:val="Hyperlink"/>
          </w:rPr>
          <w:t xml:space="preserve">https://doi.org/10.1145/290941.291025</w:t>
        </w:r>
      </w:hyperlink>
      <w:r>
        <w:t xml:space="preserve">.</w:t>
      </w:r>
    </w:p>
    <w:bookmarkEnd w:id="170"/>
    <w:bookmarkStart w:id="172"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1">
        <w:r>
          <w:rPr>
            <w:rStyle w:val="Hyperlink"/>
          </w:rPr>
          <w:t xml:space="preserve">https://arxiv.org/abs/2511.17908</w:t>
        </w:r>
      </w:hyperlink>
      <w:r>
        <w:t xml:space="preserve">.</w:t>
      </w:r>
    </w:p>
    <w:bookmarkEnd w:id="172"/>
    <w:bookmarkStart w:id="174"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3">
        <w:r>
          <w:rPr>
            <w:rStyle w:val="Hyperlink"/>
          </w:rPr>
          <w:t xml:space="preserve">https://arxiv.org/abs/2507.03279</w:t>
        </w:r>
      </w:hyperlink>
      <w:r>
        <w:t xml:space="preserve">.</w:t>
      </w:r>
    </w:p>
    <w:bookmarkEnd w:id="174"/>
    <w:bookmarkStart w:id="176"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5">
        <w:r>
          <w:rPr>
            <w:rStyle w:val="Hyperlink"/>
          </w:rPr>
          <w:t xml:space="preserve">https://arxiv.org/abs/2601.16478</w:t>
        </w:r>
      </w:hyperlink>
      <w:r>
        <w:t xml:space="preserve">.</w:t>
      </w:r>
    </w:p>
    <w:bookmarkEnd w:id="176"/>
    <w:bookmarkStart w:id="178"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7">
        <w:r>
          <w:rPr>
            <w:rStyle w:val="Hyperlink"/>
          </w:rPr>
          <w:t xml:space="preserve">https://arxiv.org/abs/2508.21184</w:t>
        </w:r>
      </w:hyperlink>
      <w:r>
        <w:t xml:space="preserve">.</w:t>
      </w:r>
    </w:p>
    <w:bookmarkEnd w:id="178"/>
    <w:bookmarkStart w:id="180"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9">
        <w:r>
          <w:rPr>
            <w:rStyle w:val="Hyperlink"/>
          </w:rPr>
          <w:t xml:space="preserve">https://doi.org/10.1093/biomet/26.4.404</w:t>
        </w:r>
      </w:hyperlink>
      <w:r>
        <w:t xml:space="preserve">.</w:t>
      </w:r>
    </w:p>
    <w:bookmarkEnd w:id="180"/>
    <w:bookmarkStart w:id="182"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1">
        <w:r>
          <w:rPr>
            <w:rStyle w:val="Hyperlink"/>
          </w:rPr>
          <w:t xml:space="preserve">https://arxiv.org/abs/2401.14887</w:t>
        </w:r>
      </w:hyperlink>
      <w:r>
        <w:t xml:space="preserve">.</w:t>
      </w:r>
    </w:p>
    <w:bookmarkEnd w:id="182"/>
    <w:bookmarkStart w:id="184"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3">
        <w:r>
          <w:rPr>
            <w:rStyle w:val="Hyperlink"/>
          </w:rPr>
          <w:t xml:space="preserve">https://arxiv.org/abs/2503.01478</w:t>
        </w:r>
      </w:hyperlink>
      <w:r>
        <w:t xml:space="preserve">.</w:t>
      </w:r>
    </w:p>
    <w:bookmarkEnd w:id="184"/>
    <w:bookmarkStart w:id="186"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5">
        <w:r>
          <w:rPr>
            <w:rStyle w:val="Hyperlink"/>
          </w:rPr>
          <w:t xml:space="preserve">http://www.vldb.org/pvldb/vol6/p37-dong.pdf</w:t>
        </w:r>
      </w:hyperlink>
      <w:r>
        <w:t xml:space="preserve">.</w:t>
      </w:r>
    </w:p>
    <w:bookmarkEnd w:id="186"/>
    <w:bookmarkStart w:id="188"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7">
        <w:r>
          <w:rPr>
            <w:rStyle w:val="Hyperlink"/>
          </w:rPr>
          <w:t xml:space="preserve">https://arxiv.org/abs/2510.05381</w:t>
        </w:r>
      </w:hyperlink>
      <w:r>
        <w:t xml:space="preserve">.</w:t>
      </w:r>
    </w:p>
    <w:bookmarkEnd w:id="188"/>
    <w:bookmarkStart w:id="190"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9">
        <w:r>
          <w:rPr>
            <w:rStyle w:val="Hyperlink"/>
          </w:rPr>
          <w:t xml:space="preserve">https://doi.org/10.1214/aoms/1177728174</w:t>
        </w:r>
      </w:hyperlink>
      <w:r>
        <w:t xml:space="preserve">.</w:t>
      </w:r>
    </w:p>
    <w:bookmarkEnd w:id="190"/>
    <w:bookmarkStart w:id="191"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1"/>
    <w:bookmarkStart w:id="193"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2">
        <w:r>
          <w:rPr>
            <w:rStyle w:val="Hyperlink"/>
          </w:rPr>
          <w:t xml:space="preserve">https://arxiv.org/abs/2601.11273</w:t>
        </w:r>
      </w:hyperlink>
      <w:r>
        <w:t xml:space="preserve">.</w:t>
      </w:r>
    </w:p>
    <w:bookmarkEnd w:id="193"/>
    <w:bookmarkStart w:id="195"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4">
        <w:r>
          <w:rPr>
            <w:rStyle w:val="Hyperlink"/>
          </w:rPr>
          <w:t xml:space="preserve">https://arxiv.org/abs/2503.05491</w:t>
        </w:r>
      </w:hyperlink>
      <w:r>
        <w:t xml:space="preserve">.</w:t>
      </w:r>
    </w:p>
    <w:bookmarkEnd w:id="195"/>
    <w:bookmarkStart w:id="197"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6">
        <w:r>
          <w:rPr>
            <w:rStyle w:val="Hyperlink"/>
          </w:rPr>
          <w:t xml:space="preserve">https://arxiv.org/abs/2608.26762</w:t>
        </w:r>
      </w:hyperlink>
      <w:r>
        <w:t xml:space="preserve">.</w:t>
      </w:r>
    </w:p>
    <w:bookmarkEnd w:id="197"/>
    <w:bookmarkStart w:id="199"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8">
        <w:r>
          <w:rPr>
            <w:rStyle w:val="Hyperlink"/>
          </w:rPr>
          <w:t xml:space="preserve">https://doi.org/10.1007/s10791-008-9045-0</w:t>
        </w:r>
      </w:hyperlink>
      <w:r>
        <w:t xml:space="preserve">.</w:t>
      </w:r>
    </w:p>
    <w:bookmarkEnd w:id="199"/>
    <w:bookmarkStart w:id="201"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0">
        <w:r>
          <w:rPr>
            <w:rStyle w:val="Hyperlink"/>
          </w:rPr>
          <w:t xml:space="preserve">https://arxiv.org/abs/2410.20247</w:t>
        </w:r>
      </w:hyperlink>
      <w:r>
        <w:t xml:space="preserve">.</w:t>
      </w:r>
    </w:p>
    <w:bookmarkEnd w:id="201"/>
    <w:bookmarkStart w:id="203"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2">
        <w:r>
          <w:rPr>
            <w:rStyle w:val="Hyperlink"/>
          </w:rPr>
          <w:t xml:space="preserve">https://arxiv.org/abs/2606.20047</w:t>
        </w:r>
      </w:hyperlink>
      <w:r>
        <w:t xml:space="preserve">.</w:t>
      </w:r>
    </w:p>
    <w:bookmarkEnd w:id="203"/>
    <w:bookmarkStart w:id="205"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4">
        <w:r>
          <w:rPr>
            <w:rStyle w:val="Hyperlink"/>
          </w:rPr>
          <w:t xml:space="preserve">https://aclanthology.org/2026.findings-acl.583/</w:t>
        </w:r>
      </w:hyperlink>
      <w:r>
        <w:t xml:space="preserve">.</w:t>
      </w:r>
    </w:p>
    <w:bookmarkEnd w:id="205"/>
    <w:bookmarkStart w:id="207"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6">
        <w:r>
          <w:rPr>
            <w:rStyle w:val="Hyperlink"/>
          </w:rPr>
          <w:t xml:space="preserve">https://arxiv.org/abs/2002.08909</w:t>
        </w:r>
      </w:hyperlink>
      <w:r>
        <w:t xml:space="preserve">.</w:t>
      </w:r>
    </w:p>
    <w:bookmarkEnd w:id="207"/>
    <w:bookmarkStart w:id="209"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08">
        <w:r>
          <w:rPr>
            <w:rStyle w:val="Hyperlink"/>
          </w:rPr>
          <w:t xml:space="preserve">https://arxiv.org/abs/2502.17036</w:t>
        </w:r>
      </w:hyperlink>
      <w:r>
        <w:t xml:space="preserve">.</w:t>
      </w:r>
    </w:p>
    <w:bookmarkEnd w:id="209"/>
    <w:bookmarkStart w:id="211"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0">
        <w:r>
          <w:rPr>
            <w:rStyle w:val="Hyperlink"/>
          </w:rPr>
          <w:t xml:space="preserve">https://arxiv.org/abs/2304.04576</w:t>
        </w:r>
      </w:hyperlink>
      <w:r>
        <w:t xml:space="preserve">.</w:t>
      </w:r>
    </w:p>
    <w:bookmarkEnd w:id="211"/>
    <w:bookmarkStart w:id="213"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2">
        <w:r>
          <w:rPr>
            <w:rStyle w:val="Hyperlink"/>
          </w:rPr>
          <w:t xml:space="preserve">https://www.trychroma.com/research/context-rot</w:t>
        </w:r>
      </w:hyperlink>
      <w:r>
        <w:t xml:space="preserve">.</w:t>
      </w:r>
    </w:p>
    <w:bookmarkEnd w:id="213"/>
    <w:bookmarkStart w:id="215"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4">
        <w:r>
          <w:rPr>
            <w:rStyle w:val="Hyperlink"/>
          </w:rPr>
          <w:t xml:space="preserve">https://arxiv.org/abs/2510.00079</w:t>
        </w:r>
      </w:hyperlink>
      <w:r>
        <w:t xml:space="preserve">.</w:t>
      </w:r>
    </w:p>
    <w:bookmarkEnd w:id="215"/>
    <w:bookmarkStart w:id="217"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6">
        <w:r>
          <w:rPr>
            <w:rStyle w:val="Hyperlink"/>
          </w:rPr>
          <w:t xml:space="preserve">https://arxiv.org/abs/2512.06464</w:t>
        </w:r>
      </w:hyperlink>
      <w:r>
        <w:t xml:space="preserve">.</w:t>
      </w:r>
    </w:p>
    <w:bookmarkEnd w:id="217"/>
    <w:bookmarkStart w:id="219"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8">
        <w:r>
          <w:rPr>
            <w:rStyle w:val="Hyperlink"/>
          </w:rPr>
          <w:t xml:space="preserve">https://arxiv.org/abs/2601.05027</w:t>
        </w:r>
      </w:hyperlink>
      <w:r>
        <w:t xml:space="preserve">.</w:t>
      </w:r>
    </w:p>
    <w:bookmarkEnd w:id="219"/>
    <w:bookmarkStart w:id="221"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0">
        <w:r>
          <w:rPr>
            <w:rStyle w:val="Hyperlink"/>
          </w:rPr>
          <w:t xml:space="preserve">https://arxiv.org/abs/2410.05983</w:t>
        </w:r>
      </w:hyperlink>
      <w:r>
        <w:t xml:space="preserve">.</w:t>
      </w:r>
    </w:p>
    <w:bookmarkEnd w:id="221"/>
    <w:bookmarkStart w:id="223"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2">
        <w:r>
          <w:rPr>
            <w:rStyle w:val="Hyperlink"/>
          </w:rPr>
          <w:t xml:space="preserve">https://arxiv.org/abs/2411.06037</w:t>
        </w:r>
      </w:hyperlink>
      <w:r>
        <w:t xml:space="preserve">.</w:t>
      </w:r>
    </w:p>
    <w:bookmarkEnd w:id="223"/>
    <w:bookmarkStart w:id="225"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4">
        <w:r>
          <w:rPr>
            <w:rStyle w:val="Hyperlink"/>
          </w:rPr>
          <w:t xml:space="preserve">https://doi.org/10.1145/3397271.3401075</w:t>
        </w:r>
      </w:hyperlink>
      <w:r>
        <w:t xml:space="preserve">.</w:t>
      </w:r>
    </w:p>
    <w:bookmarkEnd w:id="225"/>
    <w:bookmarkStart w:id="227"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6">
        <w:r>
          <w:rPr>
            <w:rStyle w:val="Hyperlink"/>
          </w:rPr>
          <w:t xml:space="preserve">https://doi.org/10.1214/aoms/1177700372</w:t>
        </w:r>
      </w:hyperlink>
      <w:r>
        <w:t xml:space="preserve">.</w:t>
      </w:r>
    </w:p>
    <w:bookmarkEnd w:id="227"/>
    <w:bookmarkStart w:id="229"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8">
        <w:r>
          <w:rPr>
            <w:rStyle w:val="Hyperlink"/>
          </w:rPr>
          <w:t xml:space="preserve">https://doi.org/10.1007/978-1-4612-4946-7</w:t>
        </w:r>
      </w:hyperlink>
      <w:r>
        <w:t xml:space="preserve">.</w:t>
      </w:r>
    </w:p>
    <w:bookmarkEnd w:id="229"/>
    <w:bookmarkStart w:id="231"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0">
        <w:r>
          <w:rPr>
            <w:rStyle w:val="Hyperlink"/>
          </w:rPr>
          <w:t xml:space="preserve">https://arxiv.org/abs/2504.07104</w:t>
        </w:r>
      </w:hyperlink>
      <w:r>
        <w:t xml:space="preserve">.</w:t>
      </w:r>
    </w:p>
    <w:bookmarkEnd w:id="231"/>
    <w:bookmarkStart w:id="233"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2">
        <w:r>
          <w:rPr>
            <w:rStyle w:val="Hyperlink"/>
          </w:rPr>
          <w:t xml:space="preserve">https://arxiv.org/abs/2503.04388</w:t>
        </w:r>
      </w:hyperlink>
      <w:r>
        <w:t xml:space="preserve">.</w:t>
      </w:r>
    </w:p>
    <w:bookmarkEnd w:id="233"/>
    <w:bookmarkStart w:id="235"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4">
        <w:r>
          <w:rPr>
            <w:rStyle w:val="Hyperlink"/>
          </w:rPr>
          <w:t xml:space="preserve">https://arxiv.org/abs/2605.05716</w:t>
        </w:r>
      </w:hyperlink>
      <w:r>
        <w:t xml:space="preserve">.</w:t>
      </w:r>
    </w:p>
    <w:bookmarkEnd w:id="235"/>
    <w:bookmarkStart w:id="237"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6">
        <w:r>
          <w:rPr>
            <w:rStyle w:val="Hyperlink"/>
          </w:rPr>
          <w:t xml:space="preserve">https://arxiv.org/abs/2307.03172</w:t>
        </w:r>
      </w:hyperlink>
      <w:r>
        <w:t xml:space="preserve">.</w:t>
      </w:r>
    </w:p>
    <w:bookmarkEnd w:id="237"/>
    <w:bookmarkStart w:id="239"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8">
        <w:r>
          <w:rPr>
            <w:rStyle w:val="Hyperlink"/>
          </w:rPr>
          <w:t xml:space="preserve">https://arxiv.org/abs/2411.00640</w:t>
        </w:r>
      </w:hyperlink>
      <w:r>
        <w:t xml:space="preserve">.</w:t>
      </w:r>
    </w:p>
    <w:bookmarkEnd w:id="239"/>
    <w:bookmarkStart w:id="241"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0">
        <w:r>
          <w:rPr>
            <w:rStyle w:val="Hyperlink"/>
          </w:rPr>
          <w:t xml:space="preserve">https://doi.org/10.1007/978-3-032-19099-4_23</w:t>
        </w:r>
      </w:hyperlink>
      <w:r>
        <w:t xml:space="preserve">.</w:t>
      </w:r>
    </w:p>
    <w:bookmarkEnd w:id="241"/>
    <w:bookmarkStart w:id="243"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2">
        <w:r>
          <w:rPr>
            <w:rStyle w:val="Hyperlink"/>
          </w:rPr>
          <w:t xml:space="preserve">https://arxiv.org/abs/2604.06621</w:t>
        </w:r>
      </w:hyperlink>
      <w:r>
        <w:t xml:space="preserve">.</w:t>
      </w:r>
    </w:p>
    <w:bookmarkEnd w:id="243"/>
    <w:bookmarkStart w:id="245"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4">
        <w:r>
          <w:rPr>
            <w:rStyle w:val="Hyperlink"/>
          </w:rPr>
          <w:t xml:space="preserve">https://arxiv.org/abs/2605.03534</w:t>
        </w:r>
      </w:hyperlink>
      <w:r>
        <w:t xml:space="preserve">.</w:t>
      </w:r>
    </w:p>
    <w:bookmarkEnd w:id="245"/>
    <w:bookmarkStart w:id="247"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6">
        <w:r>
          <w:rPr>
            <w:rStyle w:val="Hyperlink"/>
          </w:rPr>
          <w:t xml:space="preserve">https://doi.org/10.1108/eb026647</w:t>
        </w:r>
      </w:hyperlink>
      <w:r>
        <w:t xml:space="preserve">.</w:t>
      </w:r>
    </w:p>
    <w:bookmarkEnd w:id="247"/>
    <w:bookmarkStart w:id="249"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8">
        <w:r>
          <w:rPr>
            <w:rStyle w:val="Hyperlink"/>
          </w:rPr>
          <w:t xml:space="preserve">https://arxiv.org/abs/1402.4884</w:t>
        </w:r>
      </w:hyperlink>
      <w:r>
        <w:t xml:space="preserve">.</w:t>
      </w:r>
    </w:p>
    <w:bookmarkEnd w:id="249"/>
    <w:bookmarkStart w:id="251"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0">
        <w:r>
          <w:rPr>
            <w:rStyle w:val="Hyperlink"/>
          </w:rPr>
          <w:t xml:space="preserve">https://arxiv.org/abs/2302.00093</w:t>
        </w:r>
      </w:hyperlink>
      <w:r>
        <w:t xml:space="preserve">.</w:t>
      </w:r>
    </w:p>
    <w:bookmarkEnd w:id="251"/>
    <w:bookmarkStart w:id="253"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2">
        <w:r>
          <w:rPr>
            <w:rStyle w:val="Hyperlink"/>
          </w:rPr>
          <w:t xml:space="preserve">https://arxiv.org/abs/2301.12652</w:t>
        </w:r>
      </w:hyperlink>
      <w:r>
        <w:t xml:space="preserve">.</w:t>
      </w:r>
    </w:p>
    <w:bookmarkEnd w:id="253"/>
    <w:bookmarkStart w:id="255"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4">
        <w:r>
          <w:rPr>
            <w:rStyle w:val="Hyperlink"/>
          </w:rPr>
          <w:t xml:space="preserve">https://arxiv.org/abs/2304.09542</w:t>
        </w:r>
      </w:hyperlink>
      <w:r>
        <w:t xml:space="preserve">.</w:t>
      </w:r>
    </w:p>
    <w:bookmarkEnd w:id="255"/>
    <w:bookmarkStart w:id="257"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6">
        <w:r>
          <w:rPr>
            <w:rStyle w:val="Hyperlink"/>
          </w:rPr>
          <w:t xml:space="preserve">https://doi.org/10.1017/CBO9780511666353</w:t>
        </w:r>
      </w:hyperlink>
      <w:r>
        <w:t xml:space="preserve">.</w:t>
      </w:r>
    </w:p>
    <w:bookmarkEnd w:id="257"/>
    <w:bookmarkStart w:id="259"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8">
        <w:r>
          <w:rPr>
            <w:rStyle w:val="Hyperlink"/>
          </w:rPr>
          <w:t xml:space="preserve">https://arxiv.org/abs/2402.11750</w:t>
        </w:r>
      </w:hyperlink>
      <w:r>
        <w:t xml:space="preserve">.</w:t>
      </w:r>
    </w:p>
    <w:bookmarkEnd w:id="259"/>
    <w:bookmarkStart w:id="261"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0">
        <w:r>
          <w:rPr>
            <w:rStyle w:val="Hyperlink"/>
          </w:rPr>
          <w:t xml:space="preserve">https://arxiv.org/abs/2602.08294</w:t>
        </w:r>
      </w:hyperlink>
      <w:r>
        <w:t xml:space="preserve">.</w:t>
      </w:r>
    </w:p>
    <w:bookmarkEnd w:id="261"/>
    <w:bookmarkStart w:id="263"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2">
        <w:r>
          <w:rPr>
            <w:rStyle w:val="Hyperlink"/>
          </w:rPr>
          <w:t xml:space="preserve">https://doi.org/10.1145/1571941.1571963</w:t>
        </w:r>
      </w:hyperlink>
      <w:r>
        <w:t xml:space="preserve">.</w:t>
      </w:r>
    </w:p>
    <w:bookmarkEnd w:id="263"/>
    <w:bookmarkStart w:id="265"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4">
        <w:r>
          <w:rPr>
            <w:rStyle w:val="Hyperlink"/>
          </w:rPr>
          <w:t xml:space="preserve">https://arxiv.org/abs/2410.07523</w:t>
        </w:r>
      </w:hyperlink>
      <w:r>
        <w:t xml:space="preserve">.</w:t>
      </w:r>
    </w:p>
    <w:bookmarkEnd w:id="265"/>
    <w:bookmarkStart w:id="267"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6">
        <w:r>
          <w:rPr>
            <w:rStyle w:val="Hyperlink"/>
          </w:rPr>
          <w:t xml:space="preserve">https://arxiv.org/abs/2403.08319</w:t>
        </w:r>
      </w:hyperlink>
      <w:r>
        <w:t xml:space="preserve">.</w:t>
      </w:r>
    </w:p>
    <w:bookmarkEnd w:id="267"/>
    <w:bookmarkStart w:id="269"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8">
        <w:r>
          <w:rPr>
            <w:rStyle w:val="Hyperlink"/>
          </w:rPr>
          <w:t xml:space="preserve">https://arxiv.org/abs/2302.05698</w:t>
        </w:r>
      </w:hyperlink>
      <w:r>
        <w:t xml:space="preserve">.</w:t>
      </w:r>
    </w:p>
    <w:bookmarkEnd w:id="269"/>
    <w:bookmarkStart w:id="27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0">
        <w:r>
          <w:rPr>
            <w:rStyle w:val="Hyperlink"/>
          </w:rPr>
          <w:t xml:space="preserve">https://arxiv.org/abs/2407.02485</w:t>
        </w:r>
      </w:hyperlink>
      <w:r>
        <w:t xml:space="preserve">.</w:t>
      </w:r>
    </w:p>
    <w:bookmarkEnd w:id="271"/>
    <w:bookmarkStart w:id="27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2">
        <w:r>
          <w:rPr>
            <w:rStyle w:val="Hyperlink"/>
          </w:rPr>
          <w:t xml:space="preserve">https://arxiv.org/abs/2504.15630</w:t>
        </w:r>
      </w:hyperlink>
      <w:r>
        <w:t xml:space="preserve">.</w:t>
      </w:r>
    </w:p>
    <w:bookmarkEnd w:id="273"/>
    <w:bookmarkStart w:id="275"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4">
        <w:r>
          <w:rPr>
            <w:rStyle w:val="Hyperlink"/>
          </w:rPr>
          <w:t xml:space="preserve">https://arxiv.org/abs/2510.11358</w:t>
        </w:r>
      </w:hyperlink>
      <w:r>
        <w:t xml:space="preserve">.</w:t>
      </w:r>
    </w:p>
    <w:bookmarkEnd w:id="275"/>
    <w:bookmarkStart w:id="277"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6">
        <w:r>
          <w:rPr>
            <w:rStyle w:val="Hyperlink"/>
          </w:rPr>
          <w:t xml:space="preserve">https://arxiv.org/abs/2604.08920</w:t>
        </w:r>
      </w:hyperlink>
      <w:r>
        <w:t xml:space="preserve">.</w:t>
      </w:r>
    </w:p>
    <w:bookmarkEnd w:id="277"/>
    <w:bookmarkStart w:id="279"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8">
        <w:r>
          <w:rPr>
            <w:rStyle w:val="Hyperlink"/>
          </w:rPr>
          <w:t xml:space="preserve">https://arxiv.org/abs/2605.06028</w:t>
        </w:r>
      </w:hyperlink>
      <w:r>
        <w:t xml:space="preserve">.</w:t>
      </w:r>
    </w:p>
    <w:bookmarkEnd w:id="279"/>
    <w:bookmarkStart w:id="280"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0"/>
    <w:bookmarkStart w:id="282"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1">
        <w:r>
          <w:rPr>
            <w:rStyle w:val="Hyperlink"/>
          </w:rPr>
          <w:t xml:space="preserve">https://arxiv.org/abs/2405.18253</w:t>
        </w:r>
      </w:hyperlink>
      <w:r>
        <w:t xml:space="preserve">.</w:t>
      </w:r>
    </w:p>
    <w:bookmarkEnd w:id="282"/>
    <w:bookmarkStart w:id="284"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3">
        <w:r>
          <w:rPr>
            <w:rStyle w:val="Hyperlink"/>
          </w:rPr>
          <w:t xml:space="preserve">https://doi.org/10.1145/3802111</w:t>
        </w:r>
      </w:hyperlink>
      <w:r>
        <w:t xml:space="preserve">.</w:t>
      </w:r>
    </w:p>
    <w:bookmarkEnd w:id="284"/>
    <w:bookmarkStart w:id="286"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5">
        <w:r>
          <w:rPr>
            <w:rStyle w:val="Hyperlink"/>
          </w:rPr>
          <w:t xml:space="preserve">https://doi.org/10.1007/978-3-642-12275-0_32</w:t>
        </w:r>
      </w:hyperlink>
      <w:r>
        <w:t xml:space="preserve">.</w:t>
      </w:r>
    </w:p>
    <w:bookmarkEnd w:id="286"/>
    <w:bookmarkEnd w:id="287"/>
    <w:bookmarkEnd w:id="288"/>
    <w:bookmarkEnd w:id="2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2026-09-08T09:10:17Z</dcterms:created>
  <dcterms:modified xsi:type="dcterms:W3CDTF">2026-09-08T09:10:17Z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and when they are, no single per-source score, relevance or utility,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Scaling the selection rule this implies to large corpora is the main open problem.</vt:lpwstr>
  </property>
  <property fmtid="{D5CDD505-2E9C-101B-9397-08002B2CF9AE}" pid="3" name="bibliography">
    <vt:lpwstr>C:/Users/AndriyBilous/Documents/GitHub/tokenguard/research/out/blackwell-paper.bib</vt:lpwstr>
  </property>
  <property fmtid="{D5CDD505-2E9C-101B-9397-08002B2CF9AE}" pid="4" name="date">
    <vt:lpwstr/>
  </property>
</Properties>
</file>