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Context selection is covering, not ranking:</w:t>
      </w:r>
      <w:r>
        <w:br/>
      </w:r>
      <w:r>
        <w:t xml:space="preserve">Minimal faithful representations and amortized partial-order selection</w:t>
      </w:r>
    </w:p>
    <w:p>
      <w:pPr>
        <w:pStyle w:val="Author"/>
      </w:pPr>
      <w:r>
        <w:t xml:space="preserve">Andriy Bilous</w:t>
      </w:r>
      <w:r>
        <w:br/>
      </w:r>
      <w:r>
        <w:t xml:space="preserve">Department of Information Systems and Networks</w:t>
      </w:r>
      <w:r>
        <w:br/>
      </w:r>
      <w:r>
        <w:t xml:space="preserve">Lviv Polytechnic National University, Lviv, Ukraine</w:t>
      </w:r>
      <w:r>
        <w:br/>
      </w:r>
      <w:r>
        <w:t xml:space="preserve">ORCID: 0009-0006-5467-7932</w:t>
      </w:r>
      <w:r>
        <w:br/>
      </w:r>
      <w:r>
        <w:rPr>
          <w:rStyle w:val="VerbatimChar"/>
        </w:rPr>
        <w:t xml:space="preserve">andriy.bilous@uitware.com</w:t>
      </w:r>
    </w:p>
    <w:p>
      <w:pPr>
        <w:pStyle w:val="Author"/>
      </w:pPr>
      <w:r>
        <w:t xml:space="preserve">Oleksandr Reminnyi</w:t>
      </w:r>
      <w:r>
        <w:br/>
      </w:r>
      <w:r>
        <w:t xml:space="preserve">Department of Computerized Automatic Systems</w:t>
      </w:r>
      <w:r>
        <w:br/>
      </w:r>
      <w:r>
        <w:t xml:space="preserve">Lviv Polytechnic National University, Lviv, Ukraine</w:t>
      </w:r>
      <w:r>
        <w:br/>
      </w:r>
      <w:r>
        <w:t xml:space="preserve">ORCID: 0009-0005-5119-3695</w:t>
      </w:r>
      <w:r>
        <w:br/>
      </w:r>
      <w:r>
        <w:rPr>
          <w:rStyle w:val="VerbatimChar"/>
        </w:rPr>
        <w:t xml:space="preserve">sasha.reminnyi@gmail.com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 companion paper shows that context sources for a language model are only partially ordered, and</w:t>
      </w:r>
      <w:r>
        <w:t xml:space="preserve"> </w:t>
      </w:r>
      <w:r>
        <w:t xml:space="preserve">that consequently no single relevance number can rank them faithfully. That is an impossibility</w:t>
      </w:r>
      <w:r>
        <w:t xml:space="preserve"> </w:t>
      </w:r>
      <w:r>
        <w:t xml:space="preserve">result, and it leaves the constructive question open: if one number is not enough, how many are,</w:t>
      </w:r>
      <w:r>
        <w:t xml:space="preserve"> </w:t>
      </w:r>
      <w:r>
        <w:t xml:space="preserve">and can they be computed cheaply? We answer both. For sources modeled as deterministic projections</w:t>
      </w:r>
      <w:r>
        <w:t xml:space="preserve"> </w:t>
      </w:r>
      <w:r>
        <w:t xml:space="preserve">of a latent requirement, we show the Blackwell order is order-isomorphic to the Boolean lattice of</w:t>
      </w:r>
      <w:r>
        <w:t xml:space="preserve"> </w:t>
      </w:r>
      <w:r>
        <w:t xml:space="preserve">the coordinate sets a source reveals, so a source’s</w:t>
      </w:r>
      <w:r>
        <w:t xml:space="preserve"> </w:t>
      </w:r>
      <w:r>
        <w:rPr>
          <w:i/>
          <w:iCs/>
        </w:rPr>
        <w:t xml:space="preserve">coverage set</w:t>
      </w:r>
      <w:r>
        <w:t xml:space="preserve"> </w:t>
      </w:r>
      <w:r>
        <w:t xml:space="preserve">is a faithful</w:t>
      </w:r>
      <w:r>
        <w:t xml:space="preserve"> </w:t>
      </w:r>
      <w:r>
        <w:t xml:space="preserve">representation. Using the order dimension of that lattice, we prove the minimal faithful vector</w:t>
      </w:r>
      <w:r>
        <w:t xml:space="preserve"> </w:t>
      </w:r>
      <w:r>
        <w:t xml:space="preserve">representation has dimension exactly</w:t>
      </w:r>
      <w:r>
        <w:t xml:space="preserve"> </w:t>
      </w:r>
      <m:oMath>
        <m:r>
          <m:t>d</m:t>
        </m:r>
      </m:oMath>
      <w:r>
        <w:t xml:space="preserve">, the number of latent coordinates; scalar scoring is 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case, which recovers the companion paper’s impossibility as a corollary and sharpens it into</w:t>
      </w:r>
      <w:r>
        <w:t xml:space="preserve"> </w:t>
      </w:r>
      <w:r>
        <w:t xml:space="preserve">an exact requirement. Two structural consequences follow: the non-dominated front is an antichain</w:t>
      </w:r>
      <w:r>
        <w:t xml:space="preserve"> </w:t>
      </w:r>
      <w:r>
        <w:t xml:space="preserve">and can be exponentially large, so a selection budget is unavoidable, and budgeted selection is</w:t>
      </w:r>
      <w:r>
        <w:t xml:space="preserve"> </w:t>
      </w:r>
      <w:r>
        <w:t xml:space="preserve">exactly maximum coverage, whose greedy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guarantee is therefore optimal rather than merely</w:t>
      </w:r>
      <w:r>
        <w:t xml:space="preserve"> </w:t>
      </w:r>
      <w:r>
        <w:t xml:space="preserve">conventional. This reframes context selection as a covering problem over latent requirements rather</w:t>
      </w:r>
      <w:r>
        <w:t xml:space="preserve"> </w:t>
      </w:r>
      <w:r>
        <w:t xml:space="preserve">than a ranking problem over documents. We give</w:t>
      </w:r>
      <w:r>
        <w:t xml:space="preserve"> </w:t>
      </w:r>
      <w:r>
        <w:rPr>
          <w:smallCaps/>
        </w:rPr>
        <w:t xml:space="preserve">Probe-Select</w:t>
      </w:r>
      <w:r>
        <w:t xml:space="preserve">, which realizes the coverage</w:t>
      </w:r>
      <w:r>
        <w:t xml:space="preserve"> </w:t>
      </w:r>
      <w:r>
        <w:t xml:space="preserve">representation exactly by measurement, and then state the amortization question the reframing makes</w:t>
      </w:r>
      <w:r>
        <w:t xml:space="preserve"> </w:t>
      </w:r>
      <w:r>
        <w:t xml:space="preserve">precise: coverage vectors are predictable from source text, whereas the scalars that existing</w:t>
      </w:r>
      <w:r>
        <w:t xml:space="preserve"> </w:t>
      </w:r>
      <w:r>
        <w:t xml:space="preserve">learned retrievers amortize provably are not. [Planned: a non-circular held-out benchmark against</w:t>
      </w:r>
      <w:r>
        <w:t xml:space="preserve"> </w:t>
      </w:r>
      <w:r>
        <w:t xml:space="preserve">dense, cross-encoder, listwise, and diversity baselines; a learned coverage predictor evaluated by</w:t>
      </w:r>
      <w:r>
        <w:t xml:space="preserve"> </w:t>
      </w:r>
      <w:r>
        <w:t xml:space="preserve">order preservation and end-task regret; and a naturalistic prevalence study.]</w:t>
      </w:r>
    </w:p>
    <w:bookmarkStart w:id="14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companion paper </w:t>
      </w:r>
      <w:r>
        <w:t xml:space="preserve">(</w:t>
      </w:r>
      <w:hyperlink w:anchor="ref-companion">
        <w:r>
          <w:rPr>
            <w:rStyle w:val="Hyperlink"/>
          </w:rPr>
          <w:t xml:space="preserve">Bilous and Reminnyi 2026</w:t>
        </w:r>
      </w:hyperlink>
      <w:r>
        <w:t xml:space="preserve">)</w:t>
      </w:r>
      <w:r>
        <w:t xml:space="preserve"> </w:t>
      </w:r>
      <w:r>
        <w:t xml:space="preserve">establishes a negative result: context sources form a</w:t>
      </w:r>
      <w:r>
        <w:t xml:space="preserve"> </w:t>
      </w:r>
      <w:r>
        <w:t xml:space="preserve">Blackwell partial order, incomparable pairs occur and are verifiable on production models, and</w:t>
      </w:r>
      <w:r>
        <w:t xml:space="preserve"> </w:t>
      </w:r>
      <w:r>
        <w:t xml:space="preserve">therefore no query-independent scalar score can rank sources faithfully. It also leaves an explicit</w:t>
      </w:r>
      <w:r>
        <w:t xml:space="preserve"> </w:t>
      </w:r>
      <w:r>
        <w:t xml:space="preserve">gap. Its survey of the design space ends with an empty cell: every method cheap enough for</w:t>
      </w:r>
      <w:r>
        <w:t xml:space="preserve"> </w:t>
      </w:r>
      <w:r>
        <w:t xml:space="preserve">retrieval scale collapses to a total order, and every method that respects source interaction is</w:t>
      </w:r>
      <w:r>
        <w:t xml:space="preserve"> </w:t>
      </w:r>
      <w:r>
        <w:t xml:space="preserve">either symmetric redundancy over embedding geometry or as expensive as direct probing. Nothing is</w:t>
      </w:r>
      <w:r>
        <w:t xml:space="preserve"> </w:t>
      </w:r>
      <w:r>
        <w:t xml:space="preserve">both cheap and faithful to the partial order.</w:t>
      </w:r>
    </w:p>
    <w:p>
      <w:pPr>
        <w:pStyle w:val="BodyText"/>
      </w:pPr>
      <w:r>
        <w:t xml:space="preserve">This paper is about that cell. An impossibility result invites exactly one follow-up question, and</w:t>
      </w:r>
      <w:r>
        <w:t xml:space="preserve"> </w:t>
      </w:r>
      <w:r>
        <w:t xml:space="preserve">the companion paper does not ask it:</w:t>
      </w:r>
      <w:r>
        <w:t xml:space="preserve"> </w:t>
      </w:r>
      <w:r>
        <w:rPr>
          <w:i/>
          <w:iCs/>
        </w:rPr>
        <w:t xml:space="preserve">if one number is not enough, how many are?</w:t>
      </w:r>
      <w:r>
        <w:t xml:space="preserve"> </w:t>
      </w:r>
      <w:r>
        <w:t xml:space="preserve">We show the</w:t>
      </w:r>
      <w:r>
        <w:t xml:space="preserve"> </w:t>
      </w:r>
      <w:r>
        <w:t xml:space="preserve">question has a sharp answer, that the answer changes what kind of object a selection system should</w:t>
      </w:r>
      <w:r>
        <w:t xml:space="preserve"> </w:t>
      </w:r>
      <w:r>
        <w:t xml:space="preserve">compute, and that the object it identifies is the one thing in this problem that is plausibly</w:t>
      </w:r>
      <w:r>
        <w:t xml:space="preserve"> </w:t>
      </w:r>
      <w:r>
        <w:t xml:space="preserve">learnable.</w:t>
      </w:r>
    </w:p>
    <w:bookmarkStart w:id="9" w:name="from-ranking-to-covering."/>
    <w:p>
      <w:pPr>
        <w:pStyle w:val="Heading4"/>
      </w:pPr>
      <w:r>
        <w:t xml:space="preserve">From ranking to covering.</w:t>
      </w:r>
    </w:p>
    <w:p>
      <w:pPr>
        <w:pStyle w:val="FirstParagraph"/>
      </w:pPr>
      <w:r>
        <w:t xml:space="preserve">Our starting observation is that for sources modeled as deterministic projections, which is the</w:t>
      </w:r>
      <w:r>
        <w:t xml:space="preserve"> </w:t>
      </w:r>
      <w:r>
        <w:t xml:space="preserve">companion paper’s model, the Blackwell order is not an abstract poset. A source reveals a subset of</w:t>
      </w:r>
      <w:r>
        <w:t xml:space="preserve"> </w:t>
      </w:r>
      <w:r>
        <w:t xml:space="preserve">the latent coordinates a task requires, and one source dominates another exactly when its</w:t>
      </w:r>
      <w:r>
        <w:t xml:space="preserve"> </w:t>
      </w:r>
      <w:r>
        <w:t xml:space="preserve">coordinate set contains the other’s. The order is therefore order-isomorphic to the Boolean lattice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[</m:t>
            </m:r>
            <m:r>
              <m:t>d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⊆</m:t>
        </m:r>
        <m:r>
          <m:rPr>
            <m:sty m:val="p"/>
          </m:rPr>
          <m:t>)</m:t>
        </m:r>
      </m:oMath>
      <w:r>
        <w:t xml:space="preserve">, and the natural representation of a source is its</w:t>
      </w:r>
      <w:r>
        <w:t xml:space="preserve"> </w:t>
      </w:r>
      <w:r>
        <w:rPr>
          <w:i/>
          <w:iCs/>
        </w:rPr>
        <w:t xml:space="preserve">coverage set</w:t>
      </w:r>
      <w:r>
        <w:t xml:space="preserve">. Once</w:t>
      </w:r>
      <w:r>
        <w:t xml:space="preserve"> </w:t>
      </w:r>
      <w:r>
        <w:t xml:space="preserve">that identification is made, the vocabulary of the problem changes. Selection is not sorting</w:t>
      </w:r>
      <w:r>
        <w:t xml:space="preserve"> </w:t>
      </w:r>
      <w:r>
        <w:t xml:space="preserve">documents by a score and cutting; it is choosing a set of sources that</w:t>
      </w:r>
      <w:r>
        <w:t xml:space="preserve"> </w:t>
      </w:r>
      <w:r>
        <w:rPr>
          <w:i/>
          <w:iCs/>
        </w:rPr>
        <w:t xml:space="preserve">covers</w:t>
      </w:r>
      <w:r>
        <w:t xml:space="preserve"> </w:t>
      </w:r>
      <w:r>
        <w:t xml:space="preserve">the</w:t>
      </w:r>
      <w:r>
        <w:t xml:space="preserve"> </w:t>
      </w:r>
      <w:r>
        <w:t xml:space="preserve">coordinates the task requires. Context selection is a covering problem, not a ranking problem.</w:t>
      </w:r>
    </w:p>
    <w:bookmarkEnd w:id="9"/>
    <w:bookmarkStart w:id="10" w:name="how-many-numbers-are-enough."/>
    <w:p>
      <w:pPr>
        <w:pStyle w:val="Heading4"/>
      </w:pPr>
      <w:r>
        <w:t xml:space="preserve">How many numbers are enough.</w:t>
      </w:r>
    </w:p>
    <w:p>
      <w:pPr>
        <w:pStyle w:val="FirstParagraph"/>
      </w:pPr>
      <w:r>
        <w:t xml:space="preserve">The identification is not merely suggestive; it makes the representation question answerable.</w:t>
      </w:r>
      <w:r>
        <w:t xml:space="preserve"> </w:t>
      </w:r>
      <w:r>
        <w:t xml:space="preserve">Asking for a faithful vector representation is asking for an order-embedding of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[</m:t>
            </m:r>
            <m:r>
              <m:t>d</m:t>
            </m:r>
            <m:r>
              <m:rPr>
                <m:sty m:val="p"/>
              </m:rPr>
              <m:t>]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under the product order, and the least such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by definition the order dimension</w:t>
      </w:r>
      <w:r>
        <w:t xml:space="preserve"> </w:t>
      </w:r>
      <w:r>
        <w:t xml:space="preserve">of the lattice, which is exactly</w:t>
      </w:r>
      <w:r>
        <w:t xml:space="preserve"> </w:t>
      </w:r>
      <m:oMath>
        <m:r>
          <m:t>d</m:t>
        </m:r>
      </m:oMath>
      <w:r>
        <w:t xml:space="preserve"> </w:t>
      </w:r>
      <w:r>
        <w:t xml:space="preserve">(</w:t>
      </w:r>
      <w:hyperlink w:anchor="ref-dushnik1941">
        <w:r>
          <w:rPr>
            <w:rStyle w:val="Hyperlink"/>
          </w:rPr>
          <w:t xml:space="preserve">Dushnik and Miller 1941</w:t>
        </w:r>
      </w:hyperlink>
      <w:r>
        <w:t xml:space="preserve">;</w:t>
      </w:r>
      <w:r>
        <w:t xml:space="preserve"> </w:t>
      </w:r>
      <w:hyperlink w:anchor="ref-trotter1992">
        <w:r>
          <w:rPr>
            <w:rStyle w:val="Hyperlink"/>
          </w:rPr>
          <w:t xml:space="preserve">Trotter 1992</w:t>
        </w:r>
      </w:hyperlink>
      <w:r>
        <w:t xml:space="preserve">)</w:t>
      </w:r>
      <w:r>
        <w:t xml:space="preserve">. 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numbers suffice, fewer</w:t>
      </w:r>
      <w:r>
        <w:t xml:space="preserve"> </w:t>
      </w:r>
      <w:r>
        <w:t xml:space="preserve">than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provably do not, and the scalar pipeline is 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special case. The companion paper’s</w:t>
      </w:r>
      <w:r>
        <w:t xml:space="preserve"> </w:t>
      </w:r>
      <w:r>
        <w:t xml:space="preserve">impossibility theorem falls out as the corollary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 now with a quantitative statement of</w:t>
      </w:r>
      <w:r>
        <w:t xml:space="preserve"> </w:t>
      </w:r>
      <w:r>
        <w:t xml:space="preserve">what is missing rather than only that something is.</w:t>
      </w:r>
    </w:p>
    <w:bookmarkEnd w:id="10"/>
    <w:bookmarkStart w:id="11" w:name="X52e29eacb86aa30a3c3ba07dec37f184c736a74"/>
    <w:p>
      <w:pPr>
        <w:pStyle w:val="Heading4"/>
      </w:pPr>
      <w:r>
        <w:t xml:space="preserve">Why the front needs a budget, and why greedy is optimal.</w:t>
      </w:r>
    </w:p>
    <w:p>
      <w:pPr>
        <w:pStyle w:val="FirstParagraph"/>
      </w:pPr>
      <w:r>
        <w:t xml:space="preserve">Two consequences follow immediately and neither is visible from the companion paper’s framing.</w:t>
      </w:r>
      <w:r>
        <w:t xml:space="preserve"> </w:t>
      </w:r>
      <w:r>
        <w:t xml:space="preserve">First, the non-dominated front is an antichain in the lattice, and by Sperner’s</w:t>
      </w:r>
      <w:r>
        <w:t xml:space="preserve"> </w:t>
      </w:r>
      <w:r>
        <w:t xml:space="preserve">theorem </w:t>
      </w:r>
      <w:r>
        <w:t xml:space="preserve">(</w:t>
      </w:r>
      <w:hyperlink w:anchor="ref-sperner1928">
        <w:r>
          <w:rPr>
            <w:rStyle w:val="Hyperlink"/>
          </w:rPr>
          <w:t xml:space="preserve">Sperner 1928</w:t>
        </w:r>
      </w:hyperlink>
      <w:r>
        <w:t xml:space="preserve">)</w:t>
      </w:r>
      <w:r>
        <w:t xml:space="preserve"> </w:t>
      </w:r>
      <w:r>
        <w:t xml:space="preserve">an antichain can have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d</m:t>
                </m:r>
              </m:num>
              <m:den>
                <m:r>
                  <m:rPr>
                    <m:sty m:val="p"/>
                  </m:rPr>
                  <m:t>⌊</m:t>
                </m:r>
                <m:r>
                  <m:t>d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⌋</m:t>
                </m:r>
              </m:den>
            </m:f>
          </m:e>
        </m:d>
      </m:oMath>
      <w:r>
        <w:t xml:space="preserve"> </w:t>
      </w:r>
      <w:r>
        <w:t xml:space="preserve">elements, so</w:t>
      </w:r>
      <w:r>
        <w:t xml:space="preserve"> </w:t>
      </w:r>
      <w:r>
        <w:t xml:space="preserve">“keep everything non-dominated”</w:t>
      </w:r>
      <w:r>
        <w:t xml:space="preserve"> </w:t>
      </w:r>
      <w:r>
        <w:t xml:space="preserve">is not a usable rule at scale and a budget is forced. Second,</w:t>
      </w:r>
      <w:r>
        <w:t xml:space="preserve"> </w:t>
      </w:r>
      <w:r>
        <w:t xml:space="preserve">under a budget the problem is exactly maximum coverage, so the greedy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guarantee </w:t>
      </w:r>
      <w:r>
        <w:t xml:space="preserve">(</w:t>
      </w:r>
      <w:hyperlink w:anchor="ref-nemhauser1978">
        <w:r>
          <w:rPr>
            <w:rStyle w:val="Hyperlink"/>
          </w:rPr>
          <w:t xml:space="preserve">Nemhauser et al. 1978</w:t>
        </w:r>
      </w:hyperlink>
      <w:r>
        <w:t xml:space="preserve">)</w:t>
      </w:r>
      <w:r>
        <w:t xml:space="preserve"> </w:t>
      </w:r>
      <w:r>
        <w:t xml:space="preserve">is not a conventional bound imported for respectability: by</w:t>
      </w:r>
      <w:r>
        <w:t xml:space="preserve"> </w:t>
      </w:r>
      <w:r>
        <w:t xml:space="preserve">Feige (</w:t>
      </w:r>
      <w:hyperlink w:anchor="ref-feige1998">
        <w:r>
          <w:rPr>
            <w:rStyle w:val="Hyperlink"/>
          </w:rPr>
          <w:t xml:space="preserve">1998</w:t>
        </w:r>
      </w:hyperlink>
      <w:r>
        <w:t xml:space="preserve">)</w:t>
      </w:r>
      <w:r>
        <w:t xml:space="preserve"> </w:t>
      </w:r>
      <w:r>
        <w:t xml:space="preserve">no polynomial-time algorithm improves on it unless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. The</w:t>
      </w:r>
      <w:r>
        <w:t xml:space="preserve"> </w:t>
      </w:r>
      <w:r>
        <w:t xml:space="preserve">approximation constant is tight, which is a stronger statement than the companion paper’s method</w:t>
      </w:r>
      <w:r>
        <w:t xml:space="preserve"> </w:t>
      </w:r>
      <w:r>
        <w:t xml:space="preserve">sketch was able to make.</w:t>
      </w:r>
    </w:p>
    <w:bookmarkEnd w:id="11"/>
    <w:bookmarkStart w:id="12" w:name="contributions."/>
    <w:p>
      <w:pPr>
        <w:pStyle w:val="Heading4"/>
      </w:pPr>
      <w:r>
        <w:t xml:space="preserve">Contributions.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Coverage representation</w:t>
      </w:r>
      <w:r>
        <w:t xml:space="preserve"> </w:t>
      </w:r>
      <w:r>
        <w:t xml:space="preserve">(§</w:t>
      </w:r>
      <w:hyperlink w:anchor="sec:coverage">
        <w:r>
          <w:rPr>
            <w:rStyle w:val="Hyperlink"/>
          </w:rPr>
          <w:t xml:space="preserve">3</w:t>
        </w:r>
      </w:hyperlink>
      <w:r>
        <w:t xml:space="preserve">). The Blackwell order over</w:t>
      </w:r>
      <w:r>
        <w:t xml:space="preserve"> </w:t>
      </w:r>
      <w:r>
        <w:t xml:space="preserve">projection sources is order-isomorphic to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[</m:t>
            </m:r>
            <m:r>
              <m:t>d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⊆</m:t>
        </m:r>
        <m:r>
          <m:rPr>
            <m:sty m:val="p"/>
          </m:rPr>
          <m:t>)</m:t>
        </m:r>
      </m:oMath>
      <w:r>
        <w:t xml:space="preserve">; the coverage set is a faithful</w:t>
      </w:r>
      <w:r>
        <w:t xml:space="preserve"> </w:t>
      </w:r>
      <w:r>
        <w:t xml:space="preserve">representation (Theorem </w:t>
      </w:r>
      <w:hyperlink w:anchor="thm:iso">
        <w:r>
          <w:rPr>
            <w:rStyle w:val="Hyperlink"/>
          </w:rPr>
          <w:t xml:space="preserve">1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Exact dimension</w:t>
      </w:r>
      <w:r>
        <w:t xml:space="preserve"> </w:t>
      </w:r>
      <w:r>
        <w:t xml:space="preserve">(§</w:t>
      </w:r>
      <w:hyperlink w:anchor="sec:dimension">
        <w:r>
          <w:rPr>
            <w:rStyle w:val="Hyperlink"/>
          </w:rPr>
          <w:t xml:space="preserve">3.1</w:t>
        </w:r>
      </w:hyperlink>
      <w:r>
        <w:t xml:space="preserve">). The minimal faithful vector</w:t>
      </w:r>
      <w:r>
        <w:t xml:space="preserve"> </w:t>
      </w:r>
      <w:r>
        <w:t xml:space="preserve">representation has dimension exactly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(Theorem </w:t>
      </w:r>
      <w:hyperlink w:anchor="thm:dimension">
        <w:r>
          <w:rPr>
            <w:rStyle w:val="Hyperlink"/>
          </w:rPr>
          <w:t xml:space="preserve">2</w:t>
        </w:r>
      </w:hyperlink>
      <w:r>
        <w:t xml:space="preserve">), with scalar</w:t>
      </w:r>
      <w:r>
        <w:t xml:space="preserve"> </w:t>
      </w:r>
      <w:r>
        <w:t xml:space="preserve">impossibility as a corollary (Corollary </w:t>
      </w:r>
      <w:hyperlink w:anchor="cor:scalar">
        <w:r>
          <w:rPr>
            <w:rStyle w:val="Hyperlink"/>
          </w:rPr>
          <w:t xml:space="preserve">1</w:t>
        </w:r>
      </w:hyperlink>
      <w:r>
        <w:t xml:space="preserve">) and a lower bound on what any learned</w:t>
      </w:r>
      <w:r>
        <w:t xml:space="preserve"> </w:t>
      </w:r>
      <w:r>
        <w:t xml:space="preserve">representation must encode.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Structure of selection</w:t>
      </w:r>
      <w:r>
        <w:t xml:space="preserve"> </w:t>
      </w:r>
      <w:r>
        <w:t xml:space="preserve">(§</w:t>
      </w:r>
      <w:hyperlink w:anchor="sec:structure">
        <w:r>
          <w:rPr>
            <w:rStyle w:val="Hyperlink"/>
          </w:rPr>
          <w:t xml:space="preserve">3.2</w:t>
        </w:r>
      </w:hyperlink>
      <w:r>
        <w:t xml:space="preserve">). The front is an antichain with a</w:t>
      </w:r>
      <w:r>
        <w:t xml:space="preserve"> </w:t>
      </w:r>
      <w:r>
        <w:t xml:space="preserve">Sperner bound (Proposition </w:t>
      </w:r>
      <w:hyperlink w:anchor="prop:antichain">
        <w:r>
          <w:rPr>
            <w:rStyle w:val="Hyperlink"/>
          </w:rPr>
          <w:t xml:space="preserve">1</w:t>
        </w:r>
      </w:hyperlink>
      <w:r>
        <w:t xml:space="preserve">), and budgeted selection is maximum coverage</w:t>
      </w:r>
      <w:r>
        <w:t xml:space="preserve"> </w:t>
      </w:r>
      <w:r>
        <w:t xml:space="preserve">with a tight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constant (Proposition </w:t>
      </w:r>
      <w:hyperlink w:anchor="prop:maxcover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Exact realization</w:t>
      </w:r>
      <w:r>
        <w:t xml:space="preserve"> </w:t>
      </w:r>
      <w:r>
        <w:t xml:space="preserve">(§</w:t>
      </w:r>
      <w:hyperlink w:anchor="sec:probeselect">
        <w:r>
          <w:rPr>
            <w:rStyle w:val="Hyperlink"/>
          </w:rPr>
          <w:t xml:space="preserve">4</w:t>
        </w:r>
      </w:hyperlink>
      <w:r>
        <w:t xml:space="preserve">).</w:t>
      </w:r>
      <w:r>
        <w:t xml:space="preserve"> </w:t>
      </w:r>
      <w:r>
        <w:rPr>
          <w:smallCaps/>
        </w:rPr>
        <w:t xml:space="preserve">Probe-Select</w:t>
      </w:r>
      <w:r>
        <w:t xml:space="preserve"> </w:t>
      </w:r>
      <w:r>
        <w:t xml:space="preserve">computes the</w:t>
      </w:r>
      <w:r>
        <w:t xml:space="preserve"> </w:t>
      </w:r>
      <w:r>
        <w:t xml:space="preserve">coverage order by measurement, with monotone safety and strict generalization of top-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amortization question, made precise</w:t>
      </w:r>
      <w:r>
        <w:t xml:space="preserve"> </w:t>
      </w:r>
      <w:r>
        <w:t xml:space="preserve">(§</w:t>
      </w:r>
      <w:hyperlink w:anchor="sec:amortize">
        <w:r>
          <w:rPr>
            <w:rStyle w:val="Hyperlink"/>
          </w:rPr>
          <w:t xml:space="preserve">5</w:t>
        </w:r>
      </w:hyperlink>
      <w:r>
        <w:t xml:space="preserve">). The dimension</w:t>
      </w:r>
      <w:r>
        <w:t xml:space="preserve"> </w:t>
      </w:r>
      <w:r>
        <w:t xml:space="preserve">bound explains why existing learned retrievers cannot reach the empty cell (they amortize a</w:t>
      </w:r>
      <w:r>
        <w:t xml:space="preserve"> </w:t>
      </w:r>
      <w:r>
        <w:t xml:space="preserve">scalar) and identifies coverage-vector prediction as the target that can.</w:t>
      </w:r>
    </w:p>
    <w:bookmarkEnd w:id="12"/>
    <w:bookmarkStart w:id="13" w:name="relation-to-the-companion-paper."/>
    <w:p>
      <w:pPr>
        <w:pStyle w:val="Heading4"/>
      </w:pPr>
      <w:r>
        <w:t xml:space="preserve">Relation to the companion paper.</w:t>
      </w:r>
    </w:p>
    <w:p>
      <w:pPr>
        <w:pStyle w:val="FirstParagraph"/>
      </w:pPr>
      <w:r>
        <w:t xml:space="preserve">We import and do not re-derive: the experiment model, the fixed model rule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, the</w:t>
      </w:r>
      <w:r>
        <w:t xml:space="preserve"> </w:t>
      </w:r>
      <w:r>
        <w:t xml:space="preserve">decision-restricted surrogate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δ</m:t>
                </m:r>
              </m:e>
            </m:acc>
          </m:e>
          <m:sub>
            <m:r>
              <m:rPr>
                <m:scr m:val="script"/>
                <m:sty m:val="p"/>
              </m:rPr>
              <m:t>D</m:t>
            </m:r>
          </m:sub>
        </m:sSub>
      </m:oMath>
      <w:r>
        <w:t xml:space="preserve">, the finite-sample verification machinery, and the</w:t>
      </w:r>
      <w:r>
        <w:t xml:space="preserve"> </w:t>
      </w:r>
      <w:r>
        <w:t xml:space="preserve">verified anti-monotonicity phenomenon are all established in </w:t>
      </w:r>
      <w:r>
        <w:t xml:space="preserve">Bilous and Reminnyi (</w:t>
      </w:r>
      <w:hyperlink w:anchor="ref-companion">
        <w:r>
          <w:rPr>
            <w:rStyle w:val="Hyperlink"/>
          </w:rPr>
          <w:t xml:space="preserve">2026</w:t>
        </w:r>
      </w:hyperlink>
      <w:r>
        <w:t xml:space="preserve">)</w:t>
      </w:r>
      <w:r>
        <w:t xml:space="preserve"> </w:t>
      </w:r>
      <w:r>
        <w:t xml:space="preserve">and used here as</w:t>
      </w:r>
      <w:r>
        <w:t xml:space="preserve"> </w:t>
      </w:r>
      <w:r>
        <w:t xml:space="preserve">given. This paper contributes the representation theory over that model, the structural</w:t>
      </w:r>
      <w:r>
        <w:t xml:space="preserve"> </w:t>
      </w:r>
      <w:r>
        <w:t xml:space="preserve">consequences for selection, and the amortization program. Where the companion paper asks whether</w:t>
      </w:r>
      <w:r>
        <w:t xml:space="preserve"> </w:t>
      </w:r>
      <w:r>
        <w:t xml:space="preserve">scalar selection is broken, this paper asks what to compute instead.</w:t>
      </w:r>
    </w:p>
    <w:bookmarkEnd w:id="13"/>
    <w:bookmarkEnd w:id="14"/>
    <w:bookmarkStart w:id="15" w:name="sec:prelim"/>
    <w:p>
      <w:pPr>
        <w:pStyle w:val="Heading1"/>
      </w:pPr>
      <w:r>
        <w:t xml:space="preserve">Preliminaries</w:t>
      </w:r>
    </w:p>
    <w:p>
      <w:pPr>
        <w:pStyle w:val="FirstParagraph"/>
      </w:pPr>
      <w:r>
        <w:t xml:space="preserve">We restate only what the theorems need; see </w:t>
      </w:r>
      <w:r>
        <w:t xml:space="preserve">Bilous and Reminnyi (</w:t>
      </w:r>
      <w:hyperlink w:anchor="ref-companion">
        <w:r>
          <w:rPr>
            <w:rStyle w:val="Hyperlink"/>
          </w:rPr>
          <w:t xml:space="preserve">2026</w:t>
        </w:r>
      </w:hyperlink>
      <w:r>
        <w:t xml:space="preserve">)</w:t>
      </w:r>
      <w:r>
        <w:t xml:space="preserve"> </w:t>
      </w:r>
      <w:r>
        <w:t xml:space="preserve">for the full development.</w:t>
      </w:r>
    </w:p>
    <w:p>
      <w:pPr>
        <w:pStyle w:val="BodyText"/>
      </w:pPr>
      <w:r>
        <w:t xml:space="preserve">A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carries a verifier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pass rate of a fixed model rule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given context source</w:t>
      </w:r>
      <w:r>
        <w:t xml:space="preserve"> </w:t>
      </w:r>
      <m:oMath>
        <m:r>
          <m:t>W</m:t>
        </m:r>
      </m:oMath>
      <w:r>
        <w:t xml:space="preserve">. The latent requirement is a vector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coordinates</w:t>
      </w:r>
      <w:r>
        <w:t xml:space="preserve">: the private facts a solution must respect. Coordinates</w:t>
      </w:r>
      <w:r>
        <w:t xml:space="preserve"> </w:t>
      </w:r>
      <w:r>
        <w:t xml:space="preserve">are non-degenerate and mutually independent under the prior. A</w:t>
      </w:r>
      <w:r>
        <w:t xml:space="preserve"> </w:t>
      </w:r>
      <w:r>
        <w:rPr>
          <w:i/>
          <w:iCs/>
        </w:rPr>
        <w:t xml:space="preserve">projection source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</m:sub>
        </m:sSub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d</m:t>
        </m:r>
        <m:r>
          <m:rPr>
            <m:sty m:val="p"/>
          </m:rPr>
          <m:t>]</m:t>
        </m:r>
      </m:oMath>
      <w:r>
        <w:t xml:space="preserve">, reveals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i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A</m:t>
            </m:r>
          </m:sub>
        </m:sSub>
      </m:oMath>
      <w:r>
        <w:t xml:space="preserve"> </w:t>
      </w:r>
      <w:r>
        <w:t xml:space="preserve">and nothing else; write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its</w:t>
      </w:r>
      <w:r>
        <w:t xml:space="preserve"> </w:t>
      </w:r>
      <w:r>
        <w:t xml:space="preserve">coverage set. We write</w:t>
      </w:r>
      <w:r>
        <w:t xml:space="preserve"> </w:t>
      </w:r>
      <m:oMath>
        <m:r>
          <m:t>W</m:t>
        </m:r>
        <m:sSub>
          <m:e>
            <m:r>
              <m:rPr>
                <m:sty m:val="p"/>
              </m:rPr>
              <m:t>≽</m:t>
            </m:r>
          </m:e>
          <m:sub>
            <m:r>
              <m:t>B</m:t>
            </m:r>
          </m:sub>
        </m:sSub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the Blackwell (garbling) order and take the</w:t>
      </w:r>
      <w:r>
        <w:t xml:space="preserve"> </w:t>
      </w:r>
      <w:r>
        <w:t xml:space="preserve">Blackwell–Sherman–Stein equivalence as given </w:t>
      </w:r>
      <w:r>
        <w:t xml:space="preserve">(</w:t>
      </w:r>
      <w:hyperlink w:anchor="ref-blackwell1953">
        <w:r>
          <w:rPr>
            <w:rStyle w:val="Hyperlink"/>
          </w:rPr>
          <w:t xml:space="preserve">Blackwell 1953</w:t>
        </w:r>
      </w:hyperlink>
      <w:r>
        <w:t xml:space="preserve">;</w:t>
      </w:r>
      <w:r>
        <w:t xml:space="preserve"> </w:t>
      </w:r>
      <w:hyperlink w:anchor="ref-torgersen1991">
        <w:r>
          <w:rPr>
            <w:rStyle w:val="Hyperlink"/>
          </w:rPr>
          <w:t xml:space="preserve">Torgersen 1991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Verification of empirical dominance and incomparability from finitely many measurements, via exact</w:t>
      </w:r>
      <w:r>
        <w:t xml:space="preserve"> </w:t>
      </w:r>
      <w:r>
        <w:t xml:space="preserve">Clopper–Pearson intervals with a union bound at level</w:t>
      </w:r>
      <w:r>
        <w:t xml:space="preserve"> </w:t>
      </w:r>
      <m:oMath>
        <m:r>
          <m:t>η</m:t>
        </m:r>
      </m:oMath>
      <w:r>
        <w:t xml:space="preserve">, is the companion paper’s machinery</w:t>
      </w:r>
      <w:r>
        <w:t xml:space="preserve"> </w:t>
      </w:r>
      <w:r>
        <w:t xml:space="preserve">and is used unchanged in §</w:t>
      </w:r>
      <w:hyperlink w:anchor="sec:probeselect">
        <w:r>
          <w:rPr>
            <w:rStyle w:val="Hyperlink"/>
          </w:rPr>
          <w:t xml:space="preserve">4</w:t>
        </w:r>
      </w:hyperlink>
      <w:r>
        <w:t xml:space="preserve">.</w:t>
      </w:r>
    </w:p>
    <w:bookmarkEnd w:id="15"/>
    <w:bookmarkStart w:id="24" w:name="sec:coverage"/>
    <w:p>
      <w:pPr>
        <w:pStyle w:val="Heading1"/>
      </w:pPr>
      <w:r>
        <w:t xml:space="preserve">The coverage representation</w:t>
      </w:r>
    </w:p>
    <w:bookmarkStart w:id="16" w:name="thm:iso"/>
    <w:p>
      <w:pPr>
        <w:pStyle w:val="FirstParagraph"/>
      </w:pPr>
      <w:r>
        <w:rPr>
          <w:b/>
          <w:bCs/>
        </w:rPr>
        <w:t xml:space="preserve">Theorem 1</w:t>
      </w:r>
      <w:r>
        <w:t xml:space="preserve"> </w:t>
      </w:r>
      <w:r>
        <w:t xml:space="preserve">(Coverage isomorphism).</w:t>
      </w:r>
      <w:r>
        <w:t xml:space="preserve"> </w:t>
      </w:r>
      <w:r>
        <w:t xml:space="preserve"> </w:t>
      </w:r>
      <w:r>
        <w:rPr>
          <w:i/>
          <w:iCs/>
        </w:rPr>
        <w:t xml:space="preserve">For projection sources,</w:t>
      </w:r>
      <w:r>
        <w:rPr>
          <w:i/>
          <w:iCs/>
        </w:rP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</m:sub>
        </m:sSub>
        <m:sSub>
          <m:e>
            <m:r>
              <m:rPr>
                <m:sty m:val="p"/>
              </m:rPr>
              <m:t>≽</m:t>
            </m:r>
          </m:e>
          <m:sub>
            <m:r>
              <m:t>B</m:t>
            </m:r>
          </m:sub>
        </m:sSub>
        <m:sSub>
          <m:e>
            <m:r>
              <m:t>W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if and only if</w:t>
      </w:r>
      <w:r>
        <w:rPr>
          <w:i/>
          <w:iCs/>
        </w:rP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rPr>
          <w:i/>
          <w:iCs/>
        </w:rPr>
        <w:t xml:space="preserve">. Hence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↦</m:t>
        </m:r>
        <m:sSub>
          <m:e>
            <m:r>
              <m:t>W</m:t>
            </m:r>
          </m:e>
          <m:sub>
            <m:r>
              <m:t>A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an</w:t>
      </w:r>
      <w:r>
        <w:rPr>
          <w:i/>
          <w:iCs/>
        </w:rPr>
        <w:t xml:space="preserve"> </w:t>
      </w:r>
      <w:r>
        <w:rPr>
          <w:i/>
          <w:iCs/>
        </w:rPr>
        <w:t xml:space="preserve">order isomorphism from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[</m:t>
            </m:r>
            <m:r>
              <m:t>d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⊆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onto the Blackwell order restricted to projection</w:t>
      </w:r>
      <w:r>
        <w:rPr>
          <w:i/>
          <w:iCs/>
        </w:rPr>
        <w:t xml:space="preserve"> </w:t>
      </w:r>
      <w:r>
        <w:rPr>
          <w:i/>
          <w:iCs/>
        </w:rPr>
        <w:t xml:space="preserve">sources.</w:t>
      </w:r>
    </w:p>
    <w:bookmarkEnd w:id="16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, the map discarding the coordinates in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is a deterministic Markov</w:t>
      </w:r>
      <w:r>
        <w:t xml:space="preserve"> </w:t>
      </w:r>
      <w:r>
        <w:t xml:space="preserve">kernel carrying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</m:sub>
        </m:sSub>
      </m:oMath>
      <w:r>
        <w:t xml:space="preserve">’s signal to</w:t>
      </w:r>
      <w: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</m:oMath>
      <w:r>
        <w:t xml:space="preserve">’s, so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</m:sub>
        </m:sSub>
        <m:sSub>
          <m:e>
            <m:r>
              <m:rPr>
                <m:sty m:val="p"/>
              </m:rPr>
              <m:t>≽</m:t>
            </m:r>
          </m:e>
          <m:sub>
            <m:r>
              <m:t>B</m:t>
            </m:r>
          </m:sub>
        </m:sSub>
        <m:sSub>
          <m:e>
            <m:r>
              <m:t>W</m:t>
            </m:r>
          </m:e>
          <m:sub>
            <m:r>
              <m:t>B</m:t>
            </m:r>
          </m:sub>
        </m:sSub>
      </m:oMath>
      <w:r>
        <w:t xml:space="preserve">. Conversely, suppose</w:t>
      </w:r>
      <w:r>
        <w:t xml:space="preserve"> </w:t>
      </w:r>
      <m:oMath>
        <m:r>
          <m:t>B</m:t>
        </m:r>
        <m:r>
          <m:rPr>
            <m:sty m:val="p"/>
          </m:rPr>
          <m:t>⊈</m:t>
        </m:r>
        <m:r>
          <m:t>A</m:t>
        </m:r>
      </m:oMath>
      <w:r>
        <w:t xml:space="preserve"> </w:t>
      </w:r>
      <w:r>
        <w:t xml:space="preserve">and pick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. A garbling of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measurable with respect to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j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rPr>
            <m:sty m:val="p"/>
          </m:rPr>
          <m:t>)</m:t>
        </m:r>
      </m:oMath>
      <w:r>
        <w:t xml:space="preserve">, which by independence and non-degeneracy of the coordinates is</w:t>
      </w:r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; no such kernel reproduces</w:t>
      </w:r>
      <w: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</m:oMath>
      <w:r>
        <w:t xml:space="preserve">’s signal, which determines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. Hence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</m:sub>
        </m:sSub>
        <m:sSub>
          <m:e>
            <m:r>
              <m:rPr>
                <m:sty m:val="p"/>
              </m:rPr>
              <m:t>⋡</m:t>
            </m:r>
          </m:e>
          <m:sub>
            <m:r>
              <m:t>B</m:t>
            </m:r>
          </m:sub>
        </m:sSub>
        <m:sSub>
          <m:e>
            <m:r>
              <m:t>W</m:t>
            </m:r>
          </m:e>
          <m:sub>
            <m:r>
              <m:t>B</m:t>
            </m:r>
          </m:sub>
        </m:sSub>
      </m:oMath>
      <w:r>
        <w:t xml:space="preserve">. Antisymmetry and transitivity transfer from set inclusion. ◻</w:t>
      </w:r>
    </w:p>
    <w:p>
      <w:pPr>
        <w:pStyle w:val="BodyText"/>
      </w:pPr>
      <w:r>
        <w:t xml:space="preserve">The content of Theorem </w:t>
      </w:r>
      <w:hyperlink w:anchor="thm:iso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is that the order carries no structure beyond containment of</w:t>
      </w:r>
      <w:r>
        <w:t xml:space="preserve"> </w:t>
      </w:r>
      <w:r>
        <w:t xml:space="preserve">coverage sets. Everything below is a consequence of working in a Boolean lattice rather than in an</w:t>
      </w:r>
      <w:r>
        <w:t xml:space="preserve"> </w:t>
      </w:r>
      <w:r>
        <w:t xml:space="preserve">arbitrary poset.</w:t>
      </w:r>
    </w:p>
    <w:bookmarkStart w:id="20" w:name="sec:dimension"/>
    <w:p>
      <w:pPr>
        <w:pStyle w:val="Heading2"/>
      </w:pPr>
      <w:r>
        <w:t xml:space="preserve">How many numbers a faithful representation needs</w:t>
      </w:r>
    </w:p>
    <w:bookmarkStart w:id="17" w:name="def:faithful"/>
    <w:p>
      <w:pPr>
        <w:pStyle w:val="FirstParagraph"/>
      </w:pPr>
      <w:r>
        <w:rPr>
          <w:b/>
          <w:bCs/>
        </w:rPr>
        <w:t xml:space="preserve">Definition 1</w:t>
      </w:r>
      <w:r>
        <w:t xml:space="preserve"> </w:t>
      </w:r>
      <w:r>
        <w:t xml:space="preserve">(Faithful representation).</w:t>
      </w:r>
      <w:r>
        <w:t xml:space="preserve"> </w:t>
      </w:r>
      <w:r>
        <w:t xml:space="preserve"> </w:t>
      </w:r>
      <w:r>
        <w:t xml:space="preserve">A map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from sources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faithful</w:t>
      </w:r>
      <w:r>
        <w:t xml:space="preserve"> </w:t>
      </w:r>
      <w:r>
        <w:t xml:space="preserve">if for all sources</w:t>
      </w:r>
      <w:r>
        <w:t xml:space="preserve"> </w:t>
      </w:r>
      <m:oMath>
        <m:r>
          <m:t>W</m:t>
        </m:r>
        <m:r>
          <m:rPr>
            <m:sty m:val="p"/>
          </m:rPr>
          <m:t>,</m:t>
        </m:r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sSub>
            <m:e>
              <m:r>
                <m:rPr>
                  <m:sty m:val="p"/>
                </m:rPr>
                <m:t>≽</m:t>
              </m:r>
            </m:e>
            <m:sub>
              <m:r>
                <m:t>B</m:t>
              </m:r>
            </m:sub>
          </m:sSub>
          <m:sSup>
            <m:e>
              <m:r>
                <m:t>W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⇔</m:t>
          </m:r>
          <m:r>
            <m:t>φ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φ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t> </m:t>
          </m:r>
          <m:r>
            <m:rPr>
              <m:nor/>
              <m:sty m:val="p"/>
            </m:rPr>
            <m:t>componentwise.</m:t>
          </m:r>
        </m:oMath>
      </m:oMathPara>
    </w:p>
    <w:bookmarkEnd w:id="17"/>
    <w:p>
      <w:pPr>
        <w:pStyle w:val="FirstParagraph"/>
      </w:pPr>
      <w:r>
        <w:t xml:space="preserve">Faithfulness is the property a selection system needs: it may compare representations instead of</w:t>
      </w:r>
      <w:r>
        <w:t xml:space="preserve"> </w:t>
      </w:r>
      <w:r>
        <w:t xml:space="preserve">sources without ever concluding a dominance that does not hold, or missing one that does.</w:t>
      </w:r>
    </w:p>
    <w:bookmarkStart w:id="18" w:name="thm:dimension"/>
    <w:p>
      <w:pPr>
        <w:pStyle w:val="BodyText"/>
      </w:pPr>
      <w:r>
        <w:rPr>
          <w:b/>
          <w:bCs/>
        </w:rPr>
        <w:t xml:space="preserve">Theorem 2</w:t>
      </w:r>
      <w:r>
        <w:t xml:space="preserve"> </w:t>
      </w:r>
      <w:r>
        <w:t xml:space="preserve">(Minimal faithful dimension).</w:t>
      </w:r>
      <w:r>
        <w:t xml:space="preserve"> </w:t>
      </w:r>
      <w:r>
        <w:t xml:space="preserve"> </w:t>
      </w:r>
      <w:r>
        <w:rPr>
          <w:i/>
          <w:iCs/>
        </w:rPr>
        <w:t xml:space="preserve">The least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admitting a faithful representation of the projection sources on</w:t>
      </w:r>
      <w:r>
        <w:rPr>
          <w:i/>
          <w:iCs/>
        </w:rPr>
        <w:t xml:space="preserve"> </w:t>
      </w:r>
      <m:oMath>
        <m:r>
          <m:t>d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coordinates is</w:t>
      </w:r>
      <w:r>
        <w:rPr>
          <w:i/>
          <w:iCs/>
        </w:rPr>
        <w:t xml:space="preserve"> </w:t>
      </w:r>
      <w:r>
        <w:rPr>
          <w:i/>
          <w:iCs/>
        </w:rPr>
        <w:t xml:space="preserve">exactly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d</m:t>
        </m:r>
      </m:oMath>
      <w:r>
        <w:rPr>
          <w:i/>
          <w:iCs/>
        </w:rPr>
        <w:t xml:space="preserve">. The coverage indicator</w:t>
      </w:r>
      <w:r>
        <w:rPr>
          <w:i/>
          <w:iCs/>
        </w:rPr>
        <w:t xml:space="preserve"> </w:t>
      </w:r>
      <m:oMath>
        <m:r>
          <m:t>φ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d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attains it.</w:t>
      </w:r>
    </w:p>
    <w:bookmarkEnd w:id="18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rPr>
          <w:i/>
          <w:iCs/>
        </w:rPr>
        <w:t xml:space="preserve">Attainment.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≤</m:t>
        </m:r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componentwise iff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, which by</w:t>
      </w:r>
      <w:r>
        <w:t xml:space="preserve"> </w:t>
      </w:r>
      <w:r>
        <w:t xml:space="preserve">Theorem </w:t>
      </w:r>
      <w:hyperlink w:anchor="thm:iso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holds iff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</m:sub>
        </m:sSub>
        <m:sSub>
          <m:e>
            <m:r>
              <m:rPr>
                <m:sty m:val="p"/>
              </m:rPr>
              <m:t>≽</m:t>
            </m:r>
          </m:e>
          <m:sub>
            <m:r>
              <m:t>B</m:t>
            </m:r>
          </m:sub>
        </m:sSub>
        <m:sSub>
          <m:e>
            <m:r>
              <m:t>W</m:t>
            </m:r>
          </m:e>
          <m:sub>
            <m:r>
              <m:t>B</m:t>
            </m:r>
          </m:sub>
        </m:sSub>
      </m:oMath>
      <w:r>
        <w:t xml:space="preserve">; so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faithful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Lower bound.</w:t>
      </w:r>
      <w:r>
        <w:t xml:space="preserve"> </w:t>
      </w:r>
      <w:r>
        <w:t xml:space="preserve">A faithful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is precisely an order-embedding of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[</m:t>
            </m:r>
            <m:r>
              <m:t>d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⊆</m:t>
        </m:r>
        <m:r>
          <m:rPr>
            <m:sty m:val="p"/>
          </m:rPr>
          <m:t>)</m:t>
        </m:r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with the product order. By Ore’s characterization, the least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which a</w:t>
      </w:r>
      <w:r>
        <w:t xml:space="preserve"> </w:t>
      </w:r>
      <w:r>
        <w:t xml:space="preserve">finite poset embeds into a product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is its order dimension </w:t>
      </w:r>
      <w:r>
        <w:t xml:space="preserve">(</w:t>
      </w:r>
      <w:hyperlink w:anchor="ref-trotter1992">
        <w:r>
          <w:rPr>
            <w:rStyle w:val="Hyperlink"/>
          </w:rPr>
          <w:t xml:space="preserve">Trotter 1992</w:t>
        </w:r>
      </w:hyperlink>
      <w:r>
        <w:t xml:space="preserve">)</w:t>
      </w:r>
      <w:r>
        <w:t xml:space="preserve">, and</w:t>
      </w:r>
      <w:r>
        <w:t xml:space="preserve"> </w:t>
      </w:r>
      <w:r>
        <w:t xml:space="preserve">the order dimension of the Boolean lattice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[</m:t>
            </m:r>
            <m:r>
              <m:t>d</m:t>
            </m:r>
            <m:r>
              <m:rPr>
                <m:sty m:val="p"/>
              </m:rPr>
              <m:t>]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</m:oMath>
      <w:r>
        <w:t xml:space="preserve"> </w:t>
      </w:r>
      <w:r>
        <w:t xml:space="preserve">(</w:t>
      </w:r>
      <w:hyperlink w:anchor="ref-dushnik1941">
        <w:r>
          <w:rPr>
            <w:rStyle w:val="Hyperlink"/>
          </w:rPr>
          <w:t xml:space="preserve">Dushnik and Miller 1941</w:t>
        </w:r>
      </w:hyperlink>
      <w:r>
        <w:t xml:space="preserve">)</w:t>
      </w:r>
      <w:r>
        <w:t xml:space="preserve">. Hence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d</m:t>
        </m:r>
      </m:oMath>
      <w:r>
        <w:t xml:space="preserve">. ◻</w:t>
      </w:r>
    </w:p>
    <w:bookmarkStart w:id="19" w:name="cor:scalar"/>
    <w:p>
      <w:pPr>
        <w:pStyle w:val="BodyText"/>
      </w:pPr>
      <w:r>
        <w:rPr>
          <w:b/>
          <w:bCs/>
        </w:rPr>
        <w:t xml:space="preserve">Corollary 1</w:t>
      </w:r>
      <w:r>
        <w:t xml:space="preserve"> </w:t>
      </w:r>
      <w:r>
        <w:t xml:space="preserve">(Scalar impossibility, quantified).</w:t>
      </w:r>
      <w:r>
        <w:t xml:space="preserve"> </w:t>
      </w:r>
      <w:r>
        <w:t xml:space="preserve"> </w:t>
      </w:r>
      <w:r>
        <w:rPr>
          <w:i/>
          <w:iCs/>
        </w:rPr>
        <w:t xml:space="preserve">A scalar score is faithful if and only if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≤</m:t>
        </m:r>
        <m:r>
          <m:t>1</m:t>
        </m:r>
      </m:oMath>
      <w:r>
        <w:rPr>
          <w:i/>
          <w:iCs/>
        </w:rPr>
        <w:t xml:space="preserve">. For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≥</m:t>
        </m:r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every scalar mis-orders some</w:t>
      </w:r>
      <w:r>
        <w:rPr>
          <w:i/>
          <w:iCs/>
        </w:rPr>
        <w:t xml:space="preserve"> </w:t>
      </w:r>
      <w:r>
        <w:rPr>
          <w:i/>
          <w:iCs/>
        </w:rPr>
        <w:t xml:space="preserve">pair of sources, recovering the companion paper’s incomparability theorem; moreover no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representation of dimension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&lt;</m:t>
        </m:r>
        <m:r>
          <m:t>d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repairs it.</w:t>
      </w:r>
    </w:p>
    <w:bookmarkEnd w:id="19"/>
    <w:p>
      <w:pPr>
        <w:pStyle w:val="BodyText"/>
      </w:pPr>
      <w:r>
        <w:rPr>
          <w:i/>
          <w:iCs/>
        </w:rPr>
        <w:t xml:space="preserve">Remark 1</w:t>
      </w:r>
      <w:r>
        <w:t xml:space="preserve"> </w:t>
      </w:r>
      <w:r>
        <w:t xml:space="preserve">(What this adds to the companion paper).</w:t>
      </w:r>
      <w:r>
        <w:t xml:space="preserve"> </w:t>
      </w:r>
      <w:r>
        <w:t xml:space="preserve"> </w:t>
      </w:r>
      <w:r>
        <w:t xml:space="preserve">The companion paper proves that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faithful scalar fails to exist. Theorem </w:t>
      </w:r>
      <w:hyperlink w:anchor="thm:dimensio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says how far from sufficient a scalar is, and the gap is not a constant: it grows with the number</w:t>
      </w:r>
      <w:r>
        <w:t xml:space="preserve"> </w:t>
      </w:r>
      <w:r>
        <w:t xml:space="preserve">of distinct latent requirements in play. This converts an impossibility into a design specification,</w:t>
      </w:r>
      <w:r>
        <w:t xml:space="preserve"> </w:t>
      </w:r>
      <w:r>
        <w:t xml:space="preserve">namely that a selection system must carry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numbers per source, and it is what makes the</w:t>
      </w:r>
      <w:r>
        <w:t xml:space="preserve"> </w:t>
      </w:r>
      <w:r>
        <w:t xml:space="preserve">amortization question of §</w:t>
      </w:r>
      <w:hyperlink w:anchor="sec:amortize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well posed rather than merely hopeful.</w:t>
      </w:r>
    </w:p>
    <w:bookmarkEnd w:id="20"/>
    <w:bookmarkStart w:id="23" w:name="sec:structure"/>
    <w:p>
      <w:pPr>
        <w:pStyle w:val="Heading2"/>
      </w:pPr>
      <w:r>
        <w:t xml:space="preserve">Consequences for selection</w:t>
      </w:r>
    </w:p>
    <w:bookmarkStart w:id="21" w:name="prop:antichain"/>
    <w:p>
      <w:pPr>
        <w:pStyle w:val="FirstParagraph"/>
      </w:pPr>
      <w:r>
        <w:rPr>
          <w:b/>
          <w:bCs/>
        </w:rPr>
        <w:t xml:space="preserve">Proposition 1</w:t>
      </w:r>
      <w:r>
        <w:t xml:space="preserve"> </w:t>
      </w:r>
      <w:r>
        <w:t xml:space="preserve">(The front is an antichain, and can be large).</w:t>
      </w:r>
      <w:r>
        <w:t xml:space="preserve"> </w:t>
      </w:r>
      <w:r>
        <w:t xml:space="preserve"> </w:t>
      </w:r>
      <w:r>
        <w:rPr>
          <w:i/>
          <w:iCs/>
        </w:rPr>
        <w:t xml:space="preserve">The set of non-dominated sources in a candidate pool is an antichain in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[</m:t>
            </m:r>
            <m:r>
              <m:t>d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⊆</m:t>
        </m:r>
        <m:r>
          <m:rPr>
            <m:sty m:val="p"/>
          </m:rPr>
          <m:t>)</m:t>
        </m:r>
      </m:oMath>
      <w:r>
        <w:rPr>
          <w:i/>
          <w:iCs/>
        </w:rPr>
        <w:t xml:space="preserve">. In</w:t>
      </w:r>
      <w:r>
        <w:rPr>
          <w:i/>
          <w:iCs/>
        </w:rPr>
        <w:t xml:space="preserve"> </w:t>
      </w:r>
      <w:r>
        <w:rPr>
          <w:i/>
          <w:iCs/>
        </w:rPr>
        <w:t xml:space="preserve">the worst case its size is</w:t>
      </w:r>
      <w:r>
        <w:rPr>
          <w:i/>
          <w:iCs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d</m:t>
                </m:r>
              </m:num>
              <m:den>
                <m:r>
                  <m:rPr>
                    <m:sty m:val="p"/>
                  </m:rPr>
                  <m:t>⌊</m:t>
                </m:r>
                <m:r>
                  <m:t>d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⌋</m:t>
                </m:r>
              </m:den>
            </m:f>
          </m:e>
        </m:d>
      </m:oMath>
      <w:r>
        <w:rPr>
          <w:i/>
          <w:iCs/>
        </w:rPr>
        <w:t xml:space="preserve">, attained by the middle</w:t>
      </w:r>
      <w:r>
        <w:rPr>
          <w:i/>
          <w:iCs/>
        </w:rPr>
        <w:t xml:space="preserve"> </w:t>
      </w:r>
      <w:r>
        <w:rPr>
          <w:i/>
          <w:iCs/>
        </w:rPr>
        <w:t xml:space="preserve">layer </w:t>
      </w:r>
      <w:r>
        <w:rPr>
          <w:i/>
          <w:iCs/>
        </w:rPr>
        <w:t xml:space="preserve">(</w:t>
      </w:r>
      <w:hyperlink w:anchor="ref-sperner1928">
        <w:r>
          <w:rPr>
            <w:rStyle w:val="Hyperlink"/>
            <w:i/>
            <w:iCs/>
          </w:rPr>
          <w:t xml:space="preserve">Sperner 1928</w:t>
        </w:r>
      </w:hyperlink>
      <w:r>
        <w:rPr>
          <w:i/>
          <w:iCs/>
        </w:rPr>
        <w:t xml:space="preserve">)</w:t>
      </w:r>
      <w:r>
        <w:rPr>
          <w:i/>
          <w:iCs/>
        </w:rP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Non-domination is mutual incomparability, which by Theorem </w:t>
      </w:r>
      <w:hyperlink w:anchor="thm:iso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is mutual non-containment,</w:t>
      </w:r>
      <w:r>
        <w:t xml:space="preserve"> </w:t>
      </w:r>
      <w:r>
        <w:t xml:space="preserve">the definition of an antichain. Sperner’s theorem gives the extremal size. ◻</w:t>
      </w:r>
    </w:p>
    <w:p>
      <w:pPr>
        <w:pStyle w:val="BodyText"/>
      </w:pPr>
      <w:r>
        <w:t xml:space="preserve">So</w:t>
      </w:r>
      <w:r>
        <w:t xml:space="preserve"> </w:t>
      </w:r>
      <w:r>
        <w:t xml:space="preserve">“return the non-dominated set”</w:t>
      </w:r>
      <w:r>
        <w:t xml:space="preserve"> </w:t>
      </w:r>
      <w:r>
        <w:t xml:space="preserve">is well defined but not by itself an algorithm: the front is</w:t>
      </w:r>
      <w:r>
        <w:t xml:space="preserve"> </w:t>
      </w:r>
      <w:r>
        <w:t xml:space="preserve">exponentially large in the worst case. A budget is forced, and with it the question of which</w:t>
      </w:r>
      <w:r>
        <w:t xml:space="preserve"> </w:t>
      </w:r>
      <w:r>
        <w:t xml:space="preserve">members of the front to keep, which the next proposition settles.</w:t>
      </w:r>
    </w:p>
    <w:bookmarkStart w:id="22" w:name="prop:maxcover"/>
    <w:p>
      <w:pPr>
        <w:pStyle w:val="BodyText"/>
      </w:pPr>
      <w:r>
        <w:rPr>
          <w:b/>
          <w:bCs/>
        </w:rPr>
        <w:t xml:space="preserve">Proposition 2</w:t>
      </w:r>
      <w:r>
        <w:t xml:space="preserve"> </w:t>
      </w:r>
      <w:r>
        <w:t xml:space="preserve">(Budgeted selection is maximum coverage, and greedy is optimal).</w:t>
      </w:r>
      <w:r>
        <w:t xml:space="preserve"> </w:t>
      </w:r>
      <w:r>
        <w:t xml:space="preserve"> </w:t>
      </w:r>
      <w:r>
        <w:rPr>
          <w:i/>
          <w:iCs/>
        </w:rPr>
        <w:t xml:space="preserve">Selecting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sources from a front to maximize the number of distinct covered coordinates is an</w:t>
      </w:r>
      <w:r>
        <w:rPr>
          <w:i/>
          <w:iCs/>
        </w:rPr>
        <w:t xml:space="preserve"> </w:t>
      </w:r>
      <w:r>
        <w:rPr>
          <w:i/>
          <w:iCs/>
        </w:rPr>
        <w:t xml:space="preserve">instance of maximum coverage. The greedy rule attains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of the</w:t>
      </w:r>
      <w:r>
        <w:rPr>
          <w:i/>
          <w:iCs/>
        </w:rPr>
        <w:t xml:space="preserve"> </w:t>
      </w:r>
      <w:r>
        <w:rPr>
          <w:i/>
          <w:iCs/>
        </w:rPr>
        <w:t xml:space="preserve">optimum </w:t>
      </w:r>
      <w:r>
        <w:rPr>
          <w:i/>
          <w:iCs/>
        </w:rPr>
        <w:t xml:space="preserve">(</w:t>
      </w:r>
      <w:hyperlink w:anchor="ref-nemhauser1978">
        <w:r>
          <w:rPr>
            <w:rStyle w:val="Hyperlink"/>
            <w:i/>
            <w:iCs/>
          </w:rPr>
          <w:t xml:space="preserve">Nemhauser et al. 1978</w:t>
        </w:r>
      </w:hyperlink>
      <w:r>
        <w:rPr>
          <w:i/>
          <w:iCs/>
        </w:rPr>
        <w:t xml:space="preserve">)</w:t>
      </w:r>
      <w:r>
        <w:rPr>
          <w:i/>
          <w:iCs/>
        </w:rPr>
        <w:t xml:space="preserve">, and no polynomial-time algorithm attains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ϵ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 any</w:t>
      </w:r>
      <w:r>
        <w:rPr>
          <w:i/>
          <w:iCs/>
        </w:rP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unless</w:t>
      </w:r>
      <w:r>
        <w:rPr>
          <w:i/>
          <w:iCs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rPr>
          <w:i/>
          <w:iCs/>
        </w:rPr>
        <w:t xml:space="preserve"> </w:t>
      </w:r>
      <w:r>
        <w:rPr>
          <w:i/>
          <w:iCs/>
        </w:rPr>
        <w:t xml:space="preserve">(</w:t>
      </w:r>
      <w:hyperlink w:anchor="ref-feige1998">
        <w:r>
          <w:rPr>
            <w:rStyle w:val="Hyperlink"/>
            <w:i/>
            <w:iCs/>
          </w:rPr>
          <w:t xml:space="preserve">Feige 1998</w:t>
        </w:r>
      </w:hyperlink>
      <w:r>
        <w:rPr>
          <w:i/>
          <w:iCs/>
        </w:rPr>
        <w:t xml:space="preserve">)</w:t>
      </w:r>
      <w:r>
        <w:rPr>
          <w:i/>
          <w:iCs/>
        </w:rP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Remark 2</w:t>
      </w:r>
      <w:r>
        <w:t xml:space="preserve"> </w:t>
      </w:r>
      <w:r>
        <w:t xml:space="preserve">(Why the constant matters here).</w:t>
      </w:r>
      <w:r>
        <w:t xml:space="preserve"> </w:t>
      </w:r>
      <w:r>
        <w:t xml:space="preserve"> </w:t>
      </w:r>
      <w:r>
        <w:t xml:space="preserve">A companion-paper draft of this method presented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as a standard guarantee and claimed no</w:t>
      </w:r>
      <w:r>
        <w:t xml:space="preserve"> </w:t>
      </w:r>
      <w:r>
        <w:t xml:space="preserve">novelty in it, which understated the situation. Under Theorem </w:t>
      </w:r>
      <w:hyperlink w:anchor="thm:iso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the objective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coverage, not a submodular surrogate chosen for convenience, and therefore</w:t>
      </w:r>
      <w:r>
        <w:t xml:space="preserve"> </w:t>
      </w:r>
      <w:r>
        <w:t xml:space="preserve">Feige (</w:t>
      </w:r>
      <w:hyperlink w:anchor="ref-feige1998">
        <w:r>
          <w:rPr>
            <w:rStyle w:val="Hyperlink"/>
          </w:rPr>
          <w:t xml:space="preserve">1998</w:t>
        </w:r>
      </w:hyperlink>
      <w:r>
        <w:t xml:space="preserve">)</w:t>
      </w:r>
      <w:r>
        <w:t xml:space="preserve"> </w:t>
      </w:r>
      <w:r>
        <w:t xml:space="preserve">applies: the greedy step is not merely adequate, it is the best any efficient</w:t>
      </w:r>
      <w:r>
        <w:t xml:space="preserve"> </w:t>
      </w:r>
      <w:r>
        <w:t xml:space="preserve">selector can do. Diversity heuristics defined over embedding</w:t>
      </w:r>
      <w:r>
        <w:t xml:space="preserve"> </w:t>
      </w:r>
      <w:r>
        <w:t xml:space="preserve">geometry </w:t>
      </w:r>
      <w:r>
        <w:t xml:space="preserve">(</w:t>
      </w:r>
      <w:hyperlink w:anchor="ref-carbonell1998">
        <w:r>
          <w:rPr>
            <w:rStyle w:val="Hyperlink"/>
          </w:rPr>
          <w:t xml:space="preserve">Carbonell and Goldstein 1998</w:t>
        </w:r>
      </w:hyperlink>
      <w:r>
        <w:t xml:space="preserve">;</w:t>
      </w:r>
      <w:r>
        <w:t xml:space="preserve"> </w:t>
      </w:r>
      <w:hyperlink w:anchor="ref-ye2023ceil">
        <w:r>
          <w:rPr>
            <w:rStyle w:val="Hyperlink"/>
          </w:rPr>
          <w:t xml:space="preserve">Ye et al. 2023</w:t>
        </w:r>
      </w:hyperlink>
      <w:r>
        <w:t xml:space="preserve">)</w:t>
      </w:r>
      <w:r>
        <w:t xml:space="preserve"> </w:t>
      </w:r>
      <w:r>
        <w:t xml:space="preserve">optimize a different objective and inherit no such</w:t>
      </w:r>
      <w:r>
        <w:t xml:space="preserve"> </w:t>
      </w:r>
      <w:r>
        <w:t xml:space="preserve">optimality.</w:t>
      </w:r>
    </w:p>
    <w:bookmarkEnd w:id="23"/>
    <w:bookmarkEnd w:id="24"/>
    <w:bookmarkStart w:id="29" w:name="sec:probeselect"/>
    <w:p>
      <w:pPr>
        <w:pStyle w:val="Heading1"/>
      </w:pPr>
      <w:r>
        <w:rPr>
          <w:smallCaps/>
        </w:rPr>
        <w:t xml:space="preserve">Probe-Select</w:t>
      </w:r>
      <w:r>
        <w:t xml:space="preserve">: realizing the coverage order by measurement</w:t>
      </w:r>
    </w:p>
    <w:p>
      <w:pPr>
        <w:pStyle w:val="FirstParagraph"/>
      </w:pPr>
      <w:r>
        <w:t xml:space="preserve">Theorem </w:t>
      </w:r>
      <w:hyperlink w:anchor="thm:dimensio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says what to compute. This section gives the estimator that computes it</w:t>
      </w:r>
      <w:r>
        <w:t xml:space="preserve"> </w:t>
      </w:r>
      <w:r>
        <w:t xml:space="preserve">exactly, at probe cost; §</w:t>
      </w:r>
      <w:hyperlink w:anchor="sec:amortize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asks whether it can be predicted instead.</w:t>
      </w:r>
    </w:p>
    <w:bookmarkStart w:id="27" w:name="verified-empirical-dominance."/>
    <w:p>
      <w:pPr>
        <w:pStyle w:val="Heading4"/>
      </w:pPr>
      <w:r>
        <w:t xml:space="preserve">Verified empirical dominance.</w:t>
      </w:r>
    </w:p>
    <w:p>
      <w:pPr>
        <w:pStyle w:val="FirstParagraph"/>
      </w:pPr>
      <w:r>
        <w:t xml:space="preserve">Fix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probe battery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 Write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⊵</m:t>
        </m:r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the companion</w:t>
      </w:r>
      <w:r>
        <w:t xml:space="preserve"> </w:t>
      </w:r>
      <w:r>
        <w:t xml:space="preserve">paper’s verification jointly establishes, at confidence</w:t>
      </w:r>
      <w:r>
        <w:t xml:space="preserve"> </w:t>
      </w:r>
      <m:oMath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η</m:t>
        </m:r>
      </m:oMath>
      <w:r>
        <w:t xml:space="preserve">,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δ</m:t>
                </m:r>
              </m:e>
            </m:acc>
          </m:e>
          <m:sub>
            <m:r>
              <m:rPr>
                <m:scr m:val="script"/>
                <m:sty m:val="p"/>
              </m:rPr>
              <m:t>D</m:t>
            </m:r>
          </m:sub>
        </m:sSub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up to a tolerance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cr m:val="script"/>
                <m:sty m:val="p"/>
              </m:rPr>
              <m:t>D</m:t>
            </m:r>
          </m:sub>
        </m:sSub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Mutually non-dominated sources are verified incomparable and constitute the</w:t>
      </w:r>
      <w:r>
        <w:t xml:space="preserve"> </w:t>
      </w:r>
      <w:r>
        <w:t xml:space="preserve">empirical front. Under Theorem </w:t>
      </w:r>
      <w:hyperlink w:anchor="thm:iso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⊵</m:t>
        </m:r>
      </m:oMath>
      <w:r>
        <w:t xml:space="preserve"> </w:t>
      </w:r>
      <w:r>
        <w:t xml:space="preserve">is the measured image of</w:t>
      </w:r>
      <w:r>
        <w:t xml:space="preserve"> </w:t>
      </w:r>
      <w:r>
        <w:t xml:space="preserve">coordinate containment, and the probe battery plays the role of the coordinate basis.</w:t>
      </w:r>
    </w:p>
    <w:p>
      <w:pPr>
        <w:pStyle w:val="BodyText"/>
      </w:pPr>
      <w:r>
        <w:rPr>
          <w:b/>
          <w:bCs/>
        </w:rPr>
        <w:t xml:space="preserve">Algorithm 1 (</w:t>
      </w:r>
      <w:r>
        <w:rPr>
          <w:b/>
          <w:bCs/>
          <w:smallCaps/>
        </w:rPr>
        <w:t xml:space="preserve">Probe-Select</w:t>
      </w:r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Input:</w:t>
      </w:r>
      <w:r>
        <w:t xml:space="preserve"> </w:t>
      </w:r>
      <w:r>
        <w:t xml:space="preserve">candidates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probe</w:t>
      </w:r>
      <w:r>
        <w:t xml:space="preserve"> </w:t>
      </w:r>
      <w:r>
        <w:t xml:space="preserve">battery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 budget</w:t>
      </w:r>
      <w:r>
        <w:t xml:space="preserve"> </w:t>
      </w:r>
      <m:oMath>
        <m:r>
          <m:t>k</m:t>
        </m:r>
      </m:oMath>
      <w:r>
        <w:t xml:space="preserve">, model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, level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Measure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draws per cell); form the</w:t>
      </w:r>
      <w:r>
        <w:t xml:space="preserve"> </w:t>
      </w:r>
      <w:r>
        <w:t xml:space="preserve">Clopper–Pearson intervals once.</w:t>
      </w:r>
    </w:p>
    <w:p>
      <w:pPr>
        <w:numPr>
          <w:ilvl w:val="0"/>
          <w:numId w:val="1002"/>
        </w:numPr>
      </w:pPr>
      <w:r>
        <w:t xml:space="preserve">Build</w:t>
      </w:r>
      <w:r>
        <w:t xml:space="preserve"> </w:t>
      </w:r>
      <m:oMath>
        <m:r>
          <m:rPr>
            <m:sty m:val="p"/>
          </m:rPr>
          <m:t>⊵</m:t>
        </m:r>
      </m:oMath>
      <w:r>
        <w:t xml:space="preserve"> </w:t>
      </w:r>
      <w:r>
        <w:t xml:space="preserve">from those intervals; no extra model calls.</w:t>
      </w:r>
    </w:p>
    <w:p>
      <w:pPr>
        <w:numPr>
          <w:ilvl w:val="0"/>
          <w:numId w:val="1002"/>
        </w:numPr>
      </w:pPr>
      <w:r>
        <w:t xml:space="preserve">Prune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verified-dominated by some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 the surviving front.</w:t>
      </w:r>
    </w:p>
    <w:p>
      <w:pPr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|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return</w:t>
      </w:r>
      <w:r>
        <w:t xml:space="preserve"> </w:t>
      </w:r>
      <m:oMath>
        <m:r>
          <m:t>P</m:t>
        </m:r>
      </m:oMath>
      <w:r>
        <w:t xml:space="preserve">; else greedily add the survivor with the largest verified</w:t>
      </w:r>
      <w:r>
        <w:t xml:space="preserve"> </w:t>
      </w:r>
      <w:r>
        <w:t xml:space="preserve">marginal PASS gain on probe tasks not yet covered, breaking ties by smallest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δ</m:t>
                </m:r>
              </m:e>
            </m:acc>
          </m:e>
          <m:sub>
            <m:r>
              <m:rPr>
                <m:scr m:val="script"/>
                <m:sty m:val="p"/>
              </m:rPr>
              <m:t>D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w:r>
        <w:t xml:space="preserve">the chosen set, until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are selected.</w:t>
      </w:r>
    </w:p>
    <w:bookmarkStart w:id="25" w:name="prop:safe"/>
    <w:p>
      <w:pPr>
        <w:pStyle w:val="FirstParagraph"/>
      </w:pPr>
      <w:r>
        <w:rPr>
          <w:b/>
          <w:bCs/>
        </w:rPr>
        <w:t xml:space="preserve">Proposition 3</w:t>
      </w:r>
      <w:r>
        <w:t xml:space="preserve"> </w:t>
      </w:r>
      <w:r>
        <w:t xml:space="preserve">(Monotone safety).</w:t>
      </w:r>
      <w:r>
        <w:t xml:space="preserve"> </w:t>
      </w:r>
      <w:r>
        <w:t xml:space="preserve"> </w:t>
      </w:r>
      <w:r>
        <w:rPr>
          <w:i/>
          <w:iCs/>
          <w:smallCaps/>
        </w:rPr>
        <w:t xml:space="preserve">Probe-Select</w:t>
      </w:r>
      <w:r>
        <w:rPr>
          <w:i/>
          <w:iCs/>
        </w:rPr>
        <w:t xml:space="preserve"> </w:t>
      </w:r>
      <w:r>
        <w:rPr>
          <w:i/>
          <w:iCs/>
        </w:rPr>
        <w:t xml:space="preserve">never returns a source verified-dominated by an available source. With</w:t>
      </w:r>
      <w:r>
        <w:rPr>
          <w:i/>
          <w:iCs/>
        </w:rPr>
        <w:t xml:space="preserve"> </w:t>
      </w:r>
      <w:r>
        <w:rPr>
          <w:i/>
          <w:iCs/>
        </w:rPr>
        <w:t xml:space="preserve">probability</w:t>
      </w:r>
      <w:r>
        <w:rPr>
          <w:i/>
          <w:iCs/>
        </w:rPr>
        <w:t xml:space="preserve"> </w:t>
      </w:r>
      <m:oMath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η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it never discards a source that strictly wins a probe task in favour of</w:t>
      </w:r>
      <w:r>
        <w:rPr>
          <w:i/>
          <w:iCs/>
        </w:rPr>
        <w:t xml:space="preserve"> </w:t>
      </w:r>
      <w:r>
        <w:rPr>
          <w:i/>
          <w:iCs/>
        </w:rPr>
        <w:t xml:space="preserve">one that is nowhere better than it by more than</w:t>
      </w:r>
      <w:r>
        <w:rPr>
          <w:i/>
          <w:iCs/>
        </w:rP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rPr>
          <w:i/>
          <w:iCs/>
        </w:rP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Step 3 removes only verified-dominated sources and step 5 selects from the survivors. On the joint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η</m:t>
        </m:r>
        <m:r>
          <m:rPr>
            <m:sty m:val="p"/>
          </m:rPr>
          <m:t>)</m:t>
        </m:r>
      </m:oMath>
      <w:r>
        <w:t xml:space="preserve"> </w:t>
      </w:r>
      <w:r>
        <w:t xml:space="preserve">event a pruned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 probe task on which it beats its dominator by more than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, and the dominator is retained or Pareto-equivalent to a retained source. ◻</w:t>
      </w:r>
    </w:p>
    <w:bookmarkStart w:id="26" w:name="prop:generalize"/>
    <w:p>
      <w:pPr>
        <w:pStyle w:val="BodyText"/>
      </w:pPr>
      <w:r>
        <w:rPr>
          <w:b/>
          <w:bCs/>
        </w:rPr>
        <w:t xml:space="preserve">Proposition 4</w:t>
      </w:r>
      <w:r>
        <w:t xml:space="preserve"> </w:t>
      </w:r>
      <w:r>
        <w:t xml:space="preserve">(Strict generalization of top-</w:t>
      </w:r>
      <m:oMath>
        <m:r>
          <m:t>k</m:t>
        </m:r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rPr>
            <m:sty m:val="p"/>
          </m:rPr>
          <m:t>⊵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totally orders</w:t>
      </w:r>
      <w:r>
        <w:rPr>
          <w:i/>
          <w:i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i/>
          <w:iCs/>
        </w:rPr>
        <w:t xml:space="preserve">, the front is a chain and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Probe-Select</w:t>
      </w:r>
      <w:r>
        <w:rPr>
          <w:i/>
          <w:iCs/>
        </w:rPr>
        <w:t xml:space="preserve"> </w:t>
      </w:r>
      <w:r>
        <w:rPr>
          <w:i/>
          <w:iCs/>
        </w:rPr>
        <w:t xml:space="preserve">returns its top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elements, recovering scalar top-</w:t>
      </w:r>
      <m:oMath>
        <m:r>
          <m:t>k</m:t>
        </m:r>
      </m:oMath>
      <w:r>
        <w:rPr>
          <w:i/>
          <w:iCs/>
        </w:rPr>
        <w:t xml:space="preserve">. It therefore extends the scalar pipeline</w:t>
      </w:r>
      <w:r>
        <w:rPr>
          <w:i/>
          <w:iCs/>
        </w:rPr>
        <w:t xml:space="preserve"> </w:t>
      </w:r>
      <w:r>
        <w:rPr>
          <w:i/>
          <w:iCs/>
        </w:rPr>
        <w:t xml:space="preserve">and differs from it only on incomparable pairs, which by Corollary </w:t>
      </w:r>
      <w:hyperlink w:anchor="cor:scalar">
        <w:r>
          <w:rPr>
            <w:rStyle w:val="Hyperlink"/>
            <w:i/>
            <w:iCs/>
          </w:rPr>
          <w:t xml:space="preserve">1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are exactly the</w:t>
      </w:r>
      <w:r>
        <w:rPr>
          <w:i/>
          <w:iCs/>
        </w:rPr>
        <w:t xml:space="preserve"> </w:t>
      </w:r>
      <w:r>
        <w:rPr>
          <w:i/>
          <w:iCs/>
        </w:rPr>
        <w:t xml:space="preserve">pairs a scalar cannot handle.</w:t>
      </w:r>
    </w:p>
    <w:bookmarkEnd w:id="26"/>
    <w:bookmarkEnd w:id="27"/>
    <w:bookmarkStart w:id="28" w:name="cost."/>
    <w:p>
      <w:pPr>
        <w:pStyle w:val="Heading4"/>
      </w:pPr>
      <w:r>
        <w:t xml:space="preserve">Cost.</w:t>
      </w:r>
    </w:p>
    <w:p>
      <w:pPr>
        <w:pStyle w:val="FirstParagraph"/>
      </w:pPr>
      <w:r>
        <w:t xml:space="preserve">Building</w:t>
      </w:r>
      <w:r>
        <w:t xml:space="preserve"> </w:t>
      </w:r>
      <m:oMath>
        <m:r>
          <m:rPr>
            <m:sty m:val="p"/>
          </m:rPr>
          <m:t>⊵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cr m:val="script"/>
            <m:sty m:val="p"/>
          </m:rPr>
          <m:t>C</m:t>
        </m:r>
        <m:r>
          <m:rPr>
            <m:sty m:val="p"/>
          </m:rPr>
          <m:t>|</m:t>
        </m:r>
      </m:oMath>
      <w:r>
        <w:t xml:space="preserve"> </w:t>
      </w:r>
      <w:r>
        <w:t xml:space="preserve">candidates costs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rPr>
            <m:sty m:val="p"/>
          </m:rPr>
          <m:t>|</m:t>
        </m:r>
        <m:r>
          <m:rPr>
            <m:scr m:val="script"/>
            <m:sty m:val="p"/>
          </m:rPr>
          <m:t>D</m:t>
        </m:r>
        <m:r>
          <m:rPr>
            <m:sty m:val="p"/>
          </m:rPr>
          <m:t>|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verifier-gated calls (the pairwise comparisons reuse one per-(source, task) PASS table, so cost is</w:t>
      </w:r>
      <w:r>
        <w:t xml:space="preserve"> </w:t>
      </w:r>
      <w:r>
        <w:t xml:space="preserve">linear in</w:t>
      </w:r>
      <w:r>
        <w:t xml:space="preserve"> </w:t>
      </w:r>
      <m:oMath>
        <m:r>
          <m:t>m</m:t>
        </m:r>
      </m:oMath>
      <w:r>
        <w:t xml:space="preserve">) plus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interval comparisons. This is curation scale, not corpus scale, and it</w:t>
      </w:r>
      <w:r>
        <w:t xml:space="preserve"> </w:t>
      </w:r>
      <w:r>
        <w:t xml:space="preserve">is the cost the next section attacks.</w:t>
      </w:r>
    </w:p>
    <w:bookmarkEnd w:id="28"/>
    <w:bookmarkEnd w:id="29"/>
    <w:bookmarkStart w:id="33" w:name="sec:amortize"/>
    <w:p>
      <w:pPr>
        <w:pStyle w:val="Heading1"/>
      </w:pPr>
      <w:r>
        <w:t xml:space="preserve">Amortization: the cheap-and-faithful cell</w:t>
      </w:r>
    </w:p>
    <w:bookmarkStart w:id="30" w:name="why-prior-amortization-cannot-reach-it."/>
    <w:p>
      <w:pPr>
        <w:pStyle w:val="Heading4"/>
      </w:pPr>
      <w:r>
        <w:t xml:space="preserve">Why prior amortization cannot reach it.</w:t>
      </w:r>
    </w:p>
    <w:p>
      <w:pPr>
        <w:pStyle w:val="FirstParagraph"/>
      </w:pPr>
      <w:r>
        <w:t xml:space="preserve">Learned retrievers already amortize</w:t>
      </w:r>
      <w:r>
        <w:t xml:space="preserve"> </w:t>
      </w:r>
      <w:r>
        <w:t xml:space="preserve">“value to the model”</w:t>
      </w:r>
      <w:r>
        <w:t xml:space="preserve">: REPLUG and REALM train a retriever on</w:t>
      </w:r>
      <w:r>
        <w:t xml:space="preserve"> </w:t>
      </w:r>
      <w:r>
        <w:t xml:space="preserve">the language model’s own signal, paying an offline training cost to buy a cheap query-time</w:t>
      </w:r>
      <w:r>
        <w:t xml:space="preserve"> </w:t>
      </w:r>
      <w:r>
        <w:t xml:space="preserve">score </w:t>
      </w:r>
      <w:r>
        <w:t xml:space="preserve">(</w:t>
      </w:r>
      <w:hyperlink w:anchor="ref-shi2023replug">
        <w:r>
          <w:rPr>
            <w:rStyle w:val="Hyperlink"/>
          </w:rPr>
          <w:t xml:space="preserve">Shi et al. 2023</w:t>
        </w:r>
      </w:hyperlink>
      <w:r>
        <w:t xml:space="preserve">;</w:t>
      </w:r>
      <w:r>
        <w:t xml:space="preserve"> </w:t>
      </w:r>
      <w:hyperlink w:anchor="ref-guu2020realm">
        <w:r>
          <w:rPr>
            <w:rStyle w:val="Hyperlink"/>
          </w:rPr>
          <w:t xml:space="preserve">Guu et al. 2020</w:t>
        </w:r>
      </w:hyperlink>
      <w:r>
        <w:t xml:space="preserve">)</w:t>
      </w:r>
      <w:r>
        <w:t xml:space="preserve">. By Corollary </w:t>
      </w:r>
      <w:hyperlink w:anchor="cor:scalar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this cannot be faithful for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2</m:t>
        </m:r>
      </m:oMath>
      <w:r>
        <w:t xml:space="preserve">, and the reason is now precise rather than rhetorical: they amortize an object of</w:t>
      </w:r>
      <w:r>
        <w:t xml:space="preserve"> </w:t>
      </w:r>
      <w:r>
        <w:t xml:space="preserve">dimension</w:t>
      </w:r>
      <w:r>
        <w:t xml:space="preserve"> </w:t>
      </w:r>
      <m:oMath>
        <m:r>
          <m:t>1</m:t>
        </m:r>
      </m:oMath>
      <w:r>
        <w:t xml:space="preserve">, and the target has dimension</w:t>
      </w:r>
      <w:r>
        <w:t xml:space="preserve"> </w:t>
      </w:r>
      <m:oMath>
        <m:r>
          <m:t>d</m:t>
        </m:r>
      </m:oMath>
      <w:r>
        <w:t xml:space="preserve">. Multi-vector late</w:t>
      </w:r>
      <w:r>
        <w:t xml:space="preserve"> </w:t>
      </w:r>
      <w:r>
        <w:t xml:space="preserve">interaction </w:t>
      </w:r>
      <w:r>
        <w:t xml:space="preserve">(</w:t>
      </w:r>
      <w:hyperlink w:anchor="ref-khattab2020colbert">
        <w:r>
          <w:rPr>
            <w:rStyle w:val="Hyperlink"/>
          </w:rPr>
          <w:t xml:space="preserve">Khattab and Zaharia 2020</w:t>
        </w:r>
      </w:hyperlink>
      <w:r>
        <w:t xml:space="preserve">)</w:t>
      </w:r>
      <w:r>
        <w:t xml:space="preserve"> </w:t>
      </w:r>
      <w:r>
        <w:t xml:space="preserve">carries many numbers per document but aggregates to a single</w:t>
      </w:r>
      <w:r>
        <w:t xml:space="preserve"> </w:t>
      </w:r>
      <w:r>
        <w:t xml:space="preserve">query-document score before selection, so the selection-time object is again one-dimensional. The</w:t>
      </w:r>
      <w:r>
        <w:t xml:space="preserve"> </w:t>
      </w:r>
      <w:r>
        <w:t xml:space="preserve">failure is not insufficient training; it is a dimension deficit.</w:t>
      </w:r>
    </w:p>
    <w:bookmarkEnd w:id="30"/>
    <w:bookmarkStart w:id="31" w:name="the-target-this-identifies."/>
    <w:p>
      <w:pPr>
        <w:pStyle w:val="Heading4"/>
      </w:pPr>
      <w:r>
        <w:t xml:space="preserve">The target this identifies.</w:t>
      </w:r>
    </w:p>
    <w:p>
      <w:pPr>
        <w:pStyle w:val="FirstParagraph"/>
      </w:pPr>
      <w:r>
        <w:t xml:space="preserve">Theorem </w:t>
      </w:r>
      <w:hyperlink w:anchor="thm:dimensio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names the object to learn: a map</w:t>
      </w:r>
      <w:r>
        <w:t xml:space="preserve"> </w:t>
      </w:r>
      <m:oMath>
        <m:acc>
          <m:accPr>
            <m:chr m:val="̂"/>
          </m:accPr>
          <m:e>
            <m:r>
              <m:t>φ</m:t>
            </m:r>
          </m:e>
        </m:acc>
      </m:oMath>
      <w:r>
        <w:t xml:space="preserve"> </w:t>
      </w:r>
      <w:r>
        <w:t xml:space="preserve">from source text</w:t>
      </w:r>
      <w:r>
        <w:t xml:space="preserve"> </w:t>
      </w:r>
      <w:r>
        <w:t xml:space="preserve">to a coverage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 whose induced product order approximates</w:t>
      </w:r>
      <w:r>
        <w:t xml:space="preserve"> </w:t>
      </w:r>
      <m:oMath>
        <m:r>
          <m:rPr>
            <m:sty m:val="p"/>
          </m:rPr>
          <m:t>⊵</m:t>
        </m:r>
      </m:oMath>
      <w:r>
        <w:t xml:space="preserve">. This is the amortization the design space is missing, and unlike the scalar case</w:t>
      </w:r>
      <w:r>
        <w:t xml:space="preserve"> </w:t>
      </w:r>
      <w:r>
        <w:t xml:space="preserve">it is not excluded by any result we know. Training labels are exactly what Algorithm 1 already</w:t>
      </w:r>
      <w:r>
        <w:t xml:space="preserve"> </w:t>
      </w:r>
      <w:r>
        <w:t xml:space="preserve">produces, so the probe tables computed for exact selection are the supervision for the predictor.</w:t>
      </w:r>
    </w:p>
    <w:bookmarkEnd w:id="31"/>
    <w:bookmarkStart w:id="32" w:name="what-would-count-as-success."/>
    <w:p>
      <w:pPr>
        <w:pStyle w:val="Heading4"/>
      </w:pPr>
      <w:r>
        <w:t xml:space="preserve">What would count as success.</w:t>
      </w:r>
    </w:p>
    <w:p>
      <w:pPr>
        <w:pStyle w:val="FirstParagraph"/>
      </w:pPr>
      <w:r>
        <w:t xml:space="preserve">Three measurements, in increasing strength: per-coordinate recovery of</w:t>
      </w:r>
      <w:r>
        <w:t xml:space="preserve"> </w:t>
      </w:r>
      <m:oMath>
        <m:acc>
          <m:accPr>
            <m:chr m:val="̂"/>
          </m:accPr>
          <m:e>
            <m:r>
              <m:t>φ</m:t>
            </m:r>
          </m:e>
        </m:acc>
      </m:oMath>
      <w:r>
        <w:t xml:space="preserve"> </w:t>
      </w:r>
      <w:r>
        <w:t xml:space="preserve">against</w:t>
      </w:r>
      <w:r>
        <w:t xml:space="preserve"> </w:t>
      </w:r>
      <w:r>
        <w:t xml:space="preserve">verified coverage;</w:t>
      </w:r>
      <w:r>
        <w:t xml:space="preserve"> </w:t>
      </w:r>
      <w:r>
        <w:rPr>
          <w:i/>
          <w:iCs/>
        </w:rPr>
        <w:t xml:space="preserve">order preservation</w:t>
      </w:r>
      <w:r>
        <w:t xml:space="preserve">, the fraction of candidate pairs whose dominance or</w:t>
      </w:r>
      <w:r>
        <w:t xml:space="preserve"> </w:t>
      </w:r>
      <w:r>
        <w:t xml:space="preserve">incomparability verdict is preserved by</w:t>
      </w:r>
      <w:r>
        <w:t xml:space="preserve"> </w:t>
      </w:r>
      <m:oMath>
        <m:acc>
          <m:accPr>
            <m:chr m:val="̂"/>
          </m:accPr>
          <m:e>
            <m:r>
              <m:t>φ</m:t>
            </m:r>
          </m:e>
        </m:acc>
      </m:oMath>
      <w:r>
        <w:t xml:space="preserve">; and</w:t>
      </w:r>
      <w:r>
        <w:t xml:space="preserve"> </w:t>
      </w:r>
      <w:r>
        <w:rPr>
          <w:i/>
          <w:iCs/>
        </w:rPr>
        <w:t xml:space="preserve">end-task regret</w:t>
      </w:r>
      <w:r>
        <w:t xml:space="preserve">, the PASS</w:t>
      </w:r>
      <w:r>
        <w:t xml:space="preserve"> </w:t>
      </w:r>
      <w:r>
        <w:t xml:space="preserve">gap between selecting with</w:t>
      </w:r>
      <w:r>
        <w:t xml:space="preserve"> </w:t>
      </w:r>
      <m:oMath>
        <m:acc>
          <m:accPr>
            <m:chr m:val="̂"/>
          </m:accPr>
          <m:e>
            <m:r>
              <m:t>φ</m:t>
            </m:r>
          </m:e>
        </m:acc>
      </m:oMath>
      <w:r>
        <w:t xml:space="preserve"> </w:t>
      </w:r>
      <w:r>
        <w:t xml:space="preserve">alone and selecting with full probing. Order</w:t>
      </w:r>
      <w:r>
        <w:t xml:space="preserve"> </w:t>
      </w:r>
      <w:r>
        <w:t xml:space="preserve">preservation is the decisive one, since it is the property Definition </w:t>
      </w:r>
      <w:hyperlink w:anchor="def:faithful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requires</w:t>
      </w:r>
      <w:r>
        <w:t xml:space="preserve"> </w:t>
      </w:r>
      <w:r>
        <w:t xml:space="preserve">and the property a scalar provably cannot have.</w:t>
      </w:r>
    </w:p>
    <w:p>
      <w:pPr>
        <w:pStyle w:val="BodyText"/>
      </w:pPr>
      <w:r>
        <w:rPr>
          <w:i/>
          <w:iCs/>
        </w:rPr>
        <w:t xml:space="preserve">Remark 3</w:t>
      </w:r>
      <w:r>
        <w:t xml:space="preserve"> </w:t>
      </w:r>
      <w:r>
        <w:t xml:space="preserve">(Honest statement of the bet).</w:t>
      </w:r>
      <w:r>
        <w:t xml:space="preserve"> </w:t>
      </w:r>
      <w:r>
        <w:t xml:space="preserve"> </w:t>
      </w:r>
      <w:r>
        <w:t xml:space="preserve">Whether coverage vectors are predictable from source text at useful accuracy is an empirical</w:t>
      </w:r>
      <w:r>
        <w:t xml:space="preserve"> </w:t>
      </w:r>
      <w:r>
        <w:t xml:space="preserve">question and we do not claim it in advance. The theory establishes that the target is the right one</w:t>
      </w:r>
      <w:r>
        <w:t xml:space="preserve"> </w:t>
      </w:r>
      <w:r>
        <w:t xml:space="preserve">and that no lower-dimensional target can work; it does not establish learnability. A negative</w:t>
      </w:r>
      <w:r>
        <w:t xml:space="preserve"> </w:t>
      </w:r>
      <w:r>
        <w:t xml:space="preserve">outcome is informative and reportable: it would locate the obstruction in prediction rather than in</w:t>
      </w:r>
      <w:r>
        <w:t xml:space="preserve"> </w:t>
      </w:r>
      <w:r>
        <w:t xml:space="preserve">representation, which is itself the answer to the companion paper’s open problem.</w:t>
      </w:r>
    </w:p>
    <w:bookmarkEnd w:id="32"/>
    <w:bookmarkEnd w:id="33"/>
    <w:bookmarkStart w:id="34" w:name="sec:experiments"/>
    <w:p>
      <w:pPr>
        <w:pStyle w:val="Heading1"/>
      </w:pPr>
      <w:r>
        <w:t xml:space="preserve">Experimental program</w:t>
      </w:r>
    </w:p>
    <w:p>
      <w:pPr>
        <w:pStyle w:val="FirstParagraph"/>
      </w:pPr>
      <w:r>
        <w:t xml:space="preserve">[PLANNED. This section is the empirical content of the paper and is not yet run.]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Non-circular selection benchmark (curation scale).</w:t>
      </w:r>
      <w:r>
        <w:t xml:space="preserve"> </w:t>
      </w:r>
      <w:r>
        <w:t xml:space="preserve">A pool of</w:t>
      </w:r>
      <w:r>
        <w:t xml:space="preserve"> </w:t>
      </w:r>
      <m:oMath>
        <m:r>
          <m:t>8</m:t>
        </m:r>
      </m:oMath>
      <w:r>
        <w:t xml:space="preserve">–</w:t>
      </w:r>
      <m:oMath>
        <m:r>
          <m:t>15</m:t>
        </m:r>
      </m:oMath>
      <w:r>
        <w:t xml:space="preserve"> </w:t>
      </w:r>
      <w:r>
        <w:t xml:space="preserve">candidate</w:t>
      </w:r>
      <w:r>
        <w:t xml:space="preserve"> </w:t>
      </w:r>
      <w:r>
        <w:t xml:space="preserve">sources with held-out evaluation tasks</w:t>
      </w:r>
      <w:r>
        <w:t xml:space="preserve"> </w:t>
      </w:r>
      <w:r>
        <w:rPr>
          <w:i/>
          <w:iCs/>
        </w:rPr>
        <w:t xml:space="preserve">disjoint</w:t>
      </w:r>
      <w:r>
        <w:t xml:space="preserve"> </w:t>
      </w:r>
      <w:r>
        <w:t xml:space="preserve">from the probe battery; endpoint is</w:t>
      </w:r>
      <w:r>
        <w:t xml:space="preserve"> </w:t>
      </w:r>
      <w:r>
        <w:t xml:space="preserve">end-task PASS of the assembled context. Baselines: dense bi-encoder top-</w:t>
      </w:r>
      <m:oMath>
        <m:r>
          <m:t>k</m:t>
        </m:r>
      </m:oMath>
      <w:r>
        <w:t xml:space="preserve">, a cross-encoder</w:t>
      </w:r>
      <w:r>
        <w:t xml:space="preserve"> </w:t>
      </w:r>
      <w:r>
        <w:t xml:space="preserve">reranker, an LLM listwise reranker </w:t>
      </w:r>
      <w:r>
        <w:t xml:space="preserve">(</w:t>
      </w:r>
      <w:hyperlink w:anchor="ref-sun2023rankgpt">
        <w:r>
          <w:rPr>
            <w:rStyle w:val="Hyperlink"/>
          </w:rPr>
          <w:t xml:space="preserve">Sun et al. 2023</w:t>
        </w:r>
      </w:hyperlink>
      <w:r>
        <w:t xml:space="preserve">)</w:t>
      </w:r>
      <w:r>
        <w:t xml:space="preserve">, MMR </w:t>
      </w:r>
      <w:r>
        <w:t xml:space="preserve">(</w:t>
      </w:r>
      <w:hyperlink w:anchor="ref-carbonell1998">
        <w:r>
          <w:rPr>
            <w:rStyle w:val="Hyperlink"/>
          </w:rPr>
          <w:t xml:space="preserve">Carbonell and Goldstein 1998</w:t>
        </w:r>
      </w:hyperlink>
      <w:r>
        <w:t xml:space="preserve">)</w:t>
      </w:r>
      <w:r>
        <w:t xml:space="preserve">, and the</w:t>
      </w:r>
      <w:r>
        <w:t xml:space="preserve"> </w:t>
      </w:r>
      <w:r>
        <w:t xml:space="preserve">superset heuristic, all at matched probe budget. Disjointness is the load-bearing design</w:t>
      </w:r>
      <w:r>
        <w:t xml:space="preserve"> </w:t>
      </w:r>
      <w:r>
        <w:t xml:space="preserve">constraint: overlap between probe and evaluation tasks would make the comparison circular.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Coverage-dimension estimate.</w:t>
      </w:r>
      <w:r>
        <w:t xml:space="preserve"> </w:t>
      </w:r>
      <w:r>
        <w:t xml:space="preserve">Recover the effective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candidate pool from</w:t>
      </w:r>
      <w:r>
        <w:t xml:space="preserve"> </w:t>
      </w:r>
      <w:r>
        <w:t xml:space="preserve">the verified order and compare the observed front size against the Sperner bound of</w:t>
      </w:r>
      <w:r>
        <w:t xml:space="preserve"> </w:t>
      </w:r>
      <w:r>
        <w:t xml:space="preserve">Proposition </w:t>
      </w:r>
      <w:hyperlink w:anchor="prop:antichain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Learned coverage predictor.</w:t>
      </w:r>
      <w:r>
        <w:t xml:space="preserve"> </w:t>
      </w:r>
      <w:r>
        <w:t xml:space="preserve">Train</w:t>
      </w:r>
      <w:r>
        <w:t xml:space="preserve"> </w:t>
      </w:r>
      <m:oMath>
        <m:acc>
          <m:accPr>
            <m:chr m:val="̂"/>
          </m:accPr>
          <m:e>
            <m:r>
              <m:t>φ</m:t>
            </m:r>
          </m:e>
        </m:acc>
      </m:oMath>
      <w:r>
        <w:t xml:space="preserve"> </w:t>
      </w:r>
      <w:r>
        <w:t xml:space="preserve">on probe tables; report</w:t>
      </w:r>
      <w:r>
        <w:t xml:space="preserve"> </w:t>
      </w:r>
      <w:r>
        <w:t xml:space="preserve">per-coordinate recovery, order preservation, and end-task regret (§</w:t>
      </w:r>
      <w:hyperlink w:anchor="sec:amortize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Partial-order re-ranking head at retrieval scale.</w:t>
      </w:r>
      <w:r>
        <w:t xml:space="preserve"> </w:t>
      </w:r>
      <w:r>
        <w:t xml:space="preserve">Retriever shortlist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smallCaps/>
        </w:rPr>
        <w:t xml:space="preserve">Probe-Select</w:t>
      </w:r>
      <w:r>
        <w:t xml:space="preserve"> </w:t>
      </w:r>
      <w:r>
        <w:t xml:space="preserve">on the top-</w:t>
      </w:r>
      <m:oMath>
        <m:r>
          <m:t>m</m:t>
        </m:r>
      </m:oMath>
      <w:r>
        <w:t xml:space="preserve">, against reranker-only pipelines on a naturalistic corpus,</w:t>
      </w:r>
      <w:r>
        <w:t xml:space="preserve"> </w:t>
      </w:r>
      <w:r>
        <w:t xml:space="preserve">reporting the</w:t>
      </w:r>
      <w:r>
        <w:t xml:space="preserve"> </w:t>
      </w:r>
      <w:r>
        <w:rPr>
          <w:i/>
          <w:iCs/>
        </w:rPr>
        <w:t xml:space="preserve">prevalence</w:t>
      </w:r>
      <w:r>
        <w:t xml:space="preserve"> </w:t>
      </w:r>
      <w:r>
        <w:t xml:space="preserve">of verified incomparability among top-</w:t>
      </w:r>
      <m:oMath>
        <m:r>
          <m:t>m</m:t>
        </m:r>
      </m:oMath>
      <w:r>
        <w:t xml:space="preserve"> </w:t>
      </w:r>
      <w:r>
        <w:t xml:space="preserve">candidates. This</w:t>
      </w:r>
      <w:r>
        <w:t xml:space="preserve"> </w:t>
      </w:r>
      <w:r>
        <w:t xml:space="preserve">answers the companion paper’s open prevalence question.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Sensitivity.</w:t>
      </w:r>
      <w:r>
        <w:t xml:space="preserve"> </w:t>
      </w:r>
      <w:r>
        <w:t xml:space="preserve">Probe-battery size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D</m:t>
        </m:r>
        <m:r>
          <m:rPr>
            <m:sty m:val="p"/>
          </m:rPr>
          <m:t>|</m:t>
        </m:r>
      </m:oMath>
      <w:r>
        <w:t xml:space="preserve">, per-cell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ablations;</w:t>
      </w:r>
      <w:r>
        <w:t xml:space="preserve"> </w:t>
      </w:r>
      <w:r>
        <w:t xml:space="preserve">the cost–quality frontier.</w:t>
      </w:r>
    </w:p>
    <w:bookmarkEnd w:id="34"/>
    <w:bookmarkStart w:id="35" w:name="sec:limitations"/>
    <w:p>
      <w:pPr>
        <w:pStyle w:val="Heading1"/>
      </w:pPr>
      <w:r>
        <w:t xml:space="preserve">Scope and limitations</w:t>
      </w:r>
    </w:p>
    <w:p>
      <w:pPr>
        <w:pStyle w:val="FirstParagraph"/>
      </w:pPr>
      <w:r>
        <w:t xml:space="preserve">The representation results hold in the deterministic-projection model, which is the companion</w:t>
      </w:r>
      <w:r>
        <w:t xml:space="preserve"> </w:t>
      </w:r>
      <w:r>
        <w:t xml:space="preserve">paper’s model and the setting in which its evidence was collected. For general stochastic sources</w:t>
      </w:r>
      <w:r>
        <w:t xml:space="preserve"> </w:t>
      </w:r>
      <w:r>
        <w:t xml:space="preserve">the Blackwell order is garbling rather than containment, and no finite-dimensional product-order</w:t>
      </w:r>
      <w:r>
        <w:t xml:space="preserve"> </w:t>
      </w:r>
      <w:r>
        <w:t xml:space="preserve">embedding is faithful in general; Theorems </w:t>
      </w:r>
      <w:hyperlink w:anchor="thm:iso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 </w:t>
      </w:r>
      <w:hyperlink w:anchor="thm:dimensio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should be read as</w:t>
      </w:r>
      <w:r>
        <w:t xml:space="preserve"> </w:t>
      </w:r>
      <w:r>
        <w:t xml:space="preserve">sharp statements about projection sources, not about arbitrary experiments. The coordinate count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property of a task family together with a candidate pool, not a universal constant, and</w:t>
      </w:r>
      <w:r>
        <w:t xml:space="preserve"> </w:t>
      </w:r>
      <w:r>
        <w:t xml:space="preserve">estimating it is itself an experimental question (item 2 above). Finally,</w:t>
      </w:r>
      <w:r>
        <w:t xml:space="preserve"> </w:t>
      </w:r>
      <m:oMath>
        <m:r>
          <m:rPr>
            <m:sty m:val="p"/>
          </m:rPr>
          <m:t>⊵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verified against a probe battery, so it inherits the companion paper’s decision-restricted reading:</w:t>
      </w:r>
      <w:r>
        <w:t xml:space="preserve"> </w:t>
      </w:r>
      <w:r>
        <w:t xml:space="preserve">conclusions are relative to the fixed model rule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to the coordinates the battery can</w:t>
      </w:r>
      <w:r>
        <w:t xml:space="preserve"> </w:t>
      </w:r>
      <w:r>
        <w:t xml:space="preserve">resolve.</w:t>
      </w:r>
    </w:p>
    <w:bookmarkEnd w:id="35"/>
    <w:bookmarkStart w:id="64" w:name="reproducibility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The verification machinery, harness, and all measured cells referenced here are released with the</w:t>
      </w:r>
      <w:r>
        <w:t xml:space="preserve"> </w:t>
      </w:r>
      <w:r>
        <w:t xml:space="preserve">companion paper at</w:t>
      </w:r>
      <w:r>
        <w:t xml:space="preserve"> </w:t>
      </w:r>
      <w:hyperlink r:id="rId36">
        <w:r>
          <w:rPr>
            <w:rStyle w:val="Hyperlink"/>
          </w:rPr>
          <w:t xml:space="preserve">https://github.com/abilous-ti/blackwell-llm-context</w:t>
        </w:r>
      </w:hyperlink>
      <w:r>
        <w:t xml:space="preserve">.</w:t>
      </w:r>
    </w:p>
    <w:bookmarkStart w:id="63" w:name="refs"/>
    <w:bookmarkStart w:id="37" w:name="ref-companion"/>
    <w:p>
      <w:pPr>
        <w:pStyle w:val="Bibliography"/>
      </w:pPr>
      <w:r>
        <w:t xml:space="preserve">Bilous, Andriy, and Oleksandr Reminnyi. 2026.</w:t>
      </w:r>
      <w:r>
        <w:t xml:space="preserve"> </w:t>
      </w:r>
      <w:r>
        <w:rPr>
          <w:i/>
          <w:iCs/>
        </w:rPr>
        <w:t xml:space="preserve">Context Selection as a Partial Order: A</w:t>
      </w:r>
      <w:r>
        <w:rPr>
          <w:i/>
          <w:iCs/>
        </w:rPr>
        <w:t xml:space="preserve"> </w:t>
      </w:r>
      <w:r>
        <w:rPr>
          <w:i/>
          <w:iCs/>
        </w:rPr>
        <w:t xml:space="preserve">Blackwell</w:t>
      </w:r>
      <w:r>
        <w:rPr>
          <w:i/>
          <w:iCs/>
        </w:rPr>
        <w:t xml:space="preserve"> </w:t>
      </w:r>
      <w:r>
        <w:rPr>
          <w:i/>
          <w:iCs/>
        </w:rPr>
        <w:t xml:space="preserve">Framework and Verified</w:t>
      </w:r>
      <w:r>
        <w:rPr>
          <w:i/>
          <w:iCs/>
        </w:rPr>
        <w:t xml:space="preserve"> </w:t>
      </w:r>
      <w:r>
        <w:rPr>
          <w:i/>
          <w:iCs/>
        </w:rPr>
        <w:t xml:space="preserve">LLM</w:t>
      </w:r>
      <w:r>
        <w:rPr>
          <w:i/>
          <w:iCs/>
        </w:rPr>
        <w:t xml:space="preserve"> </w:t>
      </w:r>
      <w:r>
        <w:rPr>
          <w:i/>
          <w:iCs/>
        </w:rPr>
        <w:t xml:space="preserve">Evidence</w:t>
      </w:r>
      <w:r>
        <w:t xml:space="preserve">.</w:t>
      </w:r>
    </w:p>
    <w:bookmarkEnd w:id="37"/>
    <w:bookmarkStart w:id="39" w:name="ref-blackwell1953"/>
    <w:p>
      <w:pPr>
        <w:pStyle w:val="Bibliography"/>
      </w:pPr>
      <w:r>
        <w:t xml:space="preserve">Blackwell, David. 1953.</w:t>
      </w:r>
      <w:r>
        <w:t xml:space="preserve"> </w:t>
      </w:r>
      <w:r>
        <w:t xml:space="preserve">“Equivalent Comparisons of Experiments.”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24 (2): 265–72.</w:t>
      </w:r>
      <w:r>
        <w:t xml:space="preserve"> </w:t>
      </w:r>
      <w:hyperlink r:id="rId38">
        <w:r>
          <w:rPr>
            <w:rStyle w:val="Hyperlink"/>
          </w:rPr>
          <w:t xml:space="preserve">https://doi.org/10.1214/aoms/1177729032</w:t>
        </w:r>
      </w:hyperlink>
      <w:r>
        <w:t xml:space="preserve">.</w:t>
      </w:r>
    </w:p>
    <w:bookmarkEnd w:id="39"/>
    <w:bookmarkStart w:id="41" w:name="ref-carbonell1998"/>
    <w:p>
      <w:pPr>
        <w:pStyle w:val="Bibliography"/>
      </w:pPr>
      <w:r>
        <w:t xml:space="preserve">Carbonell, Jaime, and Jade Goldstein. 1998.</w:t>
      </w:r>
      <w:r>
        <w:t xml:space="preserve"> </w:t>
      </w:r>
      <w:r>
        <w:t xml:space="preserve">“The Use of</w:t>
      </w:r>
      <w:r>
        <w:t xml:space="preserve"> </w:t>
      </w:r>
      <w:r>
        <w:t xml:space="preserve">MMR</w:t>
      </w:r>
      <w:r>
        <w:t xml:space="preserve">, Diversity-Based Reranking for Reordering Documents and Producing Summaries.”</w:t>
      </w:r>
      <w:r>
        <w:t xml:space="preserve"> </w:t>
      </w:r>
      <w:r>
        <w:rPr>
          <w:i/>
          <w:iCs/>
        </w:rPr>
        <w:t xml:space="preserve">Proceedings of the 21st Annual International ACM SIGIR Conference on Research and Development in Information Retrieval</w:t>
      </w:r>
      <w:r>
        <w:t xml:space="preserve">, 335–36.</w:t>
      </w:r>
      <w:r>
        <w:t xml:space="preserve"> </w:t>
      </w:r>
      <w:hyperlink r:id="rId40">
        <w:r>
          <w:rPr>
            <w:rStyle w:val="Hyperlink"/>
          </w:rPr>
          <w:t xml:space="preserve">https://doi.org/10.1145/290941.291025</w:t>
        </w:r>
      </w:hyperlink>
      <w:r>
        <w:t xml:space="preserve">.</w:t>
      </w:r>
    </w:p>
    <w:bookmarkEnd w:id="41"/>
    <w:bookmarkStart w:id="43" w:name="ref-dushnik1941"/>
    <w:p>
      <w:pPr>
        <w:pStyle w:val="Bibliography"/>
      </w:pPr>
      <w:r>
        <w:t xml:space="preserve">Dushnik, Ben, and E. W. Miller. 1941.</w:t>
      </w:r>
      <w:r>
        <w:t xml:space="preserve"> </w:t>
      </w:r>
      <w:r>
        <w:t xml:space="preserve">“Partially Ordered Sets.”</w:t>
      </w:r>
      <w:r>
        <w:t xml:space="preserve"> </w:t>
      </w:r>
      <w:r>
        <w:rPr>
          <w:i/>
          <w:iCs/>
        </w:rPr>
        <w:t xml:space="preserve">American Journal of Mathematics</w:t>
      </w:r>
      <w:r>
        <w:t xml:space="preserve"> </w:t>
      </w:r>
      <w:r>
        <w:t xml:space="preserve">63 (3): 600–610.</w:t>
      </w:r>
      <w:r>
        <w:t xml:space="preserve"> </w:t>
      </w:r>
      <w:hyperlink r:id="rId42">
        <w:r>
          <w:rPr>
            <w:rStyle w:val="Hyperlink"/>
          </w:rPr>
          <w:t xml:space="preserve">https://doi.org/10.2307/2371374</w:t>
        </w:r>
      </w:hyperlink>
      <w:r>
        <w:t xml:space="preserve">.</w:t>
      </w:r>
    </w:p>
    <w:bookmarkEnd w:id="43"/>
    <w:bookmarkStart w:id="45" w:name="ref-feige1998"/>
    <w:p>
      <w:pPr>
        <w:pStyle w:val="Bibliography"/>
      </w:pPr>
      <w:r>
        <w:t xml:space="preserve">Feige, Uriel. 1998.</w:t>
      </w:r>
      <w:r>
        <w:t xml:space="preserve"> </w:t>
      </w:r>
      <w:r>
        <w:t xml:space="preserve">“A Threshold of</w:t>
      </w:r>
      <w:r>
        <w:t xml:space="preserve"> </w:t>
      </w:r>
      <m:oMath>
        <m:r>
          <m:rPr>
            <m:sty m:val="p"/>
          </m:rPr>
          <m:t>ln</m:t>
        </m:r>
        <m:r>
          <m:t>n</m:t>
        </m:r>
      </m:oMath>
      <w:r>
        <w:t xml:space="preserve"> </w:t>
      </w:r>
      <w:r>
        <w:t xml:space="preserve">for Approximating Set Cover.”</w:t>
      </w:r>
      <w:r>
        <w:t xml:space="preserve"> </w:t>
      </w:r>
      <w:r>
        <w:rPr>
          <w:i/>
          <w:iCs/>
        </w:rPr>
        <w:t xml:space="preserve">Journal of the ACM</w:t>
      </w:r>
      <w:r>
        <w:t xml:space="preserve"> </w:t>
      </w:r>
      <w:r>
        <w:t xml:space="preserve">45 (4): 634–52.</w:t>
      </w:r>
      <w:r>
        <w:t xml:space="preserve"> </w:t>
      </w:r>
      <w:hyperlink r:id="rId44">
        <w:r>
          <w:rPr>
            <w:rStyle w:val="Hyperlink"/>
          </w:rPr>
          <w:t xml:space="preserve">https://doi.org/10.1145/285055.285059</w:t>
        </w:r>
      </w:hyperlink>
      <w:r>
        <w:t xml:space="preserve">.</w:t>
      </w:r>
    </w:p>
    <w:bookmarkEnd w:id="45"/>
    <w:bookmarkStart w:id="47" w:name="ref-guu2020realm"/>
    <w:p>
      <w:pPr>
        <w:pStyle w:val="Bibliography"/>
      </w:pPr>
      <w:r>
        <w:t xml:space="preserve">Guu, Kelvin, Kenton Lee, Zora Tung, Panupong Pasupat, and Ming-Wei Chang. 2020.</w:t>
      </w:r>
      <w:r>
        <w:t xml:space="preserve"> </w:t>
      </w:r>
      <w:r>
        <w:t xml:space="preserve">“</w:t>
      </w:r>
      <w:r>
        <w:t xml:space="preserve">REALM</w:t>
      </w:r>
      <w:r>
        <w:t xml:space="preserve">: Retrieval-Augmented Language Model Pre-Training.”</w:t>
      </w:r>
      <w:r>
        <w:t xml:space="preserve"> </w:t>
      </w:r>
      <w:r>
        <w:rPr>
          <w:i/>
          <w:iCs/>
        </w:rPr>
        <w:t xml:space="preserve">Proceedings of the 37th International Conference on Machine Learning (ICML)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https://arxiv.org/abs/2002.08909</w:t>
        </w:r>
      </w:hyperlink>
      <w:r>
        <w:t xml:space="preserve">.</w:t>
      </w:r>
    </w:p>
    <w:bookmarkEnd w:id="47"/>
    <w:bookmarkStart w:id="49" w:name="ref-khattab2020colbert"/>
    <w:p>
      <w:pPr>
        <w:pStyle w:val="Bibliography"/>
      </w:pPr>
      <w:r>
        <w:t xml:space="preserve">Khattab, Omar, and Matei Zaharia. 2020.</w:t>
      </w:r>
      <w:r>
        <w:t xml:space="preserve"> </w:t>
      </w:r>
      <w:r>
        <w:t xml:space="preserve">“</w:t>
      </w:r>
      <w:r>
        <w:t xml:space="preserve">ColBERT</w:t>
      </w:r>
      <w:r>
        <w:t xml:space="preserve">: Efficient and Effective Passage Search via Contextualized Late Interaction over</w:t>
      </w:r>
      <w:r>
        <w:t xml:space="preserve"> </w:t>
      </w:r>
      <w:r>
        <w:t xml:space="preserve">BERT</w:t>
      </w:r>
      <w:r>
        <w:t xml:space="preserve">.”</w:t>
      </w:r>
      <w:r>
        <w:t xml:space="preserve"> </w:t>
      </w:r>
      <w:r>
        <w:rPr>
          <w:i/>
          <w:iCs/>
        </w:rPr>
        <w:t xml:space="preserve">Proceedings of the 43rd International ACM SIGIR Conference on Research and Development in Information Retrieval</w:t>
      </w:r>
      <w:r>
        <w:t xml:space="preserve">, 39–48.</w:t>
      </w:r>
      <w:r>
        <w:t xml:space="preserve"> </w:t>
      </w:r>
      <w:hyperlink r:id="rId48">
        <w:r>
          <w:rPr>
            <w:rStyle w:val="Hyperlink"/>
          </w:rPr>
          <w:t xml:space="preserve">https://doi.org/10.1145/3397271.3401075</w:t>
        </w:r>
      </w:hyperlink>
      <w:r>
        <w:t xml:space="preserve">.</w:t>
      </w:r>
    </w:p>
    <w:bookmarkEnd w:id="49"/>
    <w:bookmarkStart w:id="51" w:name="ref-nemhauser1978"/>
    <w:p>
      <w:pPr>
        <w:pStyle w:val="Bibliography"/>
      </w:pPr>
      <w:r>
        <w:t xml:space="preserve">Nemhauser, G. L., L. A. Wolsey, and M. L. Fisher. 1978.</w:t>
      </w:r>
      <w:r>
        <w:t xml:space="preserve"> </w:t>
      </w:r>
      <w:r>
        <w:t xml:space="preserve">“An Analysis of Approximations for Maximizing Submodular Set Functions—</w:t>
      </w:r>
      <w:r>
        <w:t xml:space="preserve">I</w:t>
      </w:r>
      <w:r>
        <w:t xml:space="preserve">.”</w:t>
      </w:r>
      <w:r>
        <w:t xml:space="preserve"> </w:t>
      </w:r>
      <w:r>
        <w:rPr>
          <w:i/>
          <w:iCs/>
        </w:rPr>
        <w:t xml:space="preserve">Mathematical Programming</w:t>
      </w:r>
      <w:r>
        <w:t xml:space="preserve"> </w:t>
      </w:r>
      <w:r>
        <w:t xml:space="preserve">14 (1): 265–94.</w:t>
      </w:r>
      <w:r>
        <w:t xml:space="preserve"> </w:t>
      </w:r>
      <w:hyperlink r:id="rId50">
        <w:r>
          <w:rPr>
            <w:rStyle w:val="Hyperlink"/>
          </w:rPr>
          <w:t xml:space="preserve">https://doi.org/10.1007/BF01588971</w:t>
        </w:r>
      </w:hyperlink>
      <w:r>
        <w:t xml:space="preserve">.</w:t>
      </w:r>
    </w:p>
    <w:bookmarkEnd w:id="51"/>
    <w:bookmarkStart w:id="53" w:name="ref-shi2023replug"/>
    <w:p>
      <w:pPr>
        <w:pStyle w:val="Bibliography"/>
      </w:pPr>
      <w:r>
        <w:t xml:space="preserve">Shi, Weijia, Sewon Min, Michihiro Yasunaga, et al. 2023.</w:t>
      </w:r>
      <w:r>
        <w:t xml:space="preserve"> </w:t>
      </w:r>
      <w:r>
        <w:t xml:space="preserve">“</w:t>
      </w:r>
      <w:r>
        <w:t xml:space="preserve">REPLUG</w:t>
      </w:r>
      <w:r>
        <w:t xml:space="preserve">: Retrieval-Augmented Black-Box Language Models.”</w:t>
      </w:r>
      <w:r>
        <w:t xml:space="preserve"> </w:t>
      </w:r>
      <w:r>
        <w:rPr>
          <w:i/>
          <w:iCs/>
        </w:rPr>
        <w:t xml:space="preserve">arXiv Preprint arXiv:2301.12652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https://arxiv.org/abs/2301.12652</w:t>
        </w:r>
      </w:hyperlink>
      <w:r>
        <w:t xml:space="preserve">.</w:t>
      </w:r>
    </w:p>
    <w:bookmarkEnd w:id="53"/>
    <w:bookmarkStart w:id="55" w:name="ref-sperner1928"/>
    <w:p>
      <w:pPr>
        <w:pStyle w:val="Bibliography"/>
      </w:pPr>
      <w:r>
        <w:t xml:space="preserve">Sperner, Emanuel. 1928.</w:t>
      </w:r>
      <w:r>
        <w:t xml:space="preserve"> </w:t>
      </w:r>
      <w:r>
        <w:t xml:space="preserve">“Ein Satz Über Untermengen Einer Endlichen Menge.”</w:t>
      </w:r>
      <w:r>
        <w:t xml:space="preserve"> </w:t>
      </w:r>
      <w:r>
        <w:rPr>
          <w:i/>
          <w:iCs/>
        </w:rPr>
        <w:t xml:space="preserve">Mathematische Zeitschrift</w:t>
      </w:r>
      <w:r>
        <w:t xml:space="preserve"> </w:t>
      </w:r>
      <w:r>
        <w:t xml:space="preserve">27 (1): 544–48.</w:t>
      </w:r>
      <w:r>
        <w:t xml:space="preserve"> </w:t>
      </w:r>
      <w:hyperlink r:id="rId54">
        <w:r>
          <w:rPr>
            <w:rStyle w:val="Hyperlink"/>
          </w:rPr>
          <w:t xml:space="preserve">https://doi.org/10.1007/BF01171114</w:t>
        </w:r>
      </w:hyperlink>
      <w:r>
        <w:t xml:space="preserve">.</w:t>
      </w:r>
    </w:p>
    <w:bookmarkEnd w:id="55"/>
    <w:bookmarkStart w:id="57" w:name="ref-sun2023rankgpt"/>
    <w:p>
      <w:pPr>
        <w:pStyle w:val="Bibliography"/>
      </w:pPr>
      <w:r>
        <w:t xml:space="preserve">Sun, Weiwei, Lingyong Yan, Xinyu Ma, et al. 2023.</w:t>
      </w:r>
      <w:r>
        <w:t xml:space="preserve"> </w:t>
      </w:r>
      <w:r>
        <w:t xml:space="preserve">“Is</w:t>
      </w:r>
      <w:r>
        <w:t xml:space="preserve"> </w:t>
      </w:r>
      <w:r>
        <w:t xml:space="preserve">ChatGPT</w:t>
      </w:r>
      <w:r>
        <w:t xml:space="preserve"> </w:t>
      </w:r>
      <w:r>
        <w:t xml:space="preserve">Good at Search?</w:t>
      </w:r>
      <w:r>
        <w:t xml:space="preserve"> </w:t>
      </w:r>
      <w:r>
        <w:t xml:space="preserve">Investigating</w:t>
      </w:r>
      <w:r>
        <w:t xml:space="preserve"> </w:t>
      </w:r>
      <w:r>
        <w:t xml:space="preserve">Large Language Models as Re-Ranking Agents.”</w:t>
      </w:r>
      <w:r>
        <w:t xml:space="preserve"> </w:t>
      </w:r>
      <w:r>
        <w:rPr>
          <w:i/>
          <w:iCs/>
        </w:rPr>
        <w:t xml:space="preserve">Proceedings of the 2023 Conference on Empirical Methods in Natural Language Processing (EMNLP)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https://arxiv.org/abs/2304.09542</w:t>
        </w:r>
      </w:hyperlink>
      <w:r>
        <w:t xml:space="preserve">.</w:t>
      </w:r>
    </w:p>
    <w:bookmarkEnd w:id="57"/>
    <w:bookmarkStart w:id="59" w:name="ref-torgersen1991"/>
    <w:p>
      <w:pPr>
        <w:pStyle w:val="Bibliography"/>
      </w:pPr>
      <w:r>
        <w:t xml:space="preserve">Torgersen, Erik N. 1991.</w:t>
      </w:r>
      <w:r>
        <w:t xml:space="preserve"> </w:t>
      </w:r>
      <w:r>
        <w:rPr>
          <w:i/>
          <w:iCs/>
        </w:rPr>
        <w:t xml:space="preserve">Comparison of Statistical Experiments</w:t>
      </w:r>
      <w:r>
        <w:t xml:space="preserve">. Vol. 36. Encyclopedia of Mathematics and Its Applications. Cambridge University Press.</w:t>
      </w:r>
      <w:r>
        <w:t xml:space="preserve"> </w:t>
      </w:r>
      <w:hyperlink r:id="rId58">
        <w:r>
          <w:rPr>
            <w:rStyle w:val="Hyperlink"/>
          </w:rPr>
          <w:t xml:space="preserve">https://doi.org/10.1017/CBO9780511666353</w:t>
        </w:r>
      </w:hyperlink>
      <w:r>
        <w:t xml:space="preserve">.</w:t>
      </w:r>
    </w:p>
    <w:bookmarkEnd w:id="59"/>
    <w:bookmarkStart w:id="60" w:name="ref-trotter1992"/>
    <w:p>
      <w:pPr>
        <w:pStyle w:val="Bibliography"/>
      </w:pPr>
      <w:r>
        <w:t xml:space="preserve">Trotter, William T. 1992.</w:t>
      </w:r>
      <w:r>
        <w:t xml:space="preserve"> </w:t>
      </w:r>
      <w:r>
        <w:rPr>
          <w:i/>
          <w:iCs/>
        </w:rPr>
        <w:t xml:space="preserve">Combinatorics and Partially Ordered Sets: Dimension Theory</w:t>
      </w:r>
      <w:r>
        <w:t xml:space="preserve">. Johns Hopkins University Press.</w:t>
      </w:r>
    </w:p>
    <w:bookmarkEnd w:id="60"/>
    <w:bookmarkStart w:id="62" w:name="ref-ye2023ceil"/>
    <w:p>
      <w:pPr>
        <w:pStyle w:val="Bibliography"/>
      </w:pPr>
      <w:r>
        <w:t xml:space="preserve">Ye, Jiacheng, Zhiyong Wu, Jiangtao Feng, Tao Yu, and Lingpeng Kong. 2023.</w:t>
      </w:r>
      <w:r>
        <w:t xml:space="preserve"> </w:t>
      </w:r>
      <w:r>
        <w:t xml:space="preserve">“Compositional Exemplars for in-Context Learning.”</w:t>
      </w:r>
      <w:r>
        <w:t xml:space="preserve"> </w:t>
      </w:r>
      <w:r>
        <w:rPr>
          <w:i/>
          <w:iCs/>
        </w:rPr>
        <w:t xml:space="preserve">Proceedings of the 40th International Conference on Machine Learning (ICML)</w:t>
      </w:r>
      <w:r>
        <w:t xml:space="preserve">.</w:t>
      </w:r>
      <w:r>
        <w:t xml:space="preserve"> </w:t>
      </w:r>
      <w:hyperlink r:id="rId61">
        <w:r>
          <w:rPr>
            <w:rStyle w:val="Hyperlink"/>
          </w:rPr>
          <w:t xml:space="preserve">https://arxiv.org/abs/2302.05698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https://arxiv.org/abs/2002.08909" TargetMode="External" /><Relationship Type="http://schemas.openxmlformats.org/officeDocument/2006/relationships/hyperlink" Id="rId52" Target="https://arxiv.org/abs/2301.12652" TargetMode="External" /><Relationship Type="http://schemas.openxmlformats.org/officeDocument/2006/relationships/hyperlink" Id="rId61" Target="https://arxiv.org/abs/2302.05698" TargetMode="External" /><Relationship Type="http://schemas.openxmlformats.org/officeDocument/2006/relationships/hyperlink" Id="rId56" Target="https://arxiv.org/abs/2304.09542" TargetMode="External" /><Relationship Type="http://schemas.openxmlformats.org/officeDocument/2006/relationships/hyperlink" Id="rId54" Target="https://doi.org/10.1007/BF01171114" TargetMode="External" /><Relationship Type="http://schemas.openxmlformats.org/officeDocument/2006/relationships/hyperlink" Id="rId50" Target="https://doi.org/10.1007/BF01588971" TargetMode="External" /><Relationship Type="http://schemas.openxmlformats.org/officeDocument/2006/relationships/hyperlink" Id="rId58" Target="https://doi.org/10.1017/CBO9780511666353" TargetMode="External" /><Relationship Type="http://schemas.openxmlformats.org/officeDocument/2006/relationships/hyperlink" Id="rId44" Target="https://doi.org/10.1145/285055.285059" TargetMode="External" /><Relationship Type="http://schemas.openxmlformats.org/officeDocument/2006/relationships/hyperlink" Id="rId40" Target="https://doi.org/10.1145/290941.291025" TargetMode="External" /><Relationship Type="http://schemas.openxmlformats.org/officeDocument/2006/relationships/hyperlink" Id="rId48" Target="https://doi.org/10.1145/3397271.3401075" TargetMode="External" /><Relationship Type="http://schemas.openxmlformats.org/officeDocument/2006/relationships/hyperlink" Id="rId38" Target="https://doi.org/10.1214/aoms/1177729032" TargetMode="External" /><Relationship Type="http://schemas.openxmlformats.org/officeDocument/2006/relationships/hyperlink" Id="rId42" Target="https://doi.org/10.2307/2371374" TargetMode="External" /><Relationship Type="http://schemas.openxmlformats.org/officeDocument/2006/relationships/hyperlink" Id="rId36" Target="https://github.com/abilous-ti/blackwell-llm-conte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arxiv.org/abs/2002.08909" TargetMode="External" /><Relationship Type="http://schemas.openxmlformats.org/officeDocument/2006/relationships/hyperlink" Id="rId52" Target="https://arxiv.org/abs/2301.12652" TargetMode="External" /><Relationship Type="http://schemas.openxmlformats.org/officeDocument/2006/relationships/hyperlink" Id="rId61" Target="https://arxiv.org/abs/2302.05698" TargetMode="External" /><Relationship Type="http://schemas.openxmlformats.org/officeDocument/2006/relationships/hyperlink" Id="rId56" Target="https://arxiv.org/abs/2304.09542" TargetMode="External" /><Relationship Type="http://schemas.openxmlformats.org/officeDocument/2006/relationships/hyperlink" Id="rId54" Target="https://doi.org/10.1007/BF01171114" TargetMode="External" /><Relationship Type="http://schemas.openxmlformats.org/officeDocument/2006/relationships/hyperlink" Id="rId50" Target="https://doi.org/10.1007/BF01588971" TargetMode="External" /><Relationship Type="http://schemas.openxmlformats.org/officeDocument/2006/relationships/hyperlink" Id="rId58" Target="https://doi.org/10.1017/CBO9780511666353" TargetMode="External" /><Relationship Type="http://schemas.openxmlformats.org/officeDocument/2006/relationships/hyperlink" Id="rId44" Target="https://doi.org/10.1145/285055.285059" TargetMode="External" /><Relationship Type="http://schemas.openxmlformats.org/officeDocument/2006/relationships/hyperlink" Id="rId40" Target="https://doi.org/10.1145/290941.291025" TargetMode="External" /><Relationship Type="http://schemas.openxmlformats.org/officeDocument/2006/relationships/hyperlink" Id="rId48" Target="https://doi.org/10.1145/3397271.3401075" TargetMode="External" /><Relationship Type="http://schemas.openxmlformats.org/officeDocument/2006/relationships/hyperlink" Id="rId38" Target="https://doi.org/10.1214/aoms/1177729032" TargetMode="External" /><Relationship Type="http://schemas.openxmlformats.org/officeDocument/2006/relationships/hyperlink" Id="rId42" Target="https://doi.org/10.2307/2371374" TargetMode="External" /><Relationship Type="http://schemas.openxmlformats.org/officeDocument/2006/relationships/hyperlink" Id="rId36" Target="https://github.com/abilous-ti/blackwell-llm-conte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 selection is covering, not ranking: Minimal faithful representations and amortized partial-order selection</dc:title>
  <dc:creator>Andriy Bilous Department of Information Systems and Networks Lviv Polytechnic National University, Lviv, Ukraine ORCID: 0009-0006-5467-7932 andriy.bilous@uitware.com; Oleksandr Reminnyi Department of Computerized Automatic Systems Lviv Polytechnic National University, Lviv, Ukraine ORCID: 0009-0005-5119-3695 sasha.reminnyi@gmail.com</dc:creator>
  <cp:keywords/>
  <dcterms:created xsi:type="dcterms:W3CDTF">2026-08-24T14:51:34Z</dcterms:created>
  <dcterms:modified xsi:type="dcterms:W3CDTF">2026-08-24T14:51:34Z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companion paper shows that context sources for a language model are only partially ordered, and that consequently no single relevance number can rank them faithfully. That is an impossibility result, and it leaves the constructive question open: if one number is not enough, how many are, and can they be computed cheaply? We answer both. For sources modeled as deterministic projections of a latent requirement, we show the Blackwell order is order-isomorphic to the Boolean lattice of the coordinate sets a source reveals, so a source’s coverage set is a faithful representation. Using the order dimension of that lattice, we prove the minimal faithful vector representation has dimension exactly d, the number of latent coordinates; scalar scoring is the d=1 case, which recovers the companion paper’s impossibility as a corollary and sharpens it into an exact requirement. Two structural consequences follow: the non-dominated front is an antichain and can be exponentially large, so a selection budget is unavoidable, and budgeted selection is exactly maximum coverage, whose greedy (1-1/e) guarantee is therefore optimal rather than merely conventional. This reframes context selection as a covering problem over latent requirements rather than a ranking problem over documents. We give Probe-Select, which realizes the coverage representation exactly by measurement, and then state the amortization question the reframing makes precise: coverage vectors are predictable from source text, whereas the scalars that existing learned retrievers amortize provably are not. [Planned: a non-circular held-out benchmark against dense, cross-encoder, listwise, and diversity baselines; a learned coverage predictor evaluated by order preservation and end-task regret; and a naturalistic prevalence study.]</vt:lpwstr>
  </property>
  <property fmtid="{D5CDD505-2E9C-101B-9397-08002B2CF9AE}" pid="3" name="bibliography">
    <vt:lpwstr>blackwell-paper.bib</vt:lpwstr>
  </property>
  <property fmtid="{D5CDD505-2E9C-101B-9397-08002B2CF9AE}" pid="4" name="date">
    <vt:lpwstr/>
  </property>
  <property fmtid="{D5CDD505-2E9C-101B-9397-08002B2CF9AE}" pid="5" name="link-citations">
    <vt:lpwstr>True</vt:lpwstr>
  </property>
</Properties>
</file>