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 scalar score,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dependence on the model matters.</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verifies 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100"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with drafting and revising the manuscript, and with additional Codex-assisted consistency checks</w:t>
      </w:r>
      <w:r>
        <w:t xml:space="preserve"> </w:t>
      </w:r>
      <w:r>
        <w:t xml:space="preserve">of the manuscript against the released records. Reported estimates and confidence bounds were</w:t>
      </w:r>
      <w:r>
        <w:t xml:space="preserve"> </w:t>
      </w:r>
      <w:r>
        <w:t xml:space="preserve">calculated by the released scripts from recorded model responses, which</w:t>
      </w:r>
      <w:r>
        <w:t xml:space="preserve"> </w:t>
      </w:r>
      <w:r>
        <w:rPr>
          <w:rStyle w:val="VerbatimChar"/>
        </w:rPr>
        <w:t xml:space="preserve">results/MANIFEST.md</w:t>
      </w:r>
      <w:r>
        <w:t xml:space="preserve"> </w:t>
      </w:r>
      <w:r>
        <w:t xml:space="preserve">pins by SHA-256. The Acknowledgments name the tools.</w:t>
      </w:r>
    </w:p>
    <w:bookmarkEnd w:id="80"/>
    <w:bookmarkEnd w:id="81"/>
    <w:bookmarkStart w:id="93"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tested rankers produced different source preferences on the relevance trap. To test whether</w:t>
      </w:r>
      <w:r>
        <w:t xml:space="preserve"> </w:t>
      </w:r>
      <w:r>
        <w:t xml:space="preserve">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9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The claim we make is the negative one: the harm</w:t>
      </w:r>
      <w:r>
        <w:t xml:space="preserve"> </w:t>
      </w:r>
      <w:r>
        <w:t xml:space="preserve">is robust across the ladder, and these data do not order it by capability.</w:t>
      </w:r>
    </w:p>
    <w:bookmarkEnd w:id="88"/>
    <w:bookmarkStart w:id="89" w:name="X285c48c8127db4fd298c4c578e64a27baff62cf"/>
    <w:p>
      <w:pPr>
        <w:pStyle w:val="Heading4"/>
      </w:pPr>
      <w:r>
        <w:t xml:space="preserve">The same addition helps and harms within one model.</w:t>
      </w:r>
    </w:p>
    <w:p>
      <w:pPr>
        <w:pStyle w:val="FirstParagraph"/>
      </w:pPr>
      <w:r>
        <w:t xml:space="preserve">Haiku shows both effects of</w:t>
      </w:r>
      <w:r>
        <w:t xml:space="preserve"> </w:t>
      </w:r>
      <w:r>
        <w:t xml:space="preserve">appending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at once. On</w:t>
      </w:r>
      <w:r>
        <w:t xml:space="preserve"> </w:t>
      </w:r>
      <w:r>
        <w:rPr>
          <w:rStyle w:val="VerbatimChar"/>
        </w:rPr>
        <w:t xml:space="preserve">enc_amount</w:t>
      </w:r>
      <w:r>
        <w:t xml:space="preserve"> </w:t>
      </w:r>
      <w:r>
        <w:t xml:space="preserve">the superset scores</w:t>
      </w:r>
      <w:r>
        <w:t xml:space="preserve"> </w:t>
      </w:r>
      <m:oMath>
        <m:r>
          <m:t>40</m:t>
        </m:r>
        <m:r>
          <m:rPr>
            <m:sty m:val="p"/>
          </m:rPr>
          <m:t>/</m:t>
        </m:r>
        <m:r>
          <m:t>40</m:t>
        </m:r>
      </m:oMath>
      <w:r>
        <w:t xml:space="preserve">, above</w:t>
      </w:r>
      <w:r>
        <w:t xml:space="preserve"> </w:t>
      </w:r>
      <w:r>
        <w:t xml:space="preserve">either source alone (</w:t>
      </w:r>
      <m:oMath>
        <m:sSub>
          <m:e>
            <m:r>
              <m:t>W</m:t>
            </m:r>
          </m:e>
          <m:sub>
            <m:r>
              <m:t>2</m:t>
            </m:r>
          </m:sub>
        </m:sSub>
      </m:oMath>
      <w:r>
        <w:t xml:space="preserve"> </w:t>
      </w:r>
      <m:oMath>
        <m:r>
          <m:t>22</m:t>
        </m:r>
        <m:r>
          <m:rPr>
            <m:sty m:val="p"/>
          </m:rPr>
          <m:t>/</m:t>
        </m:r>
        <m:r>
          <m:t>40</m:t>
        </m:r>
      </m:oMath>
      <w:r>
        <w:t xml:space="preserve">,</w:t>
      </w:r>
      <w:r>
        <w:t xml:space="preserve"> </w:t>
      </w:r>
      <m:oMath>
        <m:sSub>
          <m:e>
            <m:r>
              <m:t>W</m:t>
            </m:r>
          </m:e>
          <m:sub>
            <m:r>
              <m:t>1</m:t>
            </m:r>
          </m:sub>
        </m:sSub>
      </m:oMath>
      <w:r>
        <w:t xml:space="preserve"> </w:t>
      </w:r>
      <m:oMath>
        <m:r>
          <m:t>0</m:t>
        </m:r>
        <m:r>
          <m:rPr>
            <m:sty m:val="p"/>
          </m:rPr>
          <m:t>/</m:t>
        </m:r>
        <m:r>
          <m:t>40</m:t>
        </m:r>
      </m:oMath>
      <w:r>
        <w:t xml:space="preserve">): the added encoding block supplies the</w:t>
      </w:r>
      <w:r>
        <w:t xml:space="preserve"> </w:t>
      </w:r>
      <w:r>
        <w:t xml:space="preserve">decisive fact and the contract block does not get in the way. On the same model and the same</w:t>
      </w:r>
      <w:r>
        <w:t xml:space="preserve"> </w:t>
      </w:r>
      <w:r>
        <w:t xml:space="preserve">run, the identical addition takes</w:t>
      </w:r>
      <w:r>
        <w:t xml:space="preserve"> </w:t>
      </w:r>
      <w:r>
        <w:rPr>
          <w:rStyle w:val="VerbatimChar"/>
        </w:rPr>
        <w:t xml:space="preserve">api_post_ok</w:t>
      </w:r>
      <w:r>
        <w:t xml:space="preserve"> </w:t>
      </w:r>
      <w:r>
        <w:t xml:space="preserve">from</w:t>
      </w:r>
      <w:r>
        <w:t xml:space="preserve"> </w:t>
      </w:r>
      <m:oMath>
        <m:r>
          <m:t>40</m:t>
        </m:r>
        <m:r>
          <m:rPr>
            <m:sty m:val="p"/>
          </m:rPr>
          <m:t>/</m:t>
        </m:r>
        <m:r>
          <m:t>40</m:t>
        </m:r>
      </m:oMath>
      <w:r>
        <w:t xml:space="preserve"> </w:t>
      </w:r>
      <w:r>
        <w:t xml:space="preserve">to</w:t>
      </w:r>
      <w:r>
        <w:t xml:space="preserve"> </w:t>
      </w:r>
      <m:oMath>
        <m:r>
          <m:t>0</m:t>
        </m:r>
        <m:r>
          <m:rPr>
            <m:sty m:val="p"/>
          </m:rPr>
          <m:t>/</m:t>
        </m:r>
        <m:r>
          <m:t>40</m:t>
        </m:r>
      </m:oMath>
      <w:r>
        <w:t xml:space="preserve"> </w:t>
      </w:r>
      <w:r>
        <w:t xml:space="preserve">and</w:t>
      </w:r>
      <w:r>
        <w:t xml:space="preserve"> </w:t>
      </w:r>
      <w:r>
        <w:rPr>
          <w:rStyle w:val="VerbatimChar"/>
        </w:rPr>
        <w:t xml:space="preserve">api_argorder</w:t>
      </w:r>
      <w:r>
        <w:t xml:space="preserve"> </w:t>
      </w:r>
      <w:r>
        <w:t xml:space="preserve">from</w:t>
      </w:r>
      <w:r>
        <w:t xml:space="preserve"> </w:t>
      </w:r>
      <m:oMath>
        <m:r>
          <m:t>32</m:t>
        </m:r>
        <m:r>
          <m:rPr>
            <m:sty m:val="p"/>
          </m:rPr>
          <m:t>/</m:t>
        </m:r>
        <m:r>
          <m:t>40</m:t>
        </m:r>
      </m:oMath>
      <w:r>
        <w:t xml:space="preserve"> </w:t>
      </w:r>
      <w:r>
        <w:t xml:space="preserve">to</w:t>
      </w:r>
      <w:r>
        <w:t xml:space="preserve"> </w:t>
      </w:r>
      <m:oMath>
        <m:r>
          <m:t>0</m:t>
        </m:r>
        <m:r>
          <m:rPr>
            <m:sty m:val="p"/>
          </m:rPr>
          <m:t>/</m:t>
        </m:r>
        <m:r>
          <m:t>40</m:t>
        </m:r>
      </m:oMath>
      <w:r>
        <w:t xml:space="preserve">. So the operation</w:t>
      </w:r>
      <w:r>
        <w:t xml:space="preserve"> </w:t>
      </w:r>
      <w:r>
        <w:t xml:space="preserve">“add a second correct source”</w:t>
      </w:r>
      <w:r>
        <w:t xml:space="preserve"> </w:t>
      </w:r>
      <w:r>
        <w:t xml:space="preserve">has no fixed sign even within one model: which way it goes depends on the task, which is the</w:t>
      </w:r>
      <w:r>
        <w:t xml:space="preserve"> </w:t>
      </w:r>
      <w:r>
        <w:t xml:space="preserve">partial order showing up in a single row of Table A1. It also explains why the</w:t>
      </w:r>
      <w:r>
        <w:t xml:space="preserve"> </w:t>
      </w:r>
      <w:r>
        <w:t xml:space="preserve">policy comparison of Section 7.6 excludes</w:t>
      </w:r>
      <w:r>
        <w:t xml:space="preserve"> </w:t>
      </w:r>
      <m:oMath>
        <m:sSub>
          <m:e>
            <m:r>
              <m:t>W</m:t>
            </m:r>
          </m:e>
          <m:sub>
            <m:r>
              <m:t>1</m:t>
            </m:r>
            <m:r>
              <m:rPr>
                <m:sty m:val="p"/>
              </m:rPr>
              <m:t>+</m:t>
            </m:r>
          </m:sub>
        </m:sSub>
      </m:oMath>
      <w:r>
        <w:t xml:space="preserve"> </w:t>
      </w:r>
      <w:r>
        <w:t xml:space="preserve">from the oracle</w:t>
      </w:r>
      <w:r>
        <w:t xml:space="preserve"> </w:t>
      </w:r>
      <w:r>
        <w:t xml:space="preserve">column—a policy allowed to use it would collect the encoding gain and the API collapse</w:t>
      </w:r>
      <w:r>
        <w:t xml:space="preserve"> </w:t>
      </w:r>
      <w:r>
        <w:t xml:space="preserve">together.</w:t>
      </w:r>
    </w:p>
    <w:bookmarkEnd w:id="89"/>
    <w:bookmarkEnd w:id="90"/>
    <w:bookmarkStart w:id="9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1"/>
    <w:bookmarkStart w:id="92"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We screened the</w:t>
      </w:r>
      <w:r>
        <w:t xml:space="preserve"> </w:t>
      </w:r>
      <m:oMath>
        <m:r>
          <m:t>480</m:t>
        </m:r>
      </m:oMath>
      <w:r>
        <w:t xml:space="preserve"> </w:t>
      </w:r>
      <w:r>
        <w:t xml:space="preserve">retained responses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for extraction failures, missing imports, and explicit refusals.</w:t>
      </w:r>
      <w:r>
        <w:t xml:space="preserve"> </w:t>
      </w:r>
      <w:r>
        <w:t xml:space="preserve">The extraction and refusal 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2"/>
    <w:bookmarkEnd w:id="93"/>
    <w:bookmarkStart w:id="9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4"/>
    <w:bookmarkStart w:id="99"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5"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read off the test outcomes, with the standing of that column set out in the</w:t>
      </w:r>
      <w:r>
        <w:t xml:space="preserve"> </w:t>
      </w:r>
      <w:r>
        <w:t xml:space="preserve">text. It is not a ceiling over all selection policies, since it excludes</w:t>
      </w:r>
      <w:r>
        <w:t xml:space="preserve"> </w:t>
      </w:r>
      <m:oMath>
        <m:sSub>
          <m:e>
            <m:r>
              <m:t>W</m:t>
            </m:r>
          </m:e>
          <m:sub>
            <m:r>
              <m:t>1</m:t>
            </m:r>
            <m:r>
              <m:rPr>
                <m:sty m:val="p"/>
              </m:rPr>
              <m:t>+</m:t>
            </m:r>
          </m:sub>
        </m:sSub>
      </m:oMath>
      <w:r>
        <w:t xml:space="preserve">: admitting it</w:t>
      </w:r>
      <w:r>
        <w:t xml:space="preserve"> </w:t>
      </w:r>
      <w:r>
        <w:t xml:space="preserve">would raise the Haiku oracle from</w:t>
      </w:r>
      <w:r>
        <w:t xml:space="preserve"> </w:t>
      </w:r>
      <m:oMath>
        <m:r>
          <m:t>82.5</m:t>
        </m:r>
      </m:oMath>
      <w:r>
        <w:t xml:space="preserve"> </w:t>
      </w:r>
      <w:r>
        <w:t xml:space="preserve">to</w:t>
      </w:r>
      <w:r>
        <w:t xml:space="preserve"> </w:t>
      </w:r>
      <m:oMath>
        <m:r>
          <m:t>95.0</m:t>
        </m:r>
      </m:oMath>
      <w:r>
        <w:t xml:space="preserve">, almost all of that from the encoding cell</w:t>
      </w:r>
      <w:r>
        <w:t xml:space="preserve"> </w:t>
      </w:r>
      <w:r>
        <w:t xml:space="preserve">(worth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 while importing</w:t>
      </w:r>
      <w:r>
        <w:t xml:space="preserve"> </w:t>
      </w:r>
      <w:r>
        <w:t xml:space="preserve">the API collapse the same arm causes.</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with the standing of that column set out in the text. It is not a ceiling over all selection policies, since it excludes W_{1+}: admitting it would raise the Haiku oracle from 82.5 to 95.0, almost all of that from the encoding cell (worth 11.25 points of the four-cell mean against 1.25 from the trap cell), while importing the API collapse the same arm cause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5"/>
    <w:p>
      <w:pPr>
        <w:pStyle w:val="BodyText"/>
      </w:pPr>
      <w:bookmarkStart w:id="96" w:name="tab:policies"/>
      <w:bookmarkEnd w:id="96"/>
    </w:p>
    <w:bookmarkStart w:id="97"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see Table 5 and the text for what that</w:t>
      </w:r>
      <w:r>
        <w:t xml:space="preserve"> </w:t>
      </w:r>
      <w:r>
        <w:t xml:space="preserve">column does and does not claim.</w:t>
      </w:r>
    </w:p>
    <w:bookmarkEnd w:id="97"/>
    <w:p>
      <w:pPr>
        <w:pStyle w:val="BodyText"/>
      </w:pPr>
      <w:r>
        <w:t xml:space="preserve">Table 5 shows three differences between the evaluated selection policies, and</w:t>
      </w:r>
      <w:r>
        <w:t xml:space="preserve"> </w:t>
      </w:r>
      <w:r>
        <w:t xml:space="preserve">these matter more than the magnitudes.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8" w:name="what-follows-for-practice."/>
    <w:p>
      <w:pPr>
        <w:pStyle w:val="Heading4"/>
      </w:pPr>
      <w:r>
        <w:t xml:space="preserve">What follows for practice.</w:t>
      </w:r>
    </w:p>
    <w:p>
      <w:pPr>
        <w:pStyle w:val="FirstParagraph"/>
      </w:pPr>
      <w:r>
        <w:t xml:space="preserve">Four statements hold under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and no</w:t>
      </w:r>
      <w:r>
        <w:t xml:space="preserve"> </w:t>
      </w:r>
      <w:r>
        <w:t xml:space="preserve">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8"/>
    <w:bookmarkEnd w:id="99"/>
    <w:bookmarkEnd w:id="100"/>
    <w:bookmarkStart w:id="115"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4"/>
    <w:bookmarkStart w:id="105"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analysis and interpretation,</w:t>
      </w:r>
      <w:r>
        <w:t xml:space="preserve"> </w:t>
      </w:r>
      <w:r>
        <w:t xml:space="preserve">drafting and revising the manuscript, LaTeX formatting, and additional Codex-assisted</w:t>
      </w:r>
      <w:r>
        <w:t xml:space="preserve"> </w:t>
      </w:r>
      <w:r>
        <w:t xml:space="preserve">consistency checks of the manuscript against the released measurement records. The authors have</w:t>
      </w:r>
      <w:r>
        <w:t xml:space="preserve"> </w:t>
      </w:r>
      <w:r>
        <w:t xml:space="preserve">reviewed and edited the output and take full responsibility for the content of this publication.</w:t>
      </w:r>
      <w:r>
        <w:t xml:space="preserve"> </w:t>
      </w:r>
      <w:r>
        <w:t xml:space="preserve">The work spans many sessions and the assistant version in use was not logged throughout, so we</w:t>
      </w:r>
      <w:r>
        <w:t xml:space="preserve"> </w:t>
      </w:r>
      <w:r>
        <w:t xml:space="preserve">identify the tools by family rather than assert version strings we did not record. The authors</w:t>
      </w:r>
      <w:r>
        <w:t xml:space="preserve"> </w:t>
      </w:r>
      <w:r>
        <w:t xml:space="preserve">inspected code changes, executed the experiments, verified outputs against frozen manifests and</w:t>
      </w:r>
      <w:r>
        <w:t xml:space="preserve"> </w:t>
      </w:r>
      <w:r>
        <w:t xml:space="preserve">source files, and checked cited sources.</w:t>
      </w:r>
    </w:p>
    <w:bookmarkEnd w:id="122"/>
    <w:bookmarkStart w:id="123" w:name="conflicts-of-interest"/>
    <w:p>
      <w:pPr>
        <w:pStyle w:val="Heading1"/>
      </w:pPr>
      <w:r>
        <w:t xml:space="preserve">Conflicts of Interest</w:t>
      </w:r>
    </w:p>
    <w:p>
      <w:pPr>
        <w:pStyle w:val="FirstParagraph"/>
      </w:pPr>
      <w:r>
        <w:t xml:space="preserve">The authors declare no conflict of interest.</w:t>
      </w:r>
    </w:p>
    <w:bookmarkEnd w:id="123"/>
    <w:bookmarkStart w:id="124"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4"/>
    <w:bookmarkStart w:id="136" w:name="app:proofs"/>
    <w:p>
      <w:pPr>
        <w:pStyle w:val="Heading1"/>
      </w:pPr>
      <w:r>
        <w:t xml:space="preserve">Deferred proofs and technical material</w:t>
      </w:r>
    </w:p>
    <w:bookmarkStart w:id="125"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5"/>
    <w:bookmarkStart w:id="126"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6"/>
    <w:bookmarkStart w:id="127"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7"/>
    <w:bookmarkStart w:id="128"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relation-to-llm-evaluation-statistics"/>
    <w:p>
      <w:pPr>
        <w:pStyle w:val="Heading2"/>
      </w:pPr>
      <w:r>
        <w:t xml:space="preserve">Relation to LLM-evaluation statistics</w:t>
      </w:r>
    </w:p>
    <w:bookmarkStart w:id="133"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3"/>
    <w:bookmarkEnd w:id="134"/>
    <w:bookmarkStart w:id="135"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5"/>
    <w:bookmarkEnd w:id="136"/>
    <w:bookmarkStart w:id="142" w:name="app:record"/>
    <w:p>
      <w:pPr>
        <w:pStyle w:val="Heading1"/>
      </w:pPr>
      <w:r>
        <w:t xml:space="preserve">Extended experimental record</w:t>
      </w:r>
    </w:p>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7"/>
    <w:bookmarkStart w:id="13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Without that knowledge, forcing the superset is verified harmful, and supplying it</w:t>
      </w:r>
      <w:r>
        <w:t xml:space="preserve"> </w:t>
      </w:r>
      <w:r>
        <w:t xml:space="preserve">requires the coordinate structure the partial order formalizes.</w:t>
      </w:r>
    </w:p>
    <w:bookmarkEnd w:id="139"/>
    <w:bookmarkStart w:id="140"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40"/>
    <w:bookmarkEnd w:id="141"/>
    <w:bookmarkEnd w:id="142"/>
    <w:bookmarkStart w:id="146"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4"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3"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3"/>
    <w:p>
      <w:pPr>
        <w:pStyle w:val="BodyText"/>
      </w:pPr>
      <w:r>
        <w:t xml:space="preserve">We screened the retained responses for extraction failures, missing imports, and explicit</w:t>
      </w:r>
      <w:r>
        <w:t xml:space="preserve"> </w:t>
      </w:r>
      <w:r>
        <w:t xml:space="preserve">refusals.</w:t>
      </w:r>
      <w:r>
        <w:t xml:space="preserve"> </w:t>
      </w:r>
      <w:r>
        <w:rPr>
          <w:i/>
          <w:iCs/>
        </w:rPr>
        <w:t xml:space="preserve">Extraction and imports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The screens do not identify a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4"/>
    <w:bookmarkStart w:id="145"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5"/>
    <w:bookmarkEnd w:id="146"/>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91"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90"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5">
        <w:r>
          <w:rPr>
            <w:rStyle w:val="Hyperlink"/>
          </w:rPr>
          <w:t xml:space="preserve">https://arxiv.org/abs/2002.08909</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2026-09-10T04:05:12Z</dcterms:created>
  <dcterms:modified xsi:type="dcterms:W3CDTF">2026-09-10T04:05:12Z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