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relevance score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 A</w:t>
      </w:r>
      <w:r>
        <w:t xml:space="preserve"> </w:t>
      </w:r>
      <w:r>
        <w:t xml:space="preserve">companion paper gives the selection rule this implies; scaling it to large</w:t>
      </w:r>
      <w:r>
        <w:t xml:space="preserve"> </w:t>
      </w:r>
      <w:r>
        <w:t xml:space="preserve">corpora is the main open problem.</w:t>
      </w:r>
    </w:p>
    <w:bookmarkStart w:id="18"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what is new is applying it to context selection, reading cross-task</w:t>
      </w:r>
      <w:r>
        <w:t xml:space="preserve"> </w:t>
      </w:r>
      <w:r>
        <w:t xml:space="preserve">non-transfer as a partial order, and giving a test that checks it on a real model</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(§7.4.2).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2 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 operator</w:t>
      </w:r>
      <w:r>
        <w:t xml:space="preserve"> </w:t>
      </w:r>
      <m:oMath>
        <m:r>
          <m:t> </m:t>
        </m:r>
        <m:r>
          <m:rPr>
            <m:sty m:val="p"/>
          </m:rPr>
          <m:t>+</m:t>
        </m:r>
        <m:r>
          <m:rPr>
            <m:sty m:val="p"/>
          </m:rPr>
          <m:t>+</m:t>
        </m:r>
        <m:r>
          <m:t> </m:t>
        </m:r>
      </m:oMath>
      <w:r>
        <w:t xml:space="preserve"> </w:t>
      </w:r>
      <w:r>
        <w:t xml:space="preserve">is text concatenation:</w:t>
      </w:r>
      <w:r>
        <w:t xml:space="preserve"> </w:t>
      </w:r>
      <m:oMath>
        <m:sSub>
          <m:e>
            <m:r>
              <m:t>W</m:t>
            </m:r>
          </m:e>
          <m:sub>
            <m:r>
              <m:t>2</m:t>
            </m:r>
          </m:sub>
        </m:sSub>
      </m:oMath>
      <w:r>
        <w:t xml:space="preserve">’s note followed by</w:t>
      </w:r>
      <w:r>
        <w:t xml:space="preserve"> </w:t>
      </w:r>
      <m:oMath>
        <m:sSub>
          <m:e>
            <m:r>
              <m:t>W</m:t>
            </m:r>
          </m:e>
          <m:sub>
            <m:r>
              <m:t>1</m:t>
            </m:r>
          </m:sub>
        </m:sSub>
      </m:oMath>
      <w:r>
        <w:t xml:space="preserve">’s),</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verified upper bound</w:t>
      </w:r>
      <w:r>
        <w:t xml:space="preserve"> </w:t>
      </w:r>
      <m:oMath>
        <m:r>
          <m:rPr>
            <m:sty m:val="p"/>
          </m:rPr>
          <m:t>≤</m:t>
        </m:r>
        <m:r>
          <m:rPr>
            <m:sty m:val="p"/>
          </m:rPr>
          <m:t>−</m:t>
        </m:r>
        <m:r>
          <m:t>0.69</m:t>
        </m:r>
      </m:oMath>
      <w:r>
        <w:t xml:space="preserve">); GPT-5.5 verifies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verification clears on at least one</w:t>
      </w:r>
      <w:r>
        <w:t xml:space="preserve"> </w:t>
      </w:r>
      <w:r>
        <w:t xml:space="preserve">cell for five of six models (Opus reproduces the collapse,</w:t>
      </w:r>
      <w:r>
        <w:t xml:space="preserve"> </w:t>
      </w:r>
      <m:oMath>
        <m:r>
          <m:t>100</m:t>
        </m:r>
        <m:r>
          <m:rPr>
            <m:sty m:val="p"/>
          </m:rPr>
          <m:t>%</m:t>
        </m:r>
        <m:r>
          <m:rPr>
            <m:sty m:val="p"/>
          </m:rPr>
          <m:t>→</m:t>
        </m:r>
        <m:r>
          <m:t>38</m:t>
        </m:r>
        <m:r>
          <m:rPr>
            <m:sty m:val="p"/>
          </m:rPr>
          <m:t>%</m:t>
        </m:r>
      </m:oMath>
      <w:r>
        <w:t xml:space="preserve">,</w:t>
      </w:r>
      <w:r>
        <w:t xml:space="preserve"> </w:t>
      </w:r>
      <w:r>
        <w:t xml:space="preserve">but its milder drop and partly-guessable baseline keep it below the bar;</w:t>
      </w:r>
      <w:r>
        <w:t xml:space="preserve"> </w:t>
      </w:r>
      <w:r>
        <w:t xml:space="preserve">§7.4.3).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2), with the query-conditioned topical case isolated separately</w:t>
      </w:r>
      <w:r>
        <w:t xml:space="preserve"> </w:t>
      </w:r>
      <w:r>
        <w:t xml:space="preserve">(Proposition 2). Information retrieval has long argued that no single</w:t>
      </w:r>
      <w:r>
        <w:t xml:space="preserve"> </w:t>
      </w:r>
      <w:r>
        <w:t xml:space="preserve">fixed document score is optimal once documents interact (§2.1); we derive the</w:t>
      </w:r>
      <w:r>
        <w:t xml:space="preserve"> </w:t>
      </w:r>
      <w:r>
        <w:t xml:space="preserve">impossibility as a theorem in the Blackwell frame.</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§8.6.</w:t>
      </w:r>
    </w:p>
    <w:bookmarkEnd w:id="14"/>
    <w:bookmarkStart w:id="15" w:name="roadmap."/>
    <w:p>
      <w:pPr>
        <w:pStyle w:val="Heading4"/>
      </w:pPr>
      <w:r>
        <w:t xml:space="preserve">Roadmap.</w:t>
      </w:r>
    </w:p>
    <w:p>
      <w:pPr>
        <w:pStyle w:val="FirstParagraph"/>
      </w:pPr>
      <w:r>
        <w:t xml:space="preserve">§2 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§3 gives the latent-coordinate experiment</w:t>
      </w:r>
      <w:r>
        <w:t xml:space="preserve"> </w:t>
      </w:r>
      <w:r>
        <w:t xml:space="preserve">model and defines</w:t>
      </w:r>
      <w:r>
        <w:t xml:space="preserve"> </w:t>
      </w:r>
      <m:oMath>
        <m:r>
          <m:t>θ</m:t>
        </m:r>
      </m:oMath>
      <w:r>
        <w:t xml:space="preserve">. §4 develops the partial order, the</w:t>
      </w:r>
      <w:r>
        <w:t xml:space="preserve"> </w:t>
      </w:r>
      <m:oMath>
        <m:sSub>
          <m:e>
            <m:r>
              <m:t>δ</m:t>
            </m:r>
          </m:e>
          <m:sub>
            <m:r>
              <m:t>M</m:t>
            </m:r>
          </m:sub>
        </m:sSub>
      </m:oMath>
      <w:r>
        <w:t xml:space="preserve">-restricted order, the non-refinement construction, and the bridging lemma, and §5 proves</w:t>
      </w:r>
      <w:r>
        <w:t xml:space="preserve"> </w:t>
      </w:r>
      <w:r>
        <w:t xml:space="preserve">the source-level incomparability statement and isolates the query-conditioned</w:t>
      </w:r>
      <w:r>
        <w:t xml:space="preserve"> </w:t>
      </w:r>
      <w:r>
        <w:t xml:space="preserve">case (C1). §6 defines the surrogate, the uniform verification,</w:t>
      </w:r>
      <w:r>
        <w:t xml:space="preserve"> </w:t>
      </w:r>
      <w:r>
        <w:t xml:space="preserve">and the interference verification, and relates the surrogate to the true Le Cam</w:t>
      </w:r>
      <w:r>
        <w:t xml:space="preserve"> </w:t>
      </w:r>
      <w:r>
        <w:t xml:space="preserve">deficiency (C2). §7 reports the six-model program with full</w:t>
      </w:r>
      <w:r>
        <w:t xml:space="preserve"> </w:t>
      </w:r>
      <w:r>
        <w:t xml:space="preserve">per-cell tables (C3). §8.6 states threats to validity and</w:t>
      </w:r>
      <w:r>
        <w:t xml:space="preserve"> </w:t>
      </w:r>
      <w:r>
        <w:t xml:space="preserve">scope, and §9 concludes. Proofs of the two central impossibility results</w:t>
      </w:r>
      <w:r>
        <w:t xml:space="preserve"> </w:t>
      </w:r>
      <w:r>
        <w:t xml:space="preserve">(Theorem 2, Proposition 2) accompany their</w:t>
      </w:r>
      <w:r>
        <w:t xml:space="preserve"> </w:t>
      </w:r>
      <w:r>
        <w:t xml:space="preserve">statements; the remaining proofs and technical material are deferred to</w:t>
      </w:r>
      <w:r>
        <w:t xml:space="preserve"> </w:t>
      </w:r>
      <w:r>
        <w:t xml:space="preserve">Appendix A, the extended experimental record to Appendix B, and</w:t>
      </w:r>
      <w:r>
        <w:t xml:space="preserve"> </w:t>
      </w:r>
      <w:r>
        <w:t xml:space="preserve">protocol and artifact details to Appendix C. Every reference has been verified</w:t>
      </w:r>
      <w:r>
        <w:t xml:space="preserve"> </w:t>
      </w:r>
      <w:r>
        <w:t xml:space="preserve">against arXiv/DBLP/publisher records, and the two impossibility results are machine-checked in</w:t>
      </w:r>
      <w:r>
        <w:t xml:space="preserve"> </w:t>
      </w:r>
      <w:r>
        <w:t xml:space="preserve">Lean 4 (Remark 3).</w:t>
      </w:r>
    </w:p>
    <w:bookmarkEnd w:id="15"/>
    <w:bookmarkStart w:id="17"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6"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Ψ</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6"/>
    <w:bookmarkEnd w:id="17"/>
    <w:bookmarkEnd w:id="18"/>
    <w:bookmarkStart w:id="28" w:name="sec:related"/>
    <w:p>
      <w:pPr>
        <w:pStyle w:val="Heading1"/>
      </w:pPr>
      <w:r>
        <w:t xml:space="preserve">Related Work</w:t>
      </w:r>
    </w:p>
    <w:bookmarkStart w:id="19"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(§4).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(§5),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(§2.1).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(§6). We</w:t>
      </w:r>
      <w:r>
        <w:t xml:space="preserve"> </w:t>
      </w:r>
      <w:r>
        <w:t xml:space="preserve">know of no prior work that uses the comparison of experiments to choose a language model’s context</w:t>
      </w:r>
      <w:r>
        <w:t xml:space="preserve"> </w:t>
      </w:r>
      <w:r>
        <w:t xml:space="preserve">at inference time.</w:t>
      </w:r>
    </w:p>
    <w:bookmarkEnd w:id="19"/>
    <w:bookmarkStart w:id="21" w:name="sec:related-scalar"/>
    <w:p>
      <w:pPr>
        <w:pStyle w:val="Heading2"/>
      </w:pPr>
      <w:r>
        <w:t xml:space="preserve">Scalar selection and its limits in information retrieval</w:t>
      </w:r>
    </w:p>
    <w:p>
      <w:pPr>
        <w:pStyle w:val="FirstParagraph"/>
      </w:pPr>
      <w:bookmarkStart w:id="20" w:name="sec:related-ir"/>
      <w:bookmarkEnd w:id="20"/>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w:t>
      </w:r>
      <w:r>
        <w:t xml:space="preserve"> </w:t>
      </w:r>
      <w:r>
        <w:t xml:space="preserve">demonstration valuation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and binary sufficient-context</w:t>
      </w:r>
      <w:r>
        <w:t xml:space="preserve"> </w:t>
      </w:r>
      <w:r>
        <w:t xml:space="preserve">detection </w:t>
      </w:r>
      <w:r>
        <w:t xml:space="preserve">(</w:t>
      </w:r>
      <w:hyperlink w:anchor="ref-sufficientcontext2024">
        <w:r>
          <w:rPr>
            <w:rStyle w:val="Hyperlink"/>
          </w:rPr>
          <w:t xml:space="preserve">Joren et al. 2024</w:t>
        </w:r>
      </w:hyperlink>
      <w:r>
        <w:t xml:space="preserve">)</w:t>
      </w:r>
      <w:r>
        <w:t xml:space="preserve">. Each collapses the comparison of two sources to one real</w:t>
      </w:r>
      <w:r>
        <w:t xml:space="preserve"> </w:t>
      </w:r>
      <w:r>
        <w:t xml:space="preserve">number and is therefore a scalar of the kind the paper rules out</w:t>
      </w:r>
      <w:r>
        <w:t xml:space="preserve"> </w:t>
      </w:r>
      <w:r>
        <w:t xml:space="preserve">(Theorem 2 for query-independent scores,</w:t>
      </w:r>
      <w:r>
        <w:t xml:space="preserve"> </w:t>
      </w:r>
      <w:r>
        <w:t xml:space="preserve">Proposition 2 for topical query-conditioned ones): not a</w:t>
      </w:r>
      <w:r>
        <w:t xml:space="preserve"> </w:t>
      </w:r>
      <w:r>
        <w:t xml:space="preserve">competitor to out-perform but an instance of the excluded class (we prove</w:t>
      </w:r>
      <w:r>
        <w:t xml:space="preserve"> </w:t>
      </w:r>
      <w:r>
        <w:t xml:space="preserve">Blackwell-monotonicity for the closest neighbour,</w:t>
      </w:r>
      <w:r>
        <w:t xml:space="preserve"> </w:t>
      </w:r>
      <m:oMath>
        <m:r>
          <m:rPr>
            <m:scr m:val="script"/>
            <m:sty m:val="p"/>
          </m:rPr>
          <m:t>V</m:t>
        </m:r>
      </m:oMath>
      <w:r>
        <w:t xml:space="preserve">-usable information, in</w:t>
      </w:r>
      <w:r>
        <w:t xml:space="preserve"> </w:t>
      </w:r>
      <w:r>
        <w:t xml:space="preserve">Proposition 1, and conjecture it for the rest). Two families sit at the</w:t>
      </w:r>
      <w:r>
        <w:t xml:space="preserve"> </w:t>
      </w:r>
      <w:r>
        <w:t xml:space="preserve">boundary of the class. Listwise LLM rerankers </w:t>
      </w:r>
      <w:r>
        <w:t xml:space="preserve">(</w:t>
      </w:r>
      <w:hyperlink w:anchor="ref-sun2023rankgpt">
        <w:r>
          <w:rPr>
            <w:rStyle w:val="Hyperlink"/>
          </w:rPr>
          <w:t xml:space="preserve">Sun et al. 2023</w:t>
        </w:r>
      </w:hyperlink>
      <w:r>
        <w:t xml:space="preserve">)</w:t>
      </w:r>
      <w:r>
        <w:t xml:space="preserve"> </w:t>
      </w:r>
      <w:r>
        <w:t xml:space="preserve">are query-conditioned</w:t>
      </w:r>
      <w:r>
        <w:t xml:space="preserve"> </w:t>
      </w:r>
      <w:r>
        <w:rPr>
          <w:i/>
          <w:iCs/>
        </w:rPr>
        <w:t xml:space="preserve">set</w:t>
      </w:r>
      <w:r>
        <w:t xml:space="preserve"> </w:t>
      </w:r>
      <w:r>
        <w:t xml:space="preserve">functions, outside the theorem’s scope, though they carry no dominance guarantee of any</w:t>
      </w:r>
      <w:r>
        <w:t xml:space="preserve"> </w:t>
      </w:r>
      <w:r>
        <w:t xml:space="preserve">kind; and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optimizes set</w:t>
      </w:r>
      <w:r>
        <w:t xml:space="preserve"> </w:t>
      </w:r>
      <w:r>
        <w:t xml:space="preserve">objectives over embedding geometry, whose partial-order-grounded analogue (verified coverage of</w:t>
      </w:r>
      <w:r>
        <w:t xml:space="preserve"> </w:t>
      </w:r>
      <w:r>
        <w:t xml:space="preserve">latent coordinates) we develop in a companion paper.</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the LLM-era version,</w:t>
      </w:r>
      <w:r>
        <w:t xml:space="preserve"> </w:t>
      </w:r>
      <w:r>
        <w:t xml:space="preserve">relevance-maximizing retrieval degrading answer quality, is measured</w:t>
      </w:r>
      <w:r>
        <w:t xml:space="preserve"> </w:t>
      </w:r>
      <w:r>
        <w:t xml:space="preserve">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 is the</w:t>
      </w:r>
      <w:r>
        <w:t xml:space="preserve"> </w:t>
      </w:r>
      <w:r>
        <w:rPr>
          <w:i/>
          <w:iCs/>
        </w:rPr>
        <w:t xml:space="preserve">form</w:t>
      </w:r>
      <w:r>
        <w:t xml:space="preserve"> </w:t>
      </w:r>
      <w:r>
        <w:t xml:space="preserve">of the statement:</w:t>
      </w:r>
      <w:r>
        <w:t xml:space="preserve"> </w:t>
      </w:r>
      <w:r>
        <w:t xml:space="preserve">the failure becomes a theorem in the comparison-of-experiments frame, with the precise structural</w:t>
      </w:r>
      <w:r>
        <w:t xml:space="preserve"> </w:t>
      </w:r>
      <w:r>
        <w:t xml:space="preserve">condition, Blackwell incomparability, under which every query-independent scalar must mis-rank,</w:t>
      </w:r>
      <w:r>
        <w:t xml:space="preserve"> </w:t>
      </w:r>
      <w:r>
        <w:t xml:space="preserve">and a verified live instance on six production models.</w:t>
      </w:r>
    </w:p>
    <w:bookmarkEnd w:id="21"/>
    <w:bookmarkStart w:id="22"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F. 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We do not claim to discover this genus. Our</w:t>
      </w:r>
      <w:r>
        <w:t xml:space="preserve"> </w:t>
      </w:r>
      <w:r>
        <w:t xml:space="preserve">anti-monotonicity finding contributes its order-theoretic form: a strict</w:t>
      </w:r>
      <w:r>
        <w:t xml:space="preserve"> </w:t>
      </w:r>
      <w:r>
        <w:rPr>
          <w:i/>
          <w:iCs/>
        </w:rPr>
        <w:t xml:space="preserve">superset</w:t>
      </w:r>
      <w:r>
        <w:t xml:space="preserve"> </w:t>
      </w:r>
      <w:r>
        <w:t xml:space="preserve">of a</w:t>
      </w:r>
      <w:r>
        <w:t xml:space="preserve"> </w:t>
      </w:r>
      <w:r>
        <w:t xml:space="preserve">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interference verification with position, length, and routing controls; the</w:t>
      </w:r>
      <w:r>
        <w:t xml:space="preserve"> </w:t>
      </w:r>
      <w:r>
        <w:t xml:space="preserve">algebraic object</w:t>
      </w:r>
      <w:r>
        <w:t xml:space="preserve"> </w:t>
      </w:r>
      <m:oMath>
        <m:sSub>
          <m:e>
            <m:r>
              <m:rPr>
                <m:sty m:val="p"/>
              </m:rPr>
              <m:t>Ψ</m:t>
            </m:r>
          </m:e>
          <m:sub>
            <m:r>
              <m:t>T</m:t>
            </m:r>
          </m:sub>
        </m:sSub>
        <m:r>
          <m:rPr>
            <m:sty m:val="p"/>
          </m:rPr>
          <m:t>&lt;</m:t>
        </m:r>
        <m:r>
          <m:t>0</m:t>
        </m:r>
      </m:oMath>
      <w:r>
        <w:t xml:space="preserve"> </w:t>
      </w:r>
      <w:r>
        <w:t xml:space="preserve">is one no monotone-submodular context-value scalar can carry.</w:t>
      </w:r>
      <w:r>
        <w:t xml:space="preserve"> </w:t>
      </w:r>
      <w:r>
        <w:t xml:space="preserve">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2"/>
    <w:bookmarkStart w:id="25" w:name="sec:related-deficiency"/>
    <w:p>
      <w:pPr>
        <w:pStyle w:val="Heading2"/>
      </w:pPr>
      <w:r>
        <w:t xml:space="preserve">The comparison of experiments in machine learning</w:t>
      </w:r>
    </w:p>
    <w:p>
      <w:pPr>
        <w:pStyle w:val="FirstParagraph"/>
      </w:pPr>
      <w:bookmarkStart w:id="23" w:name="sec:related-llmrep"/>
      <w:bookmarkEnd w:id="23"/>
      <w:bookmarkStart w:id="24" w:name="sec:related-foundations"/>
      <w:bookmarkEnd w:id="24"/>
    </w:p>
    <w:p>
      <w:pPr>
        <w:pStyle w:val="BodyText"/>
      </w:pPr>
      <w:r>
        <w:t xml:space="preserve">The Blackwell–Le Cam apparatus has entered machine learning, but never for inference-time</w:t>
      </w:r>
      <w:r>
        <w:t xml:space="preserve"> </w:t>
      </w:r>
      <w:r>
        <w:t xml:space="preserve">context. The closest work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w:t>
      </w:r>
      <w:hyperlink w:anchor="ref-bradley2024garbling">
        <w:r>
          <w:rPr>
            <w:rStyle w:val="Hyperlink"/>
          </w:rPr>
          <w:t xml:space="preserve">Bradley 2024</w:t>
        </w:r>
      </w:hyperlink>
      <w:r>
        <w:t xml:space="preserve">)</w:t>
      </w:r>
      <w:r>
        <w:t xml:space="preserve">, statistical deficiency</w:t>
      </w:r>
      <w:r>
        <w:t xml:space="preserve"> </w:t>
      </w:r>
      <w:r>
        <w:t xml:space="preserve">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comparison-of-experiments ideas in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and a survey of Blackwell’s theorems for AI </w:t>
      </w:r>
      <w:r>
        <w:t xml:space="preserve">(</w:t>
      </w:r>
      <w:hyperlink w:anchor="ref-blackwellrep2026">
        <w:r>
          <w:rPr>
            <w:rStyle w:val="Hyperlink"/>
          </w:rPr>
          <w:t xml:space="preserve">Paxton 2026</w:t>
        </w:r>
      </w:hyperlink>
      <w:r>
        <w:t xml:space="preserve">)</w:t>
      </w:r>
      <w:r>
        <w:t xml:space="preserve">.</w:t>
      </w:r>
      <w:r>
        <w:t xml:space="preserve"> </w:t>
      </w:r>
      <w:r>
        <w:t xml:space="preserve">To our knowledge none states a Blackwell partial order over context sources, derives the</w:t>
      </w:r>
      <w:r>
        <w:t xml:space="preserve"> </w:t>
      </w:r>
      <w:r>
        <w:t xml:space="preserve">no-scalar-ranks consequence for language models, or supplies a verified decision-restricted</w:t>
      </w:r>
      <w:r>
        <w:t xml:space="preserve"> </w:t>
      </w:r>
      <w:r>
        <w:t xml:space="preserve">estimator, the three new pieces here.</w:t>
      </w:r>
    </w:p>
    <w:bookmarkEnd w:id="25"/>
    <w:bookmarkStart w:id="27"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and it is why we frame the problem as we</w:t>
      </w:r>
      <w:r>
        <w:t xml:space="preserve"> </w:t>
      </w:r>
      <w:r>
        <w:t xml:space="preserve">do. Every method cheap enough to run at retrieval scale emits a final scalar and therefore lives in</w:t>
      </w:r>
      <w:r>
        <w:t xml:space="preserve"> </w:t>
      </w:r>
      <w:r>
        <w:t xml:space="preserve">a total order, including multi-vector late interaction </w:t>
      </w:r>
      <w:r>
        <w:t xml:space="preserve">(</w:t>
      </w:r>
      <w:hyperlink w:anchor="ref-khattab2020colbert">
        <w:r>
          <w:rPr>
            <w:rStyle w:val="Hyperlink"/>
          </w:rPr>
          <w:t xml:space="preserve">Khattab and Zaharia 2020</w:t>
        </w:r>
      </w:hyperlink>
      <w:r>
        <w:t xml:space="preserve">)</w:t>
      </w:r>
      <w:r>
        <w:t xml:space="preserve">, whose per-token</w:t>
      </w:r>
      <w:r>
        <w:t xml:space="preserve"> </w:t>
      </w:r>
      <w:r>
        <w:t xml:space="preserve">match is query-dependent but still collapses to one document score, and retrievers trained on the</w:t>
      </w:r>
      <w:r>
        <w:t xml:space="preserve"> </w:t>
      </w:r>
      <w:r>
        <w:t xml:space="preserve">language model’s own likelihood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r>
        <w:t xml:space="preserve">, which amortize</w:t>
      </w:r>
      <w:r>
        <w:t xml:space="preserve"> </w:t>
      </w:r>
      <w:r>
        <w:t xml:space="preserve">“value to the</w:t>
      </w:r>
      <w:r>
        <w:t xml:space="preserve"> </w:t>
      </w:r>
      <w:r>
        <w:t xml:space="preserve">model”</w:t>
      </w:r>
      <w:r>
        <w:t xml:space="preserve"> </w:t>
      </w:r>
      <w:r>
        <w:t xml:space="preserve">into a</w:t>
      </w:r>
      <w:r>
        <w:t xml:space="preserve"> </w:t>
      </w:r>
      <w:r>
        <w:rPr>
          <w:i/>
          <w:iCs/>
        </w:rPr>
        <w:t xml:space="preserve">number</w:t>
      </w:r>
      <w:r>
        <w:t xml:space="preserve"> </w:t>
      </w:r>
      <w:r>
        <w:t xml:space="preserve">rather than the non-domination relation and so inherit the limitation</w:t>
      </w:r>
      <w:r>
        <w:t xml:space="preserve"> </w:t>
      </w:r>
      <w:r>
        <w:t xml:space="preserve">of Theorem 2. Every method that genuinely models interaction is in turn either</w:t>
      </w:r>
      <w:r>
        <w:t xml:space="preserve"> </w:t>
      </w:r>
      <w:r>
        <w:t xml:space="preserve">symmetric redundancy over embedding geometry (MMR, DPPs, submodular coverage), carries no dominance</w:t>
      </w:r>
      <w:r>
        <w:t xml:space="preserve"> </w:t>
      </w:r>
      <w:r>
        <w:t xml:space="preserve">guarantee (listwise rerankers), or is as costly as direct probing (Shapley valuation, expected</w:t>
      </w:r>
      <w:r>
        <w:t xml:space="preserve"> </w:t>
      </w:r>
      <w:r>
        <w:t xml:space="preserve">information gain). No prior row is both cheap and partial-order-faithful; that empty cell is the open</w:t>
      </w:r>
      <w:r>
        <w:t xml:space="preserve"> </w:t>
      </w:r>
      <w:r>
        <w:t xml:space="preserve">problem this paper isolates. We occupy the last row, paying probe cost for the guarantee, and leave</w:t>
      </w:r>
      <w:r>
        <w:t xml:space="preserve"> </w:t>
      </w:r>
      <w:r>
        <w:t xml:space="preserve">its amortization as the central open question.</w:t>
      </w:r>
    </w:p>
    <w:bookmarkStart w:id="26"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 Only the last row represents incomparability,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Only the last row represents incomparability,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w:t>
            </w:r>
            <w:hyperlink w:anchor="ref-robertson1977">
              <w:r>
                <w:rPr>
                  <w:rStyle w:val="Hyperlink"/>
                </w:rPr>
                <w:t xml:space="preserve">Robertson 1977</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w:t>
            </w:r>
            <w:hyperlink w:anchor="ref-khattab2020colbert">
              <w:r>
                <w:rPr>
                  <w:rStyle w:val="Hyperlink"/>
                </w:rPr>
                <w:t xml:space="preserve">Khattab and Zaharia 2020</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w:t>
            </w:r>
            <w:hyperlink w:anchor="ref-carbonell1998">
              <w:r>
                <w:rPr>
                  <w:rStyle w:val="Hyperlink"/>
                </w:rPr>
                <w:t xml:space="preserve">Carbonell and Goldstein 1998</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w:t>
            </w:r>
            <w:hyperlink w:anchor="ref-ye2023ceil">
              <w:r>
                <w:rPr>
                  <w:rStyle w:val="Hyperlink"/>
                </w:rPr>
                <w:t xml:space="preserve">Ye et al. 2023</w:t>
              </w:r>
            </w:hyperlink>
            <w:r>
              <w:t xml:space="preserve">;</w:t>
            </w:r>
            <w:r>
              <w:t xml:space="preserve"> </w:t>
            </w:r>
            <w:hyperlink w:anchor="ref-huang2025gammacover">
              <w:r>
                <w:rPr>
                  <w:rStyle w:val="Hyperlink"/>
                </w:rPr>
                <w:t xml:space="preserve">Huang 2025</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w:t>
            </w:r>
            <w:hyperlink w:anchor="ref-demoshapley2024">
              <w:r>
                <w:rPr>
                  <w:rStyle w:val="Hyperlink"/>
                </w:rPr>
                <w:t xml:space="preserve">Xie et al. 2024</w:t>
              </w:r>
            </w:hyperlink>
            <w:r>
              <w:t xml:space="preserve">)</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w:t>
            </w:r>
            <w:hyperlink w:anchor="ref-bedllm2026">
              <w:r>
                <w:rPr>
                  <w:rStyle w:val="Hyperlink"/>
                </w:rPr>
                <w:t xml:space="preserve">Choudhury et al. 2025</w:t>
              </w:r>
            </w:hyperlink>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w:t>
            </w:r>
            <w:hyperlink w:anchor="ref-sun2023rankgpt">
              <w:r>
                <w:rPr>
                  <w:rStyle w:val="Hyperlink"/>
                </w:rPr>
                <w:t xml:space="preserve">Sun et al. 2023</w:t>
              </w:r>
            </w:hyperlink>
            <w:r>
              <w:t xml:space="preserve">)</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rPr>
                <w:b/>
                <w:bCs/>
              </w:rPr>
              <w:t xml:space="preserve">Probe-Select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6"/>
    <w:bookmarkEnd w:id="27"/>
    <w:bookmarkEnd w:id="28"/>
    <w:bookmarkStart w:id="35"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1"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9"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9"/>
    <w:bookmarkStart w:id="30"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30"/>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1"/>
    <w:bookmarkStart w:id="33"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2"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2"/>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33"/>
    <w:bookmarkStart w:id="34"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4"/>
    <w:bookmarkEnd w:id="35"/>
    <w:bookmarkStart w:id="47"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40" w:name="the-order-and-its-two-registers"/>
    <w:p>
      <w:pPr>
        <w:pStyle w:val="Heading2"/>
      </w:pPr>
      <w:r>
        <w:t xml:space="preserve">The order and its two registers</w:t>
      </w:r>
    </w:p>
    <w:bookmarkStart w:id="36"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6"/>
    <w:p>
      <w:pPr>
        <w:pStyle w:val="BodyText"/>
      </w:pPr>
      <w:r>
        <w:t xml:space="preserve">The classical content of the order is the Blackwell–Sherman–Stein theorem, which we state with</w:t>
      </w:r>
      <w:r>
        <w:t xml:space="preserve"> </w:t>
      </w:r>
      <w:r>
        <w:t xml:space="preserve">hypotheses for a self-contained treatment.</w:t>
      </w:r>
    </w:p>
    <w:bookmarkStart w:id="37"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7"/>
    <w:p>
      <w:pPr>
        <w:pStyle w:val="BodyText"/>
      </w:pPr>
      <w:r>
        <w:t xml:space="preserve">This is the classical Blackwell–Sherman–Stein theorem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8"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8"/>
    <w:bookmarkStart w:id="39"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9"/>
    <w:bookmarkEnd w:id="40"/>
    <w:bookmarkStart w:id="42"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1"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1"/>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2"/>
    <w:bookmarkStart w:id="46"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3"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3"/>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4"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4"/>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5"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5"/>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6"/>
    <w:bookmarkEnd w:id="47"/>
    <w:bookmarkStart w:id="56"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3" w:name="query-independent-scores-the-theorem"/>
    <w:p>
      <w:pPr>
        <w:pStyle w:val="Heading2"/>
      </w:pPr>
      <w:r>
        <w:t xml:space="preserve">Query-independent scores: the theorem</w:t>
      </w:r>
    </w:p>
    <w:bookmarkStart w:id="48"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8"/>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9"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p>
    <w:bookmarkEnd w:id="49"/>
    <w:bookmarkStart w:id="50"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50"/>
    <w:bookmarkStart w:id="51"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1"/>
    <w:bookmarkStart w:id="52"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2"/>
    <w:bookmarkEnd w:id="53"/>
    <w:bookmarkStart w:id="55"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4"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4"/>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5), so the topical class is not a lexical strawman: its failure mode is shared by the ranker</w:t>
      </w:r>
      <w:r>
        <w:t xml:space="preserve"> </w:t>
      </w:r>
      <w:r>
        <w:t xml:space="preserve">families retrieval systems actually deploy.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5"/>
    <w:bookmarkEnd w:id="56"/>
    <w:bookmarkStart w:id="68"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8"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7"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7"/>
    <w:bookmarkEnd w:id="58"/>
    <w:bookmarkStart w:id="61"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9"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9"/>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60"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60"/>
    <w:bookmarkEnd w:id="61"/>
    <w:bookmarkStart w:id="64"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62"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w:t>
      </w:r>
    </w:p>
    <w:bookmarkEnd w:id="62"/>
    <w:bookmarkStart w:id="63" w:name="rem:leaky"/>
    <w:p>
      <w:pPr>
        <w:pStyle w:val="FirstParagraph"/>
      </w:pPr>
      <w:r>
        <w:rPr>
          <w:i/>
          <w:iCs/>
        </w:rPr>
        <w:t xml:space="preserve">Remark 6</w:t>
      </w:r>
      <w:r>
        <w:t xml:space="preserve"> </w:t>
      </w:r>
      <w:r>
        <w:t xml:space="preserve">(The leaky-baseline limitation, stated as a protocol).</w:t>
      </w:r>
      <w:r>
        <w:t xml:space="preserve"> </w:t>
      </w:r>
      <w:r>
        <w:t xml:space="preserve"> </w:t>
      </w:r>
      <w:r>
        <w:t xml:space="preserve">The upper bound (7)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(§3.3) thus governs which cells can carry the interference verification.</w:t>
      </w:r>
    </w:p>
    <w:bookmarkEnd w:id="63"/>
    <w:bookmarkEnd w:id="64"/>
    <w:bookmarkStart w:id="66"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5"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5"/>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6"/>
    <w:bookmarkStart w:id="67"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which is why the consolidated record marks Opus incomparability as verified and Opus interference as reproduced but not verified; the power analysis is in Appendix A.</w:t>
      </w:r>
    </w:p>
    <w:bookmarkEnd w:id="67"/>
    <w:bookmarkEnd w:id="68"/>
    <w:bookmarkStart w:id="109"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1"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9"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9"/>
    <w:bookmarkStart w:id="70"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70"/>
    <w:bookmarkEnd w:id="71"/>
    <w:bookmarkStart w:id="74"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2"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2"/>
    <w:bookmarkStart w:id="73"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3"/>
    <w:bookmarkEnd w:id="74"/>
    <w:bookmarkStart w:id="84" w:name="sec:methodology"/>
    <w:p>
      <w:pPr>
        <w:pStyle w:val="Heading2"/>
      </w:pPr>
      <w:r>
        <w:t xml:space="preserve">Methodology</w:t>
      </w:r>
    </w:p>
    <w:bookmarkStart w:id="75"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5"/>
    <w:bookmarkStart w:id="77"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6">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7"/>
    <w:bookmarkStart w:id="78"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8"/>
    <w:bookmarkStart w:id="79"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the family of claims is corrected by a union bound, so all verified</w:t>
      </w:r>
      <w:r>
        <w:t xml:space="preserve"> </w:t>
      </w:r>
      <w:r>
        <w:t xml:space="preserve">statements hold jointly with probability at least</w:t>
      </w:r>
      <w:r>
        <w:t xml:space="preserve"> </w:t>
      </w:r>
      <m:oMath>
        <m:r>
          <m:t>90</m:t>
        </m:r>
        <m:r>
          <m:rPr>
            <m:sty m:val="p"/>
          </m:rPr>
          <m:t>%</m:t>
        </m:r>
      </m:oMath>
      <w:r>
        <w:t xml:space="preserve">.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9"/>
    <w:bookmarkStart w:id="80"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§8.6).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80"/>
    <w:bookmarkStart w:id="81"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0.36</m:t>
        </m:r>
      </m:oMath>
      <w:r>
        <w:t xml:space="preserve"> </w:t>
      </w:r>
      <w:r>
        <w:t xml:space="preserve">to</w:t>
      </w:r>
      <w:r>
        <w:t xml:space="preserve"> </w:t>
      </w:r>
      <m:oMath>
        <m:r>
          <m:rPr>
            <m:sty m:val="p"/>
          </m:rPr>
          <m:t>−</m:t>
        </m:r>
        <m:r>
          <m:t>0.69</m:t>
        </m:r>
      </m:oMath>
      <w:r>
        <w:t xml:space="preserve"> </w:t>
      </w:r>
      <w:r>
        <w:t xml:space="preserve">(Table 6); the length-matched padding control clears it at</w:t>
      </w:r>
      <w:r>
        <w:t xml:space="preserve"> </w:t>
      </w:r>
      <m:oMath>
        <m:r>
          <m:rPr>
            <m:sty m:val="p"/>
          </m:rPr>
          <m:t>−</m:t>
        </m:r>
        <m:r>
          <m:t>0.41</m:t>
        </m:r>
      </m:oMath>
      <w:r>
        <w:t xml:space="preserve">.</w:t>
      </w:r>
      <w:r>
        <w:t xml:space="preserve"> </w:t>
      </w:r>
      <w:r>
        <w:t xml:space="preserve">Three real effects fail it and are reported as unverified rather than folded in: Opus’s milder</w:t>
      </w:r>
      <w:r>
        <w:t xml:space="preserve"> </w:t>
      </w:r>
      <w:r>
        <w:t xml:space="preserve">collapse (</w:t>
      </w:r>
      <m:oMath>
        <m:r>
          <m:t>100</m:t>
        </m:r>
        <m:r>
          <m:rPr>
            <m:sty m:val="p"/>
          </m:rPr>
          <m:t>%</m:t>
        </m:r>
        <m:r>
          <m:t>​</m:t>
        </m:r>
        <m:r>
          <m:rPr>
            <m:sty m:val="p"/>
          </m:rPr>
          <m:t>→</m:t>
        </m:r>
        <m:r>
          <m:t>​</m:t>
        </m:r>
        <m:r>
          <m:t>38</m:t>
        </m:r>
        <m:r>
          <m:rPr>
            <m:sty m:val="p"/>
          </m:rPr>
          <m:t>%</m:t>
        </m:r>
      </m:oMath>
      <w:r>
        <w:t xml:space="preserve">, upper</w:t>
      </w:r>
      <w:r>
        <w:t xml:space="preserve"> </w:t>
      </w:r>
      <m:oMath>
        <m:r>
          <m:rPr>
            <m:sty m:val="p"/>
          </m:rPr>
          <m:t>−</m:t>
        </m:r>
        <m:r>
          <m:t>0.23</m:t>
        </m:r>
      </m:oMath>
      <w:r>
        <w:t xml:space="preserve">), Haiku’s</w:t>
      </w:r>
      <w:r>
        <w:t xml:space="preserve"> </w:t>
      </w:r>
      <w:r>
        <w:rPr>
          <w:rStyle w:val="VerbatimChar"/>
        </w:rPr>
        <w:t xml:space="preserve">api_post_ok</w:t>
      </w:r>
      <w:r>
        <w:t xml:space="preserve"> </w:t>
      </w:r>
      <w:r>
        <w:t xml:space="preserve">cell (upper</w:t>
      </w:r>
      <w:r>
        <w:t xml:space="preserve"> </w:t>
      </w:r>
      <m:oMath>
        <m:r>
          <m:rPr>
            <m:sty m:val="p"/>
          </m:rPr>
          <m:t>+</m:t>
        </m:r>
        <m:r>
          <m:t>0.08</m:t>
        </m:r>
      </m:oMath>
      <w:r>
        <w:t xml:space="preserve">; a ceiling the raw-failure audit traces to an omitted import line, not to the contract, §7.5.1), and the</w:t>
      </w:r>
      <w:r>
        <w:t xml:space="preserve"> </w:t>
      </w:r>
      <w:r>
        <w:t xml:space="preserve">second-pair contrast (upper</w:t>
      </w:r>
      <w:r>
        <w:t xml:space="preserve"> </w:t>
      </w:r>
      <m:oMath>
        <m:r>
          <m:rPr>
            <m:sty m:val="p"/>
          </m:rPr>
          <m:t>−</m:t>
        </m:r>
        <m:r>
          <m:t>0.21</m:t>
        </m:r>
      </m:oMath>
      <w:r>
        <w:t xml:space="preserve">, sign-only; §7.5). A threshold that</w:t>
      </w:r>
      <w:r>
        <w:t xml:space="preserve"> </w:t>
      </w:r>
      <w:r>
        <w:t xml:space="preserve">genuine effects fail is evidence it was not tuned to pass the data.</w:t>
      </w:r>
    </w:p>
    <w:bookmarkEnd w:id="81"/>
    <w:bookmarkStart w:id="82"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2"/>
    <w:bookmarkStart w:id="83"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3"/>
    <w:bookmarkEnd w:id="84"/>
    <w:bookmarkStart w:id="104"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4, 6, and</w:t>
      </w:r>
      <w:r>
        <w:t xml:space="preserve"> </w:t>
      </w:r>
      <w:r>
        <w:t xml:space="preserve">8 give the underlying quantities.</w:t>
      </w:r>
    </w:p>
    <w:bookmarkStart w:id="85"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5"/>
    <w:bookmarkStart w:id="88"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4).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4 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86"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3).</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86"/>
    <w:bookmarkStart w:id="87"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6), so neither</w:t>
      </w:r>
      <w:r>
        <w:t xml:space="preserve"> </w:t>
      </w:r>
      <w:r>
        <w:t xml:space="preserve">cell verifies. Both facts are the same model-relative-value effect (§7.4.4): Opus</w:t>
      </w:r>
      <w:r>
        <w:t xml:space="preserve"> </w:t>
      </w:r>
      <w:r>
        <w:t xml:space="preserve">partially already knows the convention, which shrinks the harm the verification can attribute to the</w:t>
      </w:r>
      <w:r>
        <w:t xml:space="preserve"> </w:t>
      </w:r>
      <w:r>
        <w:t xml:space="preserve">added signal.</w:t>
      </w:r>
    </w:p>
    <w:bookmarkEnd w:id="87"/>
    <w:bookmarkEnd w:id="88"/>
    <w:bookmarkStart w:id="91"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90"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5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9"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9"/>
    <w:bookmarkEnd w:id="90"/>
    <w:bookmarkEnd w:id="91"/>
    <w:bookmarkStart w:id="100"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6).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§7.4.4.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Figure 1 shows the collapse across the six models.</w:t>
      </w:r>
    </w:p>
    <w:bookmarkStart w:id="92"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8).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 this cell only because about half of its replies omit the</w:t>
      </w:r>
      <w:r>
        <w:t xml:space="preserve"> </w:t>
      </w:r>
      <w:r>
        <w:rPr>
          <w:rStyle w:val="VerbatimChar"/>
        </w:rPr>
        <w:t xml:space="preserve">import ledger</w:t>
      </w:r>
      <w:r>
        <w:t xml:space="preserve"> </w:t>
      </w:r>
      <w:r>
        <w:t xml:space="preserve">line</w:t>
      </w:r>
      <w:r>
        <w:t xml:space="preserve"> </w:t>
      </w:r>
      <w:r>
        <w:t xml:space="preserve">while calling the contract correctly (raw-failure audit, §7.5.1: with the import</w:t>
      </w:r>
      <w:r>
        <w:t xml:space="preserve"> </w:t>
      </w:r>
      <w:r>
        <w:t xml:space="preserve">neutralized,</w:t>
      </w:r>
      <w:r>
        <w:t xml:space="preserve"> </w:t>
      </w:r>
      <m:oMath>
        <m:r>
          <m:t>40</m:t>
        </m:r>
        <m:r>
          <m:rPr>
            <m:sty m:val="p"/>
          </m:rPr>
          <m:t>/</m:t>
        </m:r>
        <m:r>
          <m:t>40</m:t>
        </m:r>
      </m:oMath>
      <w:r>
        <w:t xml:space="preserve">);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w:t>
      </w:r>
      <w:r>
        <w:t xml:space="preserve">(Table 6). Opus reproduces the collapse but does not verify.</w:t>
      </w:r>
    </w:p>
    <w:bookmarkEnd w:id="92"/>
    <w:bookmarkStart w:id="95"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2).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is developed in a companion paper.</w:t>
      </w:r>
    </w:p>
    <w:bookmarkStart w:id="93"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6)</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93"/>
    <w:bookmarkStart w:id="94"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 (7);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6).</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7); the cell is verified harmful when Upper \le -0.30. The W_1 \to W_{1+} column reports the PASS collapse. The verification clears only on cells whose none baseline floors near zero (the leaky-baseline limitation; Remark 6).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0.93</m:t>
              </m:r>
            </m:oMath>
            <w:r>
              <w:t xml:space="preserve">​</w:t>
            </w:r>
          </w:p>
        </w:tc>
        <w:tc>
          <w:tcPr/>
          <w:p>
            <w:pPr>
              <w:pStyle w:val="Compact"/>
              <w:jc w:val="center"/>
            </w:pPr>
            <m:oMath>
              <m:r>
                <m:rPr>
                  <m:sty m:val="p"/>
                </m:rPr>
                <m:t>−</m:t>
              </m:r>
              <m:r>
                <m:t>0.56</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0.09</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0.64</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no (milder)</w:t>
            </w:r>
          </w:p>
        </w:tc>
      </w:tr>
    </w:tbl>
    <w:bookmarkEnd w:id="94"/>
    <w:bookmarkEnd w:id="95"/>
    <w:bookmarkStart w:id="96"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6): we verify anti-monotonicity only on cells whose</w:t>
      </w:r>
      <w:r>
        <w:t xml:space="preserve"> </w:t>
      </w:r>
      <w:r>
        <w:rPr>
          <w:rStyle w:val="VerbatimChar"/>
        </w:rPr>
        <w:t xml:space="preserve">none</w:t>
      </w:r>
      <w:r>
        <w:t xml:space="preserve"> </w:t>
      </w:r>
      <w:r>
        <w:t xml:space="preserve">baseline floors near zero. Table 6 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6"/>
    <w:bookmarkStart w:id="97"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7"/>
    <w:bookmarkStart w:id="98"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8"/>
    <w:bookmarkStart w:id="99"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9"/>
    <w:bookmarkEnd w:id="100"/>
    <w:bookmarkStart w:id="103"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Figure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101"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101"/>
    <w:bookmarkStart w:id="102"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102"/>
    <w:bookmarkEnd w:id="103"/>
    <w:bookmarkEnd w:id="104"/>
    <w:bookmarkStart w:id="106"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5"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interference is</w:t>
      </w:r>
      <w:r>
        <w:t xml:space="preserve"> </w:t>
      </w:r>
      <m:oMath>
        <m:sSub>
          <m:e>
            <m:r>
              <m:rPr>
                <m:sty m:val="p"/>
              </m:rPr>
              <m:t>Ψ</m:t>
            </m:r>
          </m:e>
          <m:sub>
            <m:r>
              <m:t>T</m:t>
            </m:r>
          </m:sub>
        </m:sSub>
        <m:r>
          <m:rPr>
            <m:sty m:val="p"/>
          </m:rPr>
          <m:t>=</m:t>
        </m:r>
        <m:r>
          <m:rPr>
            <m:sty m:val="p"/>
          </m:rPr>
          <m:t>−</m:t>
        </m:r>
        <m:r>
          <m:t>0.47</m:t>
        </m:r>
      </m:oMath>
      <w:r>
        <w:t xml:space="preserve"> </w:t>
      </w:r>
      <w:r>
        <w:t xml:space="preserve">with upper bound</w:t>
      </w:r>
      <w:r>
        <w:t xml:space="preserve"> </w:t>
      </w:r>
      <m:oMath>
        <m:r>
          <m:rPr>
            <m:sty m:val="p"/>
          </m:rPr>
          <m:t>−</m:t>
        </m:r>
        <m:r>
          <m:t>0.09</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6).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End w:id="105"/>
    <w:bookmarkEnd w:id="106"/>
    <w:bookmarkStart w:id="108"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7" w:name="tab:policies"/>
    <w:p>
      <w:pPr>
        <w:pStyle w:val="TableCaption"/>
      </w:pPr>
      <w:r>
        <w:t xml:space="preserve">Mean PASS (%) over the four verified cells under four selection policies, per model,</w:t>
      </w:r>
      <w:r>
        <w:t xml:space="preserve"> </w:t>
      </w:r>
      <w:r>
        <w:t xml:space="preserve">computed from the measured per-cell rates of Table 8.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8.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7"/>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End w:id="108"/>
    <w:bookmarkEnd w:id="109"/>
    <w:bookmarkStart w:id="126"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0" w:name="sec:disc-tradeoffs"/>
    <w:p>
      <w:pPr>
        <w:pStyle w:val="Heading2"/>
      </w:pPr>
      <w:r>
        <w:t xml:space="preserve">What the approach buys, and what it costs</w:t>
      </w:r>
    </w:p>
    <w:p>
      <w:pPr>
        <w:pStyle w:val="FirstParagraph"/>
      </w:pPr>
      <w:r>
        <w:t xml:space="preserve">Consolidating the comparison that runs through the paper: relative to the alternatives of</w:t>
      </w:r>
      <w:r>
        <w:t xml:space="preserve"> </w:t>
      </w:r>
      <w:r>
        <w:t xml:space="preserve">Table 2, the approach buys four things none of them provides. (i) A</w:t>
      </w:r>
      <w:r>
        <w:t xml:space="preserve"> </w:t>
      </w:r>
      <w:r>
        <w:rPr>
          <w:i/>
          <w:iCs/>
        </w:rPr>
        <w:t xml:space="preserve">diagnosis</w:t>
      </w:r>
      <w:r>
        <w:t xml:space="preserve">: incomparability and interference become named, testable properties rather than</w:t>
      </w:r>
      <w:r>
        <w:t xml:space="preserve"> </w:t>
      </w:r>
      <w:r>
        <w:t xml:space="preserve">anecdotes about</w:t>
      </w:r>
      <w:r>
        <w:t xml:space="preserve"> </w:t>
      </w:r>
      <w:r>
        <w:t xml:space="preserve">“context sometimes hurting.”</w:t>
      </w:r>
      <w:r>
        <w:t xml:space="preserve"> </w:t>
      </w:r>
      <w:r>
        <w:t xml:space="preserve">(ii)</w:t>
      </w:r>
      <w:r>
        <w:t xml:space="preserve"> </w:t>
      </w:r>
      <w:r>
        <w:rPr>
          <w:i/>
          <w:iCs/>
        </w:rPr>
        <w:t xml:space="preserve">Distribution-free finite-sample</w:t>
      </w:r>
      <w:r>
        <w:rPr>
          <w:i/>
          <w:iCs/>
        </w:rPr>
        <w:t xml:space="preserve"> </w:t>
      </w:r>
      <w:r>
        <w:rPr>
          <w:i/>
          <w:iCs/>
        </w:rPr>
        <w:t xml:space="preserve">verification</w:t>
      </w:r>
      <w:r>
        <w:t xml:space="preserve"> </w:t>
      </w:r>
      <w:r>
        <w:t xml:space="preserve">on live black-box models: exact intervals and multiplicity control, with no training</w:t>
      </w:r>
      <w:r>
        <w:t xml:space="preserve"> </w:t>
      </w:r>
      <w:r>
        <w:t xml:space="preserve">and no white-box access. (iii)</w:t>
      </w:r>
      <w:r>
        <w:t xml:space="preserve"> </w:t>
      </w:r>
      <w:r>
        <w:rPr>
          <w:i/>
          <w:iCs/>
        </w:rPr>
        <w:t xml:space="preserve">Model-relative measurement</w:t>
      </w:r>
      <w:r>
        <w:t xml:space="preserve">: the same protocol re-run on any</w:t>
      </w:r>
      <w:r>
        <w:t xml:space="preserve"> </w:t>
      </w:r>
      <w:r>
        <w:t xml:space="preserve">stack answers whether</w:t>
      </w:r>
      <w:r>
        <w:t xml:space="preserve"> </w:t>
      </w:r>
      <w:r>
        <w:rPr>
          <w:i/>
          <w:iCs/>
        </w:rPr>
        <w:t xml:space="preserve">your</w:t>
      </w:r>
      <w:r>
        <w:t xml:space="preserve"> </w:t>
      </w:r>
      <w:r>
        <w:t xml:space="preserve">model has this structure on</w:t>
      </w:r>
      <w:r>
        <w:t xml:space="preserve"> </w:t>
      </w:r>
      <w:r>
        <w:rPr>
          <w:i/>
          <w:iCs/>
        </w:rPr>
        <w:t xml:space="preserve">your</w:t>
      </w:r>
      <w:r>
        <w:t xml:space="preserve"> </w:t>
      </w:r>
      <w:r>
        <w:t xml:space="preserve">sources, including the</w:t>
      </w:r>
      <w:r>
        <w:t xml:space="preserve"> </w:t>
      </w:r>
      <w:r>
        <w:t xml:space="preserve">scalar-suffices answer when sources are nested. (iv) A</w:t>
      </w:r>
      <w:r>
        <w:t xml:space="preserve"> </w:t>
      </w:r>
      <w:r>
        <w:rPr>
          <w:i/>
          <w:iCs/>
        </w:rPr>
        <w:t xml:space="preserve">selection ceiling</w:t>
      </w:r>
      <w:r>
        <w:t xml:space="preserve">: the non-dominated</w:t>
      </w:r>
      <w:r>
        <w:t xml:space="preserve"> </w:t>
      </w:r>
      <w:r>
        <w:t xml:space="preserve">front attains the per-cell maximum of its members (Table 7), bounding what any</w:t>
      </w:r>
      <w:r>
        <w:t xml:space="preserve"> </w:t>
      </w:r>
      <w:r>
        <w:t xml:space="preserve">selection policy can recover and separating selection error from model capability. The costs are</w:t>
      </w:r>
      <w:r>
        <w:t xml:space="preserve"> </w:t>
      </w:r>
      <w:r>
        <w:t xml:space="preserve">equally concrete. Verification is bought with probe runs, so the method lives at curation scale, a</w:t>
      </w:r>
      <w:r>
        <w:t xml:space="preserve"> </w:t>
      </w:r>
      <w:r>
        <w:t xml:space="preserve">reranked shortlist or an offline context library, not corpus scale (§8.6). The</w:t>
      </w:r>
      <w:r>
        <w:t xml:space="preserve"> </w:t>
      </w:r>
      <w:r>
        <w:t xml:space="preserve">verified cells are constructed to make the structure visible, so the magnitudes are diagnostic, not</w:t>
      </w:r>
      <w:r>
        <w:t xml:space="preserve"> </w:t>
      </w:r>
      <w:r>
        <w:t xml:space="preserve">production estimates. And the guarantees are existential and model-relative: they establish that</w:t>
      </w:r>
      <w:r>
        <w:t xml:space="preserve"> </w:t>
      </w:r>
      <w:r>
        <w:t xml:space="preserve">the partial order is real and consequential where verified, not that every source pair in the wild</w:t>
      </w:r>
      <w:r>
        <w:t xml:space="preserve"> </w:t>
      </w:r>
      <w:r>
        <w:t xml:space="preserve">is incomparable. In exchange, the practitioner gets what the cheap alternatives cannot give: a</w:t>
      </w:r>
      <w:r>
        <w:t xml:space="preserve"> </w:t>
      </w:r>
      <w:r>
        <w:t xml:space="preserve">claim about their own system that is checked rather than assumed.</w:t>
      </w:r>
    </w:p>
    <w:bookmarkEnd w:id="110"/>
    <w:bookmarkStart w:id="113" w:name="sec:disc-bridge"/>
    <w:p>
      <w:pPr>
        <w:pStyle w:val="Heading2"/>
      </w:pPr>
      <w:r>
        <w:t xml:space="preserve">Scope of the claims</w:t>
      </w:r>
    </w:p>
    <w:p>
      <w:pPr>
        <w:pStyle w:val="FirstParagraph"/>
      </w:pPr>
      <w:bookmarkStart w:id="111" w:name="sec:disc-deficiency"/>
      <w:bookmarkEnd w:id="111"/>
      <w:bookmarkStart w:id="112" w:name="sec:disc-certificate"/>
      <w:bookmarkEnd w:id="11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3"/>
    <w:bookmarkStart w:id="115" w:name="sec:disc-antimono"/>
    <w:p>
      <w:pPr>
        <w:pStyle w:val="Heading2"/>
      </w:pPr>
      <w:r>
        <w:t xml:space="preserve">Anti-monotonicity is real, verified,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verify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6),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verified empirical falsification of</w:t>
      </w:r>
      <w:r>
        <w:t xml:space="preserve"> </w:t>
      </w:r>
      <w:r>
        <w:t xml:space="preserve">superset-dominance for these fixed rules (Theorem 3):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(§8.4).</w:t>
      </w:r>
      <w:r>
        <w:t xml:space="preserve"> </w:t>
      </w:r>
      <w:r>
        <w:t xml:space="preserve">We treat this as a protocol (Remark 6):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14"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(§3.3),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14"/>
    <w:bookmarkEnd w:id="115"/>
    <w:bookmarkStart w:id="116"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w:t>
      </w:r>
    </w:p>
    <w:bookmarkEnd w:id="116"/>
    <w:bookmarkStart w:id="118"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3 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companion study, downstream of, not prerequisite to, the verified behavioral claim.</w:t>
      </w:r>
    </w:p>
    <w:bookmarkStart w:id="117" w:name="X37a5acb05d688eb32bbe54c216dbcf303d3b4c3"/>
    <w:p>
      <w:pPr>
        <w:pStyle w:val="Heading4"/>
      </w:pPr>
      <w:r>
        <w:t xml:space="preserve">Levels of description, and three readings of the phenomenon.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The two</w:t>
      </w:r>
      <w:r>
        <w:t xml:space="preserve"> </w:t>
      </w:r>
      <w:r>
        <w:t xml:space="preserve">are levels of description of the same event, and the verified behavioral facts are the</w:t>
      </w:r>
      <w:r>
        <w:t xml:space="preserve"> </w:t>
      </w:r>
      <w:r>
        <w:t xml:space="preserve">constraints any computational account must satisfy. Three interpretive readings are compatible</w:t>
      </w:r>
      <w:r>
        <w:t xml:space="preserve"> </w:t>
      </w:r>
      <w:r>
        <w:t xml:space="preserve">with the present data, and each is discriminable by a named experiment.</w:t>
      </w:r>
      <w:r>
        <w:t xml:space="preserve"> </w:t>
      </w:r>
      <w:r>
        <w:rPr>
          <w:b/>
          <w:bCs/>
        </w:rPr>
        <w:t xml:space="preserve">(i) A transient</w:t>
      </w:r>
      <w:r>
        <w:rPr>
          <w:b/>
          <w:bCs/>
        </w:rPr>
        <w:t xml:space="preserve"> </w:t>
      </w:r>
      <w:r>
        <w:rPr>
          <w:b/>
          <w:bCs/>
        </w:rPr>
        <w:t xml:space="preserve">failure of current models</w:t>
      </w:r>
      <w:r>
        <w:t xml:space="preserve">: discriminated by the coherence-versus-scale trajectory of</w:t>
      </w:r>
      <w:r>
        <w:t xml:space="preserve"> </w:t>
      </w:r>
      <w:r>
        <w:t xml:space="preserve">§8.3, if</w:t>
      </w:r>
      <w:r>
        <w:t xml:space="preserve"> </w:t>
      </w:r>
      <m:oMath>
        <m:sSub>
          <m:e>
            <m:r>
              <m:rPr>
                <m:sty m:val="p"/>
              </m:rPr>
              <m:t>Ψ</m:t>
            </m:r>
          </m:e>
          <m:sub>
            <m:r>
              <m:t>T</m:t>
            </m:r>
          </m:sub>
        </m:sSub>
      </m:oMath>
      <w:r>
        <w:t xml:space="preserve"> </w:t>
      </w:r>
      <w:r>
        <w:t xml:space="preserve">shrinks toward zero across model generations, the</w:t>
      </w:r>
      <w:r>
        <w:t xml:space="preserve"> </w:t>
      </w:r>
      <w:r>
        <w:t xml:space="preserve">anti-monotonicity half of the phenomenon was a passing artifact (the incomparability half, being</w:t>
      </w:r>
      <w:r>
        <w:t xml:space="preserve"> </w:t>
      </w:r>
      <w:r>
        <w:t xml:space="preserve">a property of the sources, remains).</w:t>
      </w:r>
      <w:r>
        <w:t xml:space="preserve"> </w:t>
      </w:r>
      <w:r>
        <w:rPr>
          <w:b/>
          <w:bCs/>
        </w:rPr>
        <w:t xml:space="preserve">(ii) A property of fixed-compute inference</w:t>
      </w:r>
      <w:r>
        <w:t xml:space="preserve">: a rule</w:t>
      </w:r>
      <w:r>
        <w:t xml:space="preserve"> </w:t>
      </w:r>
      <w:r>
        <w:t xml:space="preserve">that spends the same forward computation regardless of context configuration cannot be optimal</w:t>
      </w:r>
      <w:r>
        <w:t xml:space="preserve"> </w:t>
      </w:r>
      <w:r>
        <w:t xml:space="preserve">for every configuration, on this reading some coherence violation persists at every scale and</w:t>
      </w:r>
      <w:r>
        <w:t xml:space="preserve"> </w:t>
      </w:r>
      <w:r>
        <w:t xml:space="preserve">only relocates.</w:t>
      </w:r>
      <w:r>
        <w:t xml:space="preserve"> </w:t>
      </w:r>
      <w:r>
        <w:rPr>
          <w:b/>
          <w:bCs/>
        </w:rPr>
        <w:t xml:space="preserve">(iii) Prompts as programs</w:t>
      </w:r>
      <w:r>
        <w:t xml:space="preserve">: the added convention does not merely add</w:t>
      </w:r>
      <w:r>
        <w:t xml:space="preserve"> </w:t>
      </w:r>
      <w:r>
        <w:t xml:space="preserve">information, it selects a different computation; this reading is supported by the routing</w:t>
      </w:r>
      <w:r>
        <w:t xml:space="preserve"> </w:t>
      </w:r>
      <w:r>
        <w:t xml:space="preserve">result, a one-line control statement that adds no task-relevant information recovers most of the</w:t>
      </w:r>
      <w:r>
        <w:t xml:space="preserve"> </w:t>
      </w:r>
      <w:r>
        <w:t xml:space="preserve">collapse, and by the structured-context ablation, labeled XML segmentation of the same content</w:t>
      </w:r>
      <w:r>
        <w:t xml:space="preserve"> </w:t>
      </w:r>
      <w:r>
        <w:t xml:space="preserve">recovers only a minority of the collapse (</w:t>
      </w:r>
      <m:oMath>
        <m:r>
          <m:t>2</m:t>
        </m:r>
        <m:r>
          <m:rPr>
            <m:sty m:val="p"/>
          </m:rPr>
          <m:t>%</m:t>
        </m:r>
        <m:r>
          <m:rPr>
            <m:sty m:val="p"/>
          </m:rPr>
          <m:t>→</m:t>
        </m:r>
        <m:r>
          <m:t>42</m:t>
        </m:r>
        <m:r>
          <m:rPr>
            <m:sty m:val="p"/>
          </m:rPr>
          <m:t>%</m:t>
        </m:r>
      </m:oMath>
      <w:r>
        <w:t xml:space="preserve">) while the routing statement recovers most</w:t>
      </w:r>
      <w:r>
        <w:t xml:space="preserve"> </w:t>
      </w:r>
      <w:r>
        <w:t xml:space="preserve">of it (</w:t>
      </w:r>
      <m:oMath>
        <m:r>
          <m:rPr>
            <m:sty m:val="p"/>
          </m:rPr>
          <m:t>→</m:t>
        </m:r>
        <m:r>
          <m:t>80</m:t>
        </m:r>
        <m:r>
          <m:rPr>
            <m:sty m:val="p"/>
          </m:rPr>
          <m:t>%</m:t>
        </m:r>
      </m:oMath>
      <w:r>
        <w:t xml:space="preserve">), locating the operative variable in convention-to-task</w:t>
      </w:r>
      <w:r>
        <w:t xml:space="preserve"> </w:t>
      </w:r>
      <w:r>
        <w:rPr>
          <w:i/>
          <w:iCs/>
        </w:rPr>
        <w:t xml:space="preserve">routing</w:t>
      </w:r>
      <w:r>
        <w:t xml:space="preserve"> </w:t>
      </w:r>
      <w:r>
        <w:t xml:space="preserve">rather</w:t>
      </w:r>
      <w:r>
        <w:t xml:space="preserve"> </w:t>
      </w:r>
      <w:r>
        <w:t xml:space="preserve">than formatting or segmentation. We state these as interpretations, not findings; every verified</w:t>
      </w:r>
      <w:r>
        <w:t xml:space="preserve"> </w:t>
      </w:r>
      <w:r>
        <w:t xml:space="preserve">claim in the paper is independent of which reading is true.</w:t>
      </w:r>
    </w:p>
    <w:bookmarkEnd w:id="117"/>
    <w:bookmarkEnd w:id="118"/>
    <w:bookmarkStart w:id="125"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9"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with its guarantees and evaluation against strong reranker baselines, is factored into a</w:t>
      </w:r>
      <w:r>
        <w:t xml:space="preserve"> </w:t>
      </w:r>
      <w:r>
        <w:t xml:space="preserve">companion paper.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w:t>
      </w:r>
    </w:p>
    <w:bookmarkEnd w:id="119"/>
    <w:bookmarkStart w:id="120"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20"/>
    <w:bookmarkStart w:id="121"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21"/>
    <w:bookmarkStart w:id="122"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verified-incomparability prevalence on natural</w:t>
      </w:r>
      <w:r>
        <w:t xml:space="preserve"> </w:t>
      </w:r>
      <w:r>
        <w:t xml:space="preserve">document pairs is the direct next experiment.</w:t>
      </w:r>
    </w:p>
    <w:bookmarkEnd w:id="122"/>
    <w:bookmarkStart w:id="123"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6);</w:t>
      </w:r>
      <w:r>
        <w:t xml:space="preserve"> </w:t>
      </w:r>
      <w:r>
        <w:t xml:space="preserve">marginal-versus-joint control is discussed in §8.2.</w:t>
      </w:r>
    </w:p>
    <w:bookmarkEnd w:id="123"/>
    <w:bookmarkStart w:id="124"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4"/>
    <w:bookmarkEnd w:id="125"/>
    <w:bookmarkEnd w:id="126"/>
    <w:bookmarkStart w:id="127"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scalar score can rank them correctly for all tasks (Theorem 2),</w:t>
      </w:r>
      <w:r>
        <w:t xml:space="preserve"> </w:t>
      </w:r>
      <w:r>
        <w:t xml:space="preserve">which explains the field’s</w:t>
      </w:r>
      <w:r>
        <w:t xml:space="preserve"> </w:t>
      </w:r>
      <w:r>
        <w:t xml:space="preserve">“relevance does not transfer”</w:t>
      </w:r>
      <w:r>
        <w:t xml:space="preserve"> </w:t>
      </w:r>
      <w:r>
        <w:t xml:space="preserve">folklore.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7"/>
    <w:bookmarkStart w:id="139" w:name="app:proofs"/>
    <w:p>
      <w:pPr>
        <w:pStyle w:val="Heading1"/>
      </w:pPr>
      <w:r>
        <w:t xml:space="preserve">Deferred proofs and technical material</w:t>
      </w:r>
    </w:p>
    <w:bookmarkStart w:id="128"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8"/>
    <w:bookmarkStart w:id="129"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29"/>
    <w:bookmarkStart w:id="130"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0"/>
    <w:bookmarkStart w:id="131"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1"/>
    <w:bookmarkStart w:id="132"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2"/>
    <w:bookmarkStart w:id="133"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3"/>
    <w:bookmarkStart w:id="135" w:name="why-a-naive-dkw-bound-fails"/>
    <w:p>
      <w:pPr>
        <w:pStyle w:val="Heading2"/>
      </w:pPr>
      <w:r>
        <w:t xml:space="preserve">Why a naive DKW bound fails</w:t>
      </w:r>
    </w:p>
    <w:bookmarkStart w:id="134"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4"/>
    <w:bookmarkEnd w:id="135"/>
    <w:bookmarkStart w:id="137" w:name="relation-to-llm-evaluation-statistics"/>
    <w:p>
      <w:pPr>
        <w:pStyle w:val="Heading2"/>
      </w:pPr>
      <w:r>
        <w:t xml:space="preserve">Relation to LLM-evaluation statistics</w:t>
      </w:r>
    </w:p>
    <w:bookmarkStart w:id="136"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6"/>
    <w:bookmarkEnd w:id="137"/>
    <w:bookmarkStart w:id="138"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 (5) 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 (7) 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38"/>
    <w:bookmarkEnd w:id="139"/>
    <w:bookmarkStart w:id="146" w:name="app:record"/>
    <w:p>
      <w:pPr>
        <w:pStyle w:val="Heading1"/>
      </w:pPr>
      <w:r>
        <w:t xml:space="preserve">Extended experimental record</w:t>
      </w:r>
    </w:p>
    <w:bookmarkStart w:id="140"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0"/>
    <w:bookmarkStart w:id="145"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1"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1"/>
    <w:bookmarkStart w:id="142"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2"/>
    <w:bookmarkStart w:id="143"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3"/>
    <w:bookmarkStart w:id="144"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4"/>
    <w:bookmarkEnd w:id="145"/>
    <w:bookmarkEnd w:id="146"/>
    <w:bookmarkStart w:id="239"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6">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7"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47"/>
    <w:bookmarkStart w:id="148"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8"/>
    <w:bookmarkStart w:id="149"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49"/>
    <w:bookmarkStart w:id="150"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6">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50"/>
    <w:bookmarkStart w:id="151"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1"/>
    <w:bookmarkStart w:id="238"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37" w:name="refs"/>
    <w:bookmarkStart w:id="153"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2">
        <w:r>
          <w:rPr>
            <w:rStyle w:val="Hyperlink"/>
          </w:rPr>
          <w:t xml:space="preserve">https://arxiv.org/abs/2512.23617</w:t>
        </w:r>
      </w:hyperlink>
      <w:r>
        <w:t xml:space="preserve">.</w:t>
      </w:r>
    </w:p>
    <w:bookmarkEnd w:id="153"/>
    <w:bookmarkStart w:id="155"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54">
        <w:r>
          <w:rPr>
            <w:rStyle w:val="Hyperlink"/>
          </w:rPr>
          <w:t xml:space="preserve">https://doi.org/10.1214/aoms/1177729032</w:t>
        </w:r>
      </w:hyperlink>
      <w:r>
        <w:t xml:space="preserve">.</w:t>
      </w:r>
    </w:p>
    <w:bookmarkEnd w:id="155"/>
    <w:bookmarkStart w:id="156"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56"/>
    <w:bookmarkStart w:id="158"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57">
        <w:r>
          <w:rPr>
            <w:rStyle w:val="Hyperlink"/>
          </w:rPr>
          <w:t xml:space="preserve">https://arxiv.org/abs/2503.01747</w:t>
        </w:r>
      </w:hyperlink>
      <w:r>
        <w:t xml:space="preserve">.</w:t>
      </w:r>
    </w:p>
    <w:bookmarkEnd w:id="158"/>
    <w:bookmarkStart w:id="160"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59">
        <w:r>
          <w:rPr>
            <w:rStyle w:val="Hyperlink"/>
          </w:rPr>
          <w:t xml:space="preserve">https://arxiv.org/abs/2411.01533</w:t>
        </w:r>
      </w:hyperlink>
      <w:r>
        <w:t xml:space="preserve">.</w:t>
      </w:r>
    </w:p>
    <w:bookmarkEnd w:id="160"/>
    <w:bookmarkStart w:id="162"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1">
        <w:r>
          <w:rPr>
            <w:rStyle w:val="Hyperlink"/>
          </w:rPr>
          <w:t xml:space="preserve">https://doi.org/10.1145/290941.291025</w:t>
        </w:r>
      </w:hyperlink>
      <w:r>
        <w:t xml:space="preserve">.</w:t>
      </w:r>
    </w:p>
    <w:bookmarkEnd w:id="162"/>
    <w:bookmarkStart w:id="164"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63">
        <w:r>
          <w:rPr>
            <w:rStyle w:val="Hyperlink"/>
          </w:rPr>
          <w:t xml:space="preserve">https://arxiv.org/abs/2507.03279</w:t>
        </w:r>
      </w:hyperlink>
      <w:r>
        <w:t xml:space="preserve">.</w:t>
      </w:r>
    </w:p>
    <w:bookmarkEnd w:id="164"/>
    <w:bookmarkStart w:id="166"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65">
        <w:r>
          <w:rPr>
            <w:rStyle w:val="Hyperlink"/>
          </w:rPr>
          <w:t xml:space="preserve">https://arxiv.org/abs/2508.21184</w:t>
        </w:r>
      </w:hyperlink>
      <w:r>
        <w:t xml:space="preserve">.</w:t>
      </w:r>
    </w:p>
    <w:bookmarkEnd w:id="166"/>
    <w:bookmarkStart w:id="168"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67">
        <w:r>
          <w:rPr>
            <w:rStyle w:val="Hyperlink"/>
          </w:rPr>
          <w:t xml:space="preserve">https://doi.org/10.1093/biomet/26.4.404</w:t>
        </w:r>
      </w:hyperlink>
      <w:r>
        <w:t xml:space="preserve">.</w:t>
      </w:r>
    </w:p>
    <w:bookmarkEnd w:id="168"/>
    <w:bookmarkStart w:id="170"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69">
        <w:r>
          <w:rPr>
            <w:rStyle w:val="Hyperlink"/>
          </w:rPr>
          <w:t xml:space="preserve">https://arxiv.org/abs/2401.14887</w:t>
        </w:r>
      </w:hyperlink>
      <w:r>
        <w:t xml:space="preserve">.</w:t>
      </w:r>
    </w:p>
    <w:bookmarkEnd w:id="170"/>
    <w:bookmarkStart w:id="172"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71">
        <w:r>
          <w:rPr>
            <w:rStyle w:val="Hyperlink"/>
          </w:rPr>
          <w:t xml:space="preserve">https://arxiv.org/abs/2510.05381</w:t>
        </w:r>
      </w:hyperlink>
      <w:r>
        <w:t xml:space="preserve">.</w:t>
      </w:r>
    </w:p>
    <w:bookmarkEnd w:id="172"/>
    <w:bookmarkStart w:id="174"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73">
        <w:r>
          <w:rPr>
            <w:rStyle w:val="Hyperlink"/>
          </w:rPr>
          <w:t xml:space="preserve">https://doi.org/10.1214/aoms/1177728174</w:t>
        </w:r>
      </w:hyperlink>
      <w:r>
        <w:t xml:space="preserve">.</w:t>
      </w:r>
    </w:p>
    <w:bookmarkEnd w:id="174"/>
    <w:bookmarkStart w:id="175"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75"/>
    <w:bookmarkStart w:id="177"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76">
        <w:r>
          <w:rPr>
            <w:rStyle w:val="Hyperlink"/>
          </w:rPr>
          <w:t xml:space="preserve">https://arxiv.org/abs/2503.05491</w:t>
        </w:r>
      </w:hyperlink>
      <w:r>
        <w:t xml:space="preserve">.</w:t>
      </w:r>
    </w:p>
    <w:bookmarkEnd w:id="177"/>
    <w:bookmarkStart w:id="179"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78">
        <w:r>
          <w:rPr>
            <w:rStyle w:val="Hyperlink"/>
          </w:rPr>
          <w:t xml:space="preserve">https://doi.org/10.1007/s10791-008-9045-0</w:t>
        </w:r>
      </w:hyperlink>
      <w:r>
        <w:t xml:space="preserve">.</w:t>
      </w:r>
    </w:p>
    <w:bookmarkEnd w:id="179"/>
    <w:bookmarkStart w:id="181"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80">
        <w:r>
          <w:rPr>
            <w:rStyle w:val="Hyperlink"/>
          </w:rPr>
          <w:t xml:space="preserve">https://arxiv.org/abs/2410.20247</w:t>
        </w:r>
      </w:hyperlink>
      <w:r>
        <w:t xml:space="preserve">.</w:t>
      </w:r>
    </w:p>
    <w:bookmarkEnd w:id="181"/>
    <w:bookmarkStart w:id="183"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182">
        <w:r>
          <w:rPr>
            <w:rStyle w:val="Hyperlink"/>
          </w:rPr>
          <w:t xml:space="preserve">https://arxiv.org/abs/2002.08909</w:t>
        </w:r>
      </w:hyperlink>
      <w:r>
        <w:t xml:space="preserve">.</w:t>
      </w:r>
    </w:p>
    <w:bookmarkEnd w:id="183"/>
    <w:bookmarkStart w:id="185"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184">
        <w:r>
          <w:rPr>
            <w:rStyle w:val="Hyperlink"/>
          </w:rPr>
          <w:t xml:space="preserve">https://www.trychroma.com/research/context-rot</w:t>
        </w:r>
      </w:hyperlink>
      <w:r>
        <w:t xml:space="preserve">.</w:t>
      </w:r>
    </w:p>
    <w:bookmarkEnd w:id="185"/>
    <w:bookmarkStart w:id="187"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186">
        <w:r>
          <w:rPr>
            <w:rStyle w:val="Hyperlink"/>
          </w:rPr>
          <w:t xml:space="preserve">https://arxiv.org/abs/2510.00079</w:t>
        </w:r>
      </w:hyperlink>
      <w:r>
        <w:t xml:space="preserve">.</w:t>
      </w:r>
    </w:p>
    <w:bookmarkEnd w:id="187"/>
    <w:bookmarkStart w:id="189"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188">
        <w:r>
          <w:rPr>
            <w:rStyle w:val="Hyperlink"/>
          </w:rPr>
          <w:t xml:space="preserve">https://arxiv.org/abs/2410.05983</w:t>
        </w:r>
      </w:hyperlink>
      <w:r>
        <w:t xml:space="preserve">.</w:t>
      </w:r>
    </w:p>
    <w:bookmarkEnd w:id="189"/>
    <w:bookmarkStart w:id="191"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190">
        <w:r>
          <w:rPr>
            <w:rStyle w:val="Hyperlink"/>
          </w:rPr>
          <w:t xml:space="preserve">https://arxiv.org/abs/2411.06037</w:t>
        </w:r>
      </w:hyperlink>
      <w:r>
        <w:t xml:space="preserve">.</w:t>
      </w:r>
    </w:p>
    <w:bookmarkEnd w:id="191"/>
    <w:bookmarkStart w:id="193"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192">
        <w:r>
          <w:rPr>
            <w:rStyle w:val="Hyperlink"/>
          </w:rPr>
          <w:t xml:space="preserve">https://doi.org/10.1145/3397271.3401075</w:t>
        </w:r>
      </w:hyperlink>
      <w:r>
        <w:t xml:space="preserve">.</w:t>
      </w:r>
    </w:p>
    <w:bookmarkEnd w:id="193"/>
    <w:bookmarkStart w:id="195"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194">
        <w:r>
          <w:rPr>
            <w:rStyle w:val="Hyperlink"/>
          </w:rPr>
          <w:t xml:space="preserve">https://doi.org/10.1214/aoms/1177700372</w:t>
        </w:r>
      </w:hyperlink>
      <w:r>
        <w:t xml:space="preserve">.</w:t>
      </w:r>
    </w:p>
    <w:bookmarkEnd w:id="195"/>
    <w:bookmarkStart w:id="197"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196">
        <w:r>
          <w:rPr>
            <w:rStyle w:val="Hyperlink"/>
          </w:rPr>
          <w:t xml:space="preserve">https://doi.org/10.1007/978-1-4612-4946-7</w:t>
        </w:r>
      </w:hyperlink>
      <w:r>
        <w:t xml:space="preserve">.</w:t>
      </w:r>
    </w:p>
    <w:bookmarkEnd w:id="197"/>
    <w:bookmarkStart w:id="199"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198">
        <w:r>
          <w:rPr>
            <w:rStyle w:val="Hyperlink"/>
          </w:rPr>
          <w:t xml:space="preserve">https://arxiv.org/abs/2504.07104</w:t>
        </w:r>
      </w:hyperlink>
      <w:r>
        <w:t xml:space="preserve">.</w:t>
      </w:r>
    </w:p>
    <w:bookmarkEnd w:id="199"/>
    <w:bookmarkStart w:id="201"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00">
        <w:r>
          <w:rPr>
            <w:rStyle w:val="Hyperlink"/>
          </w:rPr>
          <w:t xml:space="preserve">https://arxiv.org/abs/2503.04388</w:t>
        </w:r>
      </w:hyperlink>
      <w:r>
        <w:t xml:space="preserve">.</w:t>
      </w:r>
    </w:p>
    <w:bookmarkEnd w:id="201"/>
    <w:bookmarkStart w:id="203"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02">
        <w:r>
          <w:rPr>
            <w:rStyle w:val="Hyperlink"/>
          </w:rPr>
          <w:t xml:space="preserve">https://arxiv.org/abs/2605.05716</w:t>
        </w:r>
      </w:hyperlink>
      <w:r>
        <w:t xml:space="preserve">.</w:t>
      </w:r>
    </w:p>
    <w:bookmarkEnd w:id="203"/>
    <w:bookmarkStart w:id="205"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04">
        <w:r>
          <w:rPr>
            <w:rStyle w:val="Hyperlink"/>
          </w:rPr>
          <w:t xml:space="preserve">https://arxiv.org/abs/2307.03172</w:t>
        </w:r>
      </w:hyperlink>
      <w:r>
        <w:t xml:space="preserve">.</w:t>
      </w:r>
    </w:p>
    <w:bookmarkEnd w:id="205"/>
    <w:bookmarkStart w:id="207"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06">
        <w:r>
          <w:rPr>
            <w:rStyle w:val="Hyperlink"/>
          </w:rPr>
          <w:t xml:space="preserve">https://arxiv.org/abs/2411.00640</w:t>
        </w:r>
      </w:hyperlink>
      <w:r>
        <w:t xml:space="preserve">.</w:t>
      </w:r>
    </w:p>
    <w:bookmarkEnd w:id="207"/>
    <w:bookmarkStart w:id="209"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08">
        <w:r>
          <w:rPr>
            <w:rStyle w:val="Hyperlink"/>
          </w:rPr>
          <w:t xml:space="preserve">https://arxiv.org/abs/2604.06621</w:t>
        </w:r>
      </w:hyperlink>
      <w:r>
        <w:t xml:space="preserve">.</w:t>
      </w:r>
    </w:p>
    <w:bookmarkEnd w:id="209"/>
    <w:bookmarkStart w:id="211"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10">
        <w:r>
          <w:rPr>
            <w:rStyle w:val="Hyperlink"/>
          </w:rPr>
          <w:t xml:space="preserve">https://arxiv.org/abs/2605.03534</w:t>
        </w:r>
      </w:hyperlink>
      <w:r>
        <w:t xml:space="preserve">.</w:t>
      </w:r>
    </w:p>
    <w:bookmarkEnd w:id="211"/>
    <w:bookmarkStart w:id="213"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12">
        <w:r>
          <w:rPr>
            <w:rStyle w:val="Hyperlink"/>
          </w:rPr>
          <w:t xml:space="preserve">https://doi.org/10.1108/eb026647</w:t>
        </w:r>
      </w:hyperlink>
      <w:r>
        <w:t xml:space="preserve">.</w:t>
      </w:r>
    </w:p>
    <w:bookmarkEnd w:id="213"/>
    <w:bookmarkStart w:id="215"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14">
        <w:r>
          <w:rPr>
            <w:rStyle w:val="Hyperlink"/>
          </w:rPr>
          <w:t xml:space="preserve">https://arxiv.org/abs/1402.4884</w:t>
        </w:r>
      </w:hyperlink>
      <w:r>
        <w:t xml:space="preserve">.</w:t>
      </w:r>
    </w:p>
    <w:bookmarkEnd w:id="215"/>
    <w:bookmarkStart w:id="217"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16">
        <w:r>
          <w:rPr>
            <w:rStyle w:val="Hyperlink"/>
          </w:rPr>
          <w:t xml:space="preserve">https://arxiv.org/abs/2302.00093</w:t>
        </w:r>
      </w:hyperlink>
      <w:r>
        <w:t xml:space="preserve">.</w:t>
      </w:r>
    </w:p>
    <w:bookmarkEnd w:id="217"/>
    <w:bookmarkStart w:id="219"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18">
        <w:r>
          <w:rPr>
            <w:rStyle w:val="Hyperlink"/>
          </w:rPr>
          <w:t xml:space="preserve">https://arxiv.org/abs/2301.12652</w:t>
        </w:r>
      </w:hyperlink>
      <w:r>
        <w:t xml:space="preserve">.</w:t>
      </w:r>
    </w:p>
    <w:bookmarkEnd w:id="219"/>
    <w:bookmarkStart w:id="221"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20">
        <w:r>
          <w:rPr>
            <w:rStyle w:val="Hyperlink"/>
          </w:rPr>
          <w:t xml:space="preserve">https://arxiv.org/abs/2304.09542</w:t>
        </w:r>
      </w:hyperlink>
      <w:r>
        <w:t xml:space="preserve">.</w:t>
      </w:r>
    </w:p>
    <w:bookmarkEnd w:id="221"/>
    <w:bookmarkStart w:id="223"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22">
        <w:r>
          <w:rPr>
            <w:rStyle w:val="Hyperlink"/>
          </w:rPr>
          <w:t xml:space="preserve">https://doi.org/10.1017/CBO9780511666353</w:t>
        </w:r>
      </w:hyperlink>
      <w:r>
        <w:t xml:space="preserve">.</w:t>
      </w:r>
    </w:p>
    <w:bookmarkEnd w:id="223"/>
    <w:bookmarkStart w:id="225"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24">
        <w:r>
          <w:rPr>
            <w:rStyle w:val="Hyperlink"/>
          </w:rPr>
          <w:t xml:space="preserve">https://arxiv.org/abs/2402.11750</w:t>
        </w:r>
      </w:hyperlink>
      <w:r>
        <w:t xml:space="preserve">.</w:t>
      </w:r>
    </w:p>
    <w:bookmarkEnd w:id="225"/>
    <w:bookmarkStart w:id="227"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26">
        <w:r>
          <w:rPr>
            <w:rStyle w:val="Hyperlink"/>
          </w:rPr>
          <w:t xml:space="preserve">https://arxiv.org/abs/2410.07523</w:t>
        </w:r>
      </w:hyperlink>
      <w:r>
        <w:t xml:space="preserve">.</w:t>
      </w:r>
    </w:p>
    <w:bookmarkEnd w:id="227"/>
    <w:bookmarkStart w:id="229"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28">
        <w:r>
          <w:rPr>
            <w:rStyle w:val="Hyperlink"/>
          </w:rPr>
          <w:t xml:space="preserve">https://arxiv.org/abs/2302.05698</w:t>
        </w:r>
      </w:hyperlink>
      <w:r>
        <w:t xml:space="preserve">.</w:t>
      </w:r>
    </w:p>
    <w:bookmarkEnd w:id="229"/>
    <w:bookmarkStart w:id="231"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30">
        <w:r>
          <w:rPr>
            <w:rStyle w:val="Hyperlink"/>
          </w:rPr>
          <w:t xml:space="preserve">https://arxiv.org/abs/2407.02485</w:t>
        </w:r>
      </w:hyperlink>
      <w:r>
        <w:t xml:space="preserve">.</w:t>
      </w:r>
    </w:p>
    <w:bookmarkEnd w:id="231"/>
    <w:bookmarkStart w:id="233"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32">
        <w:r>
          <w:rPr>
            <w:rStyle w:val="Hyperlink"/>
          </w:rPr>
          <w:t xml:space="preserve">https://arxiv.org/abs/2504.15630</w:t>
        </w:r>
      </w:hyperlink>
      <w:r>
        <w:t xml:space="preserve">.</w:t>
      </w:r>
    </w:p>
    <w:bookmarkEnd w:id="233"/>
    <w:bookmarkStart w:id="234"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34"/>
    <w:bookmarkStart w:id="236"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35">
        <w:r>
          <w:rPr>
            <w:rStyle w:val="Hyperlink"/>
          </w:rPr>
          <w:t xml:space="preserve">https://arxiv.org/abs/2405.18253</w:t>
        </w:r>
      </w:hyperlink>
      <w:r>
        <w:t xml:space="preserve">.</w:t>
      </w:r>
    </w:p>
    <w:bookmarkEnd w:id="236"/>
    <w:bookmarkEnd w:id="237"/>
    <w:bookmarkEnd w:id="238"/>
    <w:bookmarkEnd w:id="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4" Target="https://arxiv.org/abs/1402.4884" TargetMode="External" /><Relationship Type="http://schemas.openxmlformats.org/officeDocument/2006/relationships/hyperlink" Id="rId182" Target="https://arxiv.org/abs/2002.08909" TargetMode="External" /><Relationship Type="http://schemas.openxmlformats.org/officeDocument/2006/relationships/hyperlink" Id="rId218" Target="https://arxiv.org/abs/2301.12652" TargetMode="External" /><Relationship Type="http://schemas.openxmlformats.org/officeDocument/2006/relationships/hyperlink" Id="rId216" Target="https://arxiv.org/abs/2302.00093" TargetMode="External" /><Relationship Type="http://schemas.openxmlformats.org/officeDocument/2006/relationships/hyperlink" Id="rId228" Target="https://arxiv.org/abs/2302.05698" TargetMode="External" /><Relationship Type="http://schemas.openxmlformats.org/officeDocument/2006/relationships/hyperlink" Id="rId220" Target="https://arxiv.org/abs/2304.09542" TargetMode="External" /><Relationship Type="http://schemas.openxmlformats.org/officeDocument/2006/relationships/hyperlink" Id="rId204" Target="https://arxiv.org/abs/2307.03172" TargetMode="External" /><Relationship Type="http://schemas.openxmlformats.org/officeDocument/2006/relationships/hyperlink" Id="rId169" Target="https://arxiv.org/abs/2401.14887" TargetMode="External" /><Relationship Type="http://schemas.openxmlformats.org/officeDocument/2006/relationships/hyperlink" Id="rId224" Target="https://arxiv.org/abs/2402.11750" TargetMode="External" /><Relationship Type="http://schemas.openxmlformats.org/officeDocument/2006/relationships/hyperlink" Id="rId235" Target="https://arxiv.org/abs/2405.18253" TargetMode="External" /><Relationship Type="http://schemas.openxmlformats.org/officeDocument/2006/relationships/hyperlink" Id="rId230" Target="https://arxiv.org/abs/2407.02485" TargetMode="External" /><Relationship Type="http://schemas.openxmlformats.org/officeDocument/2006/relationships/hyperlink" Id="rId188" Target="https://arxiv.org/abs/2410.05983" TargetMode="External" /><Relationship Type="http://schemas.openxmlformats.org/officeDocument/2006/relationships/hyperlink" Id="rId226" Target="https://arxiv.org/abs/2410.07523" TargetMode="External" /><Relationship Type="http://schemas.openxmlformats.org/officeDocument/2006/relationships/hyperlink" Id="rId180" Target="https://arxiv.org/abs/2410.20247" TargetMode="External" /><Relationship Type="http://schemas.openxmlformats.org/officeDocument/2006/relationships/hyperlink" Id="rId206" Target="https://arxiv.org/abs/2411.00640" TargetMode="External" /><Relationship Type="http://schemas.openxmlformats.org/officeDocument/2006/relationships/hyperlink" Id="rId159" Target="https://arxiv.org/abs/2411.01533" TargetMode="External" /><Relationship Type="http://schemas.openxmlformats.org/officeDocument/2006/relationships/hyperlink" Id="rId190" Target="https://arxiv.org/abs/2411.06037" TargetMode="External" /><Relationship Type="http://schemas.openxmlformats.org/officeDocument/2006/relationships/hyperlink" Id="rId157" Target="https://arxiv.org/abs/2503.01747" TargetMode="External" /><Relationship Type="http://schemas.openxmlformats.org/officeDocument/2006/relationships/hyperlink" Id="rId200" Target="https://arxiv.org/abs/2503.04388" TargetMode="External" /><Relationship Type="http://schemas.openxmlformats.org/officeDocument/2006/relationships/hyperlink" Id="rId176" Target="https://arxiv.org/abs/2503.05491" TargetMode="External" /><Relationship Type="http://schemas.openxmlformats.org/officeDocument/2006/relationships/hyperlink" Id="rId198" Target="https://arxiv.org/abs/2504.07104" TargetMode="External" /><Relationship Type="http://schemas.openxmlformats.org/officeDocument/2006/relationships/hyperlink" Id="rId232" Target="https://arxiv.org/abs/2504.15630" TargetMode="External" /><Relationship Type="http://schemas.openxmlformats.org/officeDocument/2006/relationships/hyperlink" Id="rId163" Target="https://arxiv.org/abs/2507.03279" TargetMode="External" /><Relationship Type="http://schemas.openxmlformats.org/officeDocument/2006/relationships/hyperlink" Id="rId165" Target="https://arxiv.org/abs/2508.21184" TargetMode="External" /><Relationship Type="http://schemas.openxmlformats.org/officeDocument/2006/relationships/hyperlink" Id="rId186" Target="https://arxiv.org/abs/2510.00079" TargetMode="External" /><Relationship Type="http://schemas.openxmlformats.org/officeDocument/2006/relationships/hyperlink" Id="rId171" Target="https://arxiv.org/abs/2510.05381" TargetMode="External" /><Relationship Type="http://schemas.openxmlformats.org/officeDocument/2006/relationships/hyperlink" Id="rId152" Target="https://arxiv.org/abs/2512.23617" TargetMode="External" /><Relationship Type="http://schemas.openxmlformats.org/officeDocument/2006/relationships/hyperlink" Id="rId208" Target="https://arxiv.org/abs/2604.06621" TargetMode="External" /><Relationship Type="http://schemas.openxmlformats.org/officeDocument/2006/relationships/hyperlink" Id="rId210" Target="https://arxiv.org/abs/2605.03534" TargetMode="External" /><Relationship Type="http://schemas.openxmlformats.org/officeDocument/2006/relationships/hyperlink" Id="rId202" Target="https://arxiv.org/abs/2605.05716" TargetMode="External" /><Relationship Type="http://schemas.openxmlformats.org/officeDocument/2006/relationships/hyperlink" Id="rId196" Target="https://doi.org/10.1007/978-1-4612-4946-7" TargetMode="External" /><Relationship Type="http://schemas.openxmlformats.org/officeDocument/2006/relationships/hyperlink" Id="rId178" Target="https://doi.org/10.1007/s10791-008-9045-0" TargetMode="External" /><Relationship Type="http://schemas.openxmlformats.org/officeDocument/2006/relationships/hyperlink" Id="rId222" Target="https://doi.org/10.1017/CBO9780511666353" TargetMode="External" /><Relationship Type="http://schemas.openxmlformats.org/officeDocument/2006/relationships/hyperlink" Id="rId167" Target="https://doi.org/10.1093/biomet/26.4.404" TargetMode="External" /><Relationship Type="http://schemas.openxmlformats.org/officeDocument/2006/relationships/hyperlink" Id="rId212" Target="https://doi.org/10.1108/eb026647" TargetMode="External" /><Relationship Type="http://schemas.openxmlformats.org/officeDocument/2006/relationships/hyperlink" Id="rId161" Target="https://doi.org/10.1145/290941.291025" TargetMode="External" /><Relationship Type="http://schemas.openxmlformats.org/officeDocument/2006/relationships/hyperlink" Id="rId192" Target="https://doi.org/10.1145/3397271.3401075" TargetMode="External" /><Relationship Type="http://schemas.openxmlformats.org/officeDocument/2006/relationships/hyperlink" Id="rId194" Target="https://doi.org/10.1214/aoms/1177700372" TargetMode="External" /><Relationship Type="http://schemas.openxmlformats.org/officeDocument/2006/relationships/hyperlink" Id="rId173" Target="https://doi.org/10.1214/aoms/1177728174" TargetMode="External" /><Relationship Type="http://schemas.openxmlformats.org/officeDocument/2006/relationships/hyperlink" Id="rId154" Target="https://doi.org/10.1214/aoms/1177729032" TargetMode="External" /><Relationship Type="http://schemas.openxmlformats.org/officeDocument/2006/relationships/hyperlink" Id="rId76" Target="https://github.com/abilous-ti/blackwell-llm-context" TargetMode="External" /><Relationship Type="http://schemas.openxmlformats.org/officeDocument/2006/relationships/hyperlink" Id="rId184"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214" Target="https://arxiv.org/abs/1402.4884" TargetMode="External" /><Relationship Type="http://schemas.openxmlformats.org/officeDocument/2006/relationships/hyperlink" Id="rId182" Target="https://arxiv.org/abs/2002.08909" TargetMode="External" /><Relationship Type="http://schemas.openxmlformats.org/officeDocument/2006/relationships/hyperlink" Id="rId218" Target="https://arxiv.org/abs/2301.12652" TargetMode="External" /><Relationship Type="http://schemas.openxmlformats.org/officeDocument/2006/relationships/hyperlink" Id="rId216" Target="https://arxiv.org/abs/2302.00093" TargetMode="External" /><Relationship Type="http://schemas.openxmlformats.org/officeDocument/2006/relationships/hyperlink" Id="rId228" Target="https://arxiv.org/abs/2302.05698" TargetMode="External" /><Relationship Type="http://schemas.openxmlformats.org/officeDocument/2006/relationships/hyperlink" Id="rId220" Target="https://arxiv.org/abs/2304.09542" TargetMode="External" /><Relationship Type="http://schemas.openxmlformats.org/officeDocument/2006/relationships/hyperlink" Id="rId204" Target="https://arxiv.org/abs/2307.03172" TargetMode="External" /><Relationship Type="http://schemas.openxmlformats.org/officeDocument/2006/relationships/hyperlink" Id="rId169" Target="https://arxiv.org/abs/2401.14887" TargetMode="External" /><Relationship Type="http://schemas.openxmlformats.org/officeDocument/2006/relationships/hyperlink" Id="rId224" Target="https://arxiv.org/abs/2402.11750" TargetMode="External" /><Relationship Type="http://schemas.openxmlformats.org/officeDocument/2006/relationships/hyperlink" Id="rId235" Target="https://arxiv.org/abs/2405.18253" TargetMode="External" /><Relationship Type="http://schemas.openxmlformats.org/officeDocument/2006/relationships/hyperlink" Id="rId230" Target="https://arxiv.org/abs/2407.02485" TargetMode="External" /><Relationship Type="http://schemas.openxmlformats.org/officeDocument/2006/relationships/hyperlink" Id="rId188" Target="https://arxiv.org/abs/2410.05983" TargetMode="External" /><Relationship Type="http://schemas.openxmlformats.org/officeDocument/2006/relationships/hyperlink" Id="rId226" Target="https://arxiv.org/abs/2410.07523" TargetMode="External" /><Relationship Type="http://schemas.openxmlformats.org/officeDocument/2006/relationships/hyperlink" Id="rId180" Target="https://arxiv.org/abs/2410.20247" TargetMode="External" /><Relationship Type="http://schemas.openxmlformats.org/officeDocument/2006/relationships/hyperlink" Id="rId206" Target="https://arxiv.org/abs/2411.00640" TargetMode="External" /><Relationship Type="http://schemas.openxmlformats.org/officeDocument/2006/relationships/hyperlink" Id="rId159" Target="https://arxiv.org/abs/2411.01533" TargetMode="External" /><Relationship Type="http://schemas.openxmlformats.org/officeDocument/2006/relationships/hyperlink" Id="rId190" Target="https://arxiv.org/abs/2411.06037" TargetMode="External" /><Relationship Type="http://schemas.openxmlformats.org/officeDocument/2006/relationships/hyperlink" Id="rId157" Target="https://arxiv.org/abs/2503.01747" TargetMode="External" /><Relationship Type="http://schemas.openxmlformats.org/officeDocument/2006/relationships/hyperlink" Id="rId200" Target="https://arxiv.org/abs/2503.04388" TargetMode="External" /><Relationship Type="http://schemas.openxmlformats.org/officeDocument/2006/relationships/hyperlink" Id="rId176" Target="https://arxiv.org/abs/2503.05491" TargetMode="External" /><Relationship Type="http://schemas.openxmlformats.org/officeDocument/2006/relationships/hyperlink" Id="rId198" Target="https://arxiv.org/abs/2504.07104" TargetMode="External" /><Relationship Type="http://schemas.openxmlformats.org/officeDocument/2006/relationships/hyperlink" Id="rId232" Target="https://arxiv.org/abs/2504.15630" TargetMode="External" /><Relationship Type="http://schemas.openxmlformats.org/officeDocument/2006/relationships/hyperlink" Id="rId163" Target="https://arxiv.org/abs/2507.03279" TargetMode="External" /><Relationship Type="http://schemas.openxmlformats.org/officeDocument/2006/relationships/hyperlink" Id="rId165" Target="https://arxiv.org/abs/2508.21184" TargetMode="External" /><Relationship Type="http://schemas.openxmlformats.org/officeDocument/2006/relationships/hyperlink" Id="rId186" Target="https://arxiv.org/abs/2510.00079" TargetMode="External" /><Relationship Type="http://schemas.openxmlformats.org/officeDocument/2006/relationships/hyperlink" Id="rId171" Target="https://arxiv.org/abs/2510.05381" TargetMode="External" /><Relationship Type="http://schemas.openxmlformats.org/officeDocument/2006/relationships/hyperlink" Id="rId152" Target="https://arxiv.org/abs/2512.23617" TargetMode="External" /><Relationship Type="http://schemas.openxmlformats.org/officeDocument/2006/relationships/hyperlink" Id="rId208" Target="https://arxiv.org/abs/2604.06621" TargetMode="External" /><Relationship Type="http://schemas.openxmlformats.org/officeDocument/2006/relationships/hyperlink" Id="rId210" Target="https://arxiv.org/abs/2605.03534" TargetMode="External" /><Relationship Type="http://schemas.openxmlformats.org/officeDocument/2006/relationships/hyperlink" Id="rId202" Target="https://arxiv.org/abs/2605.05716" TargetMode="External" /><Relationship Type="http://schemas.openxmlformats.org/officeDocument/2006/relationships/hyperlink" Id="rId196" Target="https://doi.org/10.1007/978-1-4612-4946-7" TargetMode="External" /><Relationship Type="http://schemas.openxmlformats.org/officeDocument/2006/relationships/hyperlink" Id="rId178" Target="https://doi.org/10.1007/s10791-008-9045-0" TargetMode="External" /><Relationship Type="http://schemas.openxmlformats.org/officeDocument/2006/relationships/hyperlink" Id="rId222" Target="https://doi.org/10.1017/CBO9780511666353" TargetMode="External" /><Relationship Type="http://schemas.openxmlformats.org/officeDocument/2006/relationships/hyperlink" Id="rId167" Target="https://doi.org/10.1093/biomet/26.4.404" TargetMode="External" /><Relationship Type="http://schemas.openxmlformats.org/officeDocument/2006/relationships/hyperlink" Id="rId212" Target="https://doi.org/10.1108/eb026647" TargetMode="External" /><Relationship Type="http://schemas.openxmlformats.org/officeDocument/2006/relationships/hyperlink" Id="rId161" Target="https://doi.org/10.1145/290941.291025" TargetMode="External" /><Relationship Type="http://schemas.openxmlformats.org/officeDocument/2006/relationships/hyperlink" Id="rId192" Target="https://doi.org/10.1145/3397271.3401075" TargetMode="External" /><Relationship Type="http://schemas.openxmlformats.org/officeDocument/2006/relationships/hyperlink" Id="rId194" Target="https://doi.org/10.1214/aoms/1177700372" TargetMode="External" /><Relationship Type="http://schemas.openxmlformats.org/officeDocument/2006/relationships/hyperlink" Id="rId173" Target="https://doi.org/10.1214/aoms/1177728174" TargetMode="External" /><Relationship Type="http://schemas.openxmlformats.org/officeDocument/2006/relationships/hyperlink" Id="rId154" Target="https://doi.org/10.1214/aoms/1177729032" TargetMode="External" /><Relationship Type="http://schemas.openxmlformats.org/officeDocument/2006/relationships/hyperlink" Id="rId76" Target="https://github.com/abilous-ti/blackwell-llm-context" TargetMode="External" /><Relationship Type="http://schemas.openxmlformats.org/officeDocument/2006/relationships/hyperlink" Id="rId184"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2026-09-04T16:29:20Z</dcterms:created>
  <dcterms:modified xsi:type="dcterms:W3CDTF">2026-09-04T16:29:20Z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(Blackwell 1953), and when they are, no single relevance score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A companion paper gives the selection rule this implies; scaling it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