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sup>
        </m:sSup>
      </m:oMath>
      <w:r>
        <w:t xml:space="preserve">,</w:t>
      </w:r>
      <w:r>
        <w:t xml:space="preserve"> </w:t>
      </w:r>
      <w:r>
        <w:t xml:space="preserve">Vasyl Lytvyn </w:t>
      </w:r>
      <m:oMath>
        <m:sSup>
          <m:e>
            <m:r>
              <m:t>​</m:t>
            </m:r>
          </m:e>
          <m:sup>
            <m:r>
              <m:t>1</m:t>
            </m:r>
          </m:sup>
        </m:sSup>
      </m:oMath>
      <w:r>
        <w:t xml:space="preserve">,</w:t>
      </w:r>
      <w:r>
        <w:br/>
      </w:r>
      <w:r>
        <w:t xml:space="preserve">Petro Pukach </w:t>
      </w:r>
      <m:oMath>
        <m:sSup>
          <m:e>
            <m:r>
              <m:t>​</m:t>
            </m:r>
          </m:e>
          <m:sup>
            <m:r>
              <m:t>2</m:t>
            </m:r>
            <m:r>
              <m:rPr>
                <m:sty m:val="p"/>
              </m:rPr>
              <m:t>,</m:t>
            </m:r>
            <m:r>
              <m:rPr>
                <m:sty m:val="p"/>
              </m:rPr>
              <m:t>*</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w:t>
      </w:r>
      <w:r>
        <w:br/>
      </w:r>
      <w:r>
        <w:t xml:space="preserve">Institute of Computer Science and Information Technologies,</w:t>
      </w:r>
      <w:r>
        <w:br/>
      </w:r>
      <w:r>
        <w:t xml:space="preserve">Lviv Polytechnic National University, S. Bandery St. 12, 79013 Lviv, Ukraine;</w:t>
      </w:r>
      <w:r>
        <w:br/>
      </w:r>
      <w:r>
        <w:rPr>
          <w:rStyle w:val="VerbatimChar"/>
        </w:rPr>
        <w:t xml:space="preserve">andriy.bilous@uitware.com</w:t>
      </w:r>
      <w:r>
        <w:t xml:space="preserve"> </w:t>
      </w:r>
      <w:r>
        <w:t xml:space="preserve">(A.B.);</w:t>
      </w:r>
      <w:r>
        <w:t xml:space="preserve"> </w:t>
      </w:r>
      <w:r>
        <w:rPr>
          <w:rStyle w:val="VerbatimChar"/>
        </w:rPr>
        <w:t xml:space="preserve">vasyl.v.lytvyn@lpnu.ua</w:t>
      </w:r>
      <w:r>
        <w:t xml:space="preserve"> </w:t>
      </w:r>
      <w:r>
        <w:t xml:space="preserve">(V.L.);</w:t>
      </w:r>
      <w:r>
        <w:br/>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m:oMath>
        <m:sSup>
          <m:e>
            <m:r>
              <m:t>​</m:t>
            </m:r>
          </m:e>
          <m:sup>
            <m:r>
              <m:rPr>
                <m:sty m:val="p"/>
              </m:rPr>
              <m:t>*</m:t>
            </m:r>
          </m:sup>
        </m:sSup>
      </m:oMath>
      <w:r>
        <w:t xml:space="preserve"> Correspondence:</w:t>
      </w:r>
      <w:r>
        <w:t xml:space="preserve"> </w:t>
      </w:r>
      <w:r>
        <w:rPr>
          <w:rStyle w:val="VerbatimChar"/>
        </w:rPr>
        <w:t xml:space="preserve">petro.y.pukach@lpnu.ua</w:t>
      </w:r>
    </w:p>
    <w:p>
      <w:pPr>
        <w:pStyle w:val="AbstractTitle"/>
      </w:pPr>
      <w:r>
        <w:t xml:space="preserve">Abstract</w:t>
      </w:r>
    </w:p>
    <w:p>
      <w:pPr>
        <w:pStyle w:val="Abstract"/>
      </w:pPr>
      <w:r>
        <w:t xml:space="preserve">What goes into a language model’s prompt is usually chosen by scoring each source with one number</w:t>
      </w:r>
      <w:r>
        <w:t xml:space="preserve"> </w:t>
      </w:r>
      <w:r>
        <w:t xml:space="preserve">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On six</w:t>
      </w:r>
      <w:r>
        <w:t xml:space="preserve"> </w:t>
      </w:r>
      <w:r>
        <w:t xml:space="preserve">models from four vendors we verify (</w:t>
      </w:r>
      <m:oMath>
        <m:r>
          <m:rPr>
            <m:sty m:val="p"/>
          </m:rPr>
          <m:t>≥</m:t>
        </m:r>
        <m:r>
          <m:t>90</m:t>
        </m:r>
        <m:r>
          <m:rPr>
            <m:sty m:val="p"/>
          </m:rPr>
          <m:t>%</m:t>
        </m:r>
      </m:oMath>
      <w:r>
        <w:t xml:space="preserve"> </w:t>
      </w:r>
      <w:r>
        <w:t xml:space="preserve">confidence, both directions) that two hand-built</w:t>
      </w:r>
      <w:r>
        <w:t xml:space="preserve"> </w:t>
      </w:r>
      <w:r>
        <w:t xml:space="preserve">sources are incomparable. On a designed trap, a</w:t>
      </w:r>
      <w:r>
        <w:t xml:space="preserve"> </w:t>
      </w:r>
      <w:r>
        <w:t xml:space="preserve">lexical score, two dense retrievers and a cross-encoder prefer the wrong source, while a listwise</w:t>
      </w:r>
      <w:r>
        <w:t xml:space="preserve"> </w:t>
      </w:r>
      <w:r>
        <w:t xml:space="preserve">LLM reranker that reads the deciding detail gets it right. Adding</w:t>
      </w:r>
      <w:r>
        <w:t xml:space="preserve"> </w:t>
      </w:r>
      <w:r>
        <w:t xml:space="preserve">a larger source can also hurt: a strict superset verifiably lowers pass rates on eleven of twelve</w:t>
      </w:r>
      <w:r>
        <w:t xml:space="preserve"> </w:t>
      </w:r>
      <w:r>
        <w:t xml:space="preserve">cells, falling as far as</w:t>
      </w:r>
      <w:r>
        <w:t xml:space="preserve"> </w:t>
      </w:r>
      <m:oMath>
        <m:r>
          <m:t>100</m:t>
        </m:r>
        <m:r>
          <m:rPr>
            <m:sty m:val="p"/>
          </m:rPr>
          <m:t>%</m:t>
        </m:r>
      </m:oMath>
      <w:r>
        <w:t xml:space="preserve"> </w:t>
      </w:r>
      <w:r>
        <w:t xml:space="preserve">to</w:t>
      </w:r>
      <w:r>
        <w:t xml:space="preserve"> </w:t>
      </w:r>
      <m:oMath>
        <m:r>
          <m:t>0</m:t>
        </m:r>
        <m:r>
          <m:rPr>
            <m:sty m:val="p"/>
          </m:rPr>
          <m:t>%</m:t>
        </m:r>
      </m:oMath>
      <w:r>
        <w:t xml:space="preserve">; on one model, a length-matched padding control and a</w:t>
      </w:r>
      <w:r>
        <w:t xml:space="preserve"> </w:t>
      </w:r>
      <w:r>
        <w:t xml:space="preserve">reversed-order control leave the collapse unexplained by either. Treat context selection as a partial</w:t>
      </w:r>
      <w:r>
        <w:t xml:space="preserve"> </w:t>
      </w:r>
      <w:r>
        <w:t xml:space="preserve">order and compare sources by a verified pass-rate test, not a relevance number. Scaling the</w:t>
      </w:r>
      <w:r>
        <w:t xml:space="preserve"> </w:t>
      </w:r>
      <w:r>
        <w:t xml:space="preserve">implied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4"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Nie,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9"/>
    <w:bookmarkStart w:id="10"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0.34</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it is not specific</w:t>
      </w:r>
      <w:r>
        <w:t xml:space="preserve"> </w:t>
      </w:r>
      <w:r>
        <w:t xml:space="preserve">to one model or one vendor’s decoder.</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0.41</m:t>
        </m:r>
      </m:oMath>
      <w:r>
        <w:t xml:space="preserve">); a character-matched padding control shows that irrelevant text of the same length is</w:t>
      </w:r>
      <w:r>
        <w:t xml:space="preserve"> </w:t>
      </w:r>
      <w:r>
        <w:t xml:space="preserve">harmless, and reversing the order collapses just as far, so on the model where these were run</w:t>
      </w:r>
      <w:r>
        <w:t xml:space="preserve"> </w:t>
      </w:r>
      <w:r>
        <w:t xml:space="preserve">neither an equal-length off-topic block nor the reversed order reproduces the collapse</w:t>
      </w:r>
      <w:r>
        <w:t xml:space="preserve"> </w:t>
      </w:r>
      <w:r>
        <w:t xml:space="preserve">(§7.4.3; scope in §8.4).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0"/>
    <w:bookmarkStart w:id="11"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The selection multiplicity is paid explicitly rather than absorbed</w:t>
      </w:r>
      <w:r>
        <w:t xml:space="preserve"> </w:t>
      </w:r>
      <w:r>
        <w:t xml:space="preserve">into a single-sample sup inequality </w:t>
      </w:r>
      <w:r>
        <w:t xml:space="preserve">(Dvoretzky et al. 1956)</w:t>
      </w:r>
      <w:r>
        <w:t xml:space="preserve">, which does not cover an argmax over</w:t>
      </w:r>
      <w:r>
        <w:t xml:space="preserve"> </w:t>
      </w:r>
      <w:r>
        <w:t xml:space="preserve">distinct cells; the matching interference verification follows.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1"/>
    <w:bookmarkStart w:id="13"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 A</w:t>
      </w:r>
      <w:r>
        <w:t xml:space="preserve"> </w:t>
      </w:r>
      <w:r>
        <w:t xml:space="preserve">reader who wants the measured result first can go directly to §7:</w:t>
      </w:r>
      <w:r>
        <w:t xml:space="preserve"> </w:t>
      </w:r>
      <w:r>
        <w:t xml:space="preserve">§§3–6 establish what the measured quantities mean and</w:t>
      </w:r>
      <w:r>
        <w:t xml:space="preserve"> </w:t>
      </w:r>
      <w:r>
        <w:t xml:space="preserve">what may be concluded from them, and every proof is deferred to Appendix A.</w:t>
      </w:r>
    </w:p>
    <w:bookmarkStart w:id="12"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under the per-cell Bernoulli sampling model of Assumption 2</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r>
                <m:t>W</m:t>
              </m:r>
            </m:oMath>
            <w:r>
              <w:t xml:space="preserve"> </w:t>
            </w:r>
            <w:r>
              <w:t xml:space="preserve">in place of</w:t>
            </w:r>
            <w:r>
              <w:t xml:space="preserve"> </w:t>
            </w:r>
            <m:oMath>
              <m:sSup>
                <m:e>
                  <m:r>
                    <m:t>W</m:t>
                  </m:r>
                </m:e>
                <m:sup>
                  <m:r>
                    <m:rPr>
                      <m:sty m:val="p"/>
                    </m:rPr>
                    <m:t>′</m:t>
                  </m:r>
                </m:sup>
              </m:sSup>
            </m:oMath>
            <w:r>
              <w:t xml:space="preserve"> </w:t>
            </w:r>
            <w:r>
              <w:t xml:space="preserve">on the task family</w:t>
            </w:r>
          </w:p>
        </w:tc>
      </w:tr>
    </w:tbl>
    <w:bookmarkEnd w:id="12"/>
    <w:bookmarkEnd w:id="13"/>
    <w:bookmarkEnd w:id="14"/>
    <w:bookmarkStart w:id="23" w:name="sec:related"/>
    <w:p>
      <w:pPr>
        <w:pStyle w:val="Heading1"/>
      </w:pPr>
      <w:r>
        <w:t xml:space="preserve">Related Work</w:t>
      </w:r>
    </w:p>
    <w:bookmarkStart w:id="15"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5"/>
    <w:bookmarkStart w:id="17" w:name="sec:related-scalar"/>
    <w:p>
      <w:pPr>
        <w:pStyle w:val="Heading2"/>
      </w:pPr>
      <w:r>
        <w:t xml:space="preserve">Scalar selection and its limits in information retrieval</w:t>
      </w:r>
    </w:p>
    <w:p>
      <w:pPr>
        <w:pStyle w:val="FirstParagraph"/>
      </w:pPr>
      <w:bookmarkStart w:id="16" w:name="sec:related-ir"/>
      <w:bookmarkEnd w:id="16"/>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for mutual</w:t>
      </w:r>
      <w:r>
        <w:t xml:space="preserve"> </w:t>
      </w:r>
      <w:r>
        <w:t xml:space="preserve">information and fixed-prior EIG it is immediate from data processing, and for a fixed decoder’s</w:t>
      </w:r>
      <w:r>
        <w:t xml:space="preserve"> </w:t>
      </w:r>
      <w:r>
        <w:t xml:space="preserve">perplexity-gap we claim nothing, Remark 4).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when it meets that proposition’s hypotheses. Reading the</w:t>
      </w:r>
      <w:r>
        <w:t xml:space="preserve"> </w:t>
      </w:r>
      <w:r>
        <w:t xml:space="preserve">decisive coordinate is one way out, which is the listwise boundary; reading public task metadata</w:t>
      </w:r>
      <w:r>
        <w:t xml:space="preserve"> </w:t>
      </w:r>
      <w:r>
        <w:t xml:space="preserve">is another (Remark 5).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the partial order calls for,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17"/>
    <w:bookmarkStart w:id="18"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length, position and formatting controls and is consistent with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8"/>
    <w:bookmarkStart w:id="21" w:name="sec:related-deficiency"/>
    <w:p>
      <w:pPr>
        <w:pStyle w:val="Heading2"/>
      </w:pPr>
      <w:r>
        <w:t xml:space="preserve">The comparison of experiments in machine learning</w:t>
      </w:r>
    </w:p>
    <w:p>
      <w:pPr>
        <w:pStyle w:val="FirstParagraph"/>
      </w:pPr>
      <w:bookmarkStart w:id="19" w:name="sec:related-llmrep"/>
      <w:bookmarkEnd w:id="19"/>
      <w:bookmarkStart w:id="20" w:name="sec:related-foundations"/>
      <w:bookmarkEnd w:id="20"/>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the mutual information between the curated and the</w:t>
      </w:r>
      <w:r>
        <w:t xml:space="preserve"> </w:t>
      </w:r>
      <w:r>
        <w:t xml:space="preserve">test 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w:t>
      </w:r>
      <w:r>
        <w:t xml:space="preserve"> </w:t>
      </w:r>
      <w:r>
        <w:t xml:space="preserve">direction, and it is one-directional; a scalar can be monotone along the order without</w:t>
      </w:r>
      <w:r>
        <w:t xml:space="preserve"> </w:t>
      </w:r>
      <w:r>
        <w:t xml:space="preserve">representing it, so their result is compatible with ours rather than opposed to it. Their</w:t>
      </w:r>
      <w:r>
        <w:t xml:space="preserve"> </w:t>
      </w:r>
      <w:r>
        <w:t xml:space="preserve">comparison is also taken against the Bayes-optimal user of the data, ours against a fixed model</w:t>
      </w:r>
      <w:r>
        <w:t xml:space="preserve"> </w:t>
      </w:r>
      <w:r>
        <w:t xml:space="preserve">rule on a task family. What Theorem 2 adds is the converse question, whether</w:t>
      </w:r>
      <w:r>
        <w:t xml:space="preserve"> </w:t>
      </w:r>
      <w:r>
        <w:t xml:space="preserve">any query-independent scalar can be</w:t>
      </w:r>
      <w:r>
        <w:t xml:space="preserve"> </w:t>
      </w:r>
      <w:r>
        <w:rPr>
          <w:i/>
          <w:iCs/>
        </w:rPr>
        <w:t xml:space="preserve">faithful</w:t>
      </w:r>
      <w:r>
        <w:t xml:space="preserve"> </w:t>
      </w:r>
      <w:r>
        <w:t xml:space="preserve">to the order, which a monotone score need not</w:t>
      </w:r>
      <w:r>
        <w:t xml:space="preserve"> </w:t>
      </w:r>
      <w:r>
        <w:t xml:space="preserve">be once the order is partial.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1"/>
    <w:bookmarkStart w:id="22" w:name="sec:related-designspace"/>
    <w:p>
      <w:pPr>
        <w:pStyle w:val="Heading2"/>
      </w:pPr>
      <w:r>
        <w:t xml:space="preserve">The design space: which selectors the two results reach</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End w:id="22"/>
    <w:bookmarkEnd w:id="23"/>
    <w:bookmarkStart w:id="31"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7"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4"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4"/>
    <w:bookmarkStart w:id="25"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5"/>
    <w:bookmarkStart w:id="26"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and the measured pass rates enter as its falsifiable signature, not as a bound on a</w:t>
      </w:r>
      <w:r>
        <w:t xml:space="preserve"> </w:t>
      </w:r>
      <w:r>
        <w:t xml:space="preserve">Bayes value.</w:t>
      </w:r>
    </w:p>
    <w:bookmarkEnd w:id="26"/>
    <w:p>
      <w:pPr>
        <w:pStyle w:val="BodyText"/>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7"/>
    <w:bookmarkStart w:id="29"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28"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8"/>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29"/>
    <w:bookmarkStart w:id="30"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0"/>
    <w:bookmarkEnd w:id="31"/>
    <w:bookmarkStart w:id="43"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6" w:name="the-order-and-its-two-registers"/>
    <w:p>
      <w:pPr>
        <w:pStyle w:val="Heading2"/>
      </w:pPr>
      <w:r>
        <w:t xml:space="preserve">The order and its two registers</w:t>
      </w:r>
    </w:p>
    <w:bookmarkStart w:id="32"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2"/>
    <w:p>
      <w:pPr>
        <w:pStyle w:val="BodyText"/>
      </w:pPr>
      <w:r>
        <w:t xml:space="preserve">The classical content of the order is the Blackwell–Sherman–Stein theorem, which we state with</w:t>
      </w:r>
      <w:r>
        <w:t xml:space="preserve"> </w:t>
      </w:r>
      <w:r>
        <w:t xml:space="preserve">hypotheses for a self-contained treatment.</w:t>
      </w:r>
    </w:p>
    <w:bookmarkStart w:id="33"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w:t>
      </w:r>
      <w:r>
        <w:rPr>
          <w:i/>
          <w:iCs/>
        </w:rPr>
        <w:t xml:space="preserve"> </w:t>
      </w:r>
      <w:r>
        <w:rPr>
          <w:i/>
          <w:i/>
          <w:iCs/>
          <w:iCs/>
        </w:rPr>
        <w:t xml:space="preserve">finite</w:t>
      </w:r>
      <w:r>
        <w:rPr>
          <w:i/>
          <w:iCs/>
        </w:rPr>
        <w:t xml:space="preserve"> </w:t>
      </w:r>
      <w:r>
        <w:rPr>
          <w:i/>
          <w:iCs/>
        </w:rPr>
        <w:t xml:space="preserve">parameter space</w:t>
      </w:r>
      <w:r>
        <w:rPr>
          <w:i/>
          <w:iCs/>
        </w:rPr>
        <w:t xml:space="preserve"> </w:t>
      </w:r>
      <m:oMath>
        <m:r>
          <m:rPr>
            <m:scr m:val="script"/>
            <m:sty m:val="p"/>
          </m:rPr>
          <m:t>S</m:t>
        </m:r>
      </m:oMath>
      <w:r>
        <w:rPr>
          <w:i/>
          <w:iCs/>
        </w:rPr>
        <w:t xml:space="preserve"> </w:t>
      </w:r>
      <w:r>
        <w:rPr>
          <w:i/>
          <w:iCs/>
        </w:rPr>
        <w:t xml:space="preserve">with standard</w:t>
      </w:r>
      <w:r>
        <w:rPr>
          <w:i/>
          <w:iCs/>
        </w:rPr>
        <w:t xml:space="preserve"> </w:t>
      </w:r>
      <w:r>
        <w:rPr>
          <w:i/>
          <w:iCs/>
        </w:rPr>
        <w:t xml:space="preserve">Borel signal spaces. The following are equivalent (the implication</w:t>
      </w:r>
      <w:r>
        <w:rPr>
          <w:i/>
          <w:iCs/>
        </w:rPr>
        <w:t xml:space="preserve"> </w:t>
      </w:r>
      <w:r>
        <w:rPr>
          <w:i/>
          <w:iCs/>
        </w:rPr>
        <w:t xml:space="preserve">(i)</w:t>
      </w:r>
      <m:oMath>
        <m:r>
          <m:rPr>
            <m:sty m:val="p"/>
          </m:rPr>
          <m:t>⇒</m:t>
        </m:r>
      </m:oMath>
      <w:r>
        <w:rPr>
          <w:i/>
          <w:iCs/>
        </w:rPr>
        <w:t xml:space="preserve">(ii)</w:t>
      </w:r>
      <w:r>
        <w:rPr>
          <w:i/>
          <w:iCs/>
        </w:rPr>
        <w:t xml:space="preserve"> </w:t>
      </w:r>
      <w:r>
        <w:rPr>
          <w:i/>
          <w:iCs/>
        </w:rPr>
        <w:t xml:space="preserve">needs neither finiteness nor further regularity, and is the</w:t>
      </w:r>
      <w:r>
        <w:rPr>
          <w:i/>
          <w:iCs/>
        </w:rPr>
        <w:t xml:space="preserve"> </w:t>
      </w:r>
      <w:r>
        <w:rPr>
          <w:i/>
          <w:iCs/>
        </w:rPr>
        <w:t xml:space="preserve">only direction Corollary 1 and Lemma 2 use):</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3"/>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two directions are not on the same footing and we separate them.</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 by</w:t>
      </w:r>
      <w:r>
        <w:t xml:space="preserve"> </w:t>
      </w:r>
      <w:r>
        <w:t xml:space="preserve">simulating the garbling, and it is the only direction Corollary 1 and</w:t>
      </w:r>
      <w:r>
        <w:t xml:space="preserve"> </w:t>
      </w:r>
      <w:r>
        <w:t xml:space="preserve">Lemma 2 use.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that is the case</w:t>
      </w:r>
      <w:r>
        <w:t xml:space="preserve"> </w:t>
      </w:r>
      <w:r>
        <w:t xml:space="preserve">Blackwell (1953)</w:t>
      </w:r>
      <w:r>
        <w:t xml:space="preserve"> </w:t>
      </w:r>
      <w:r>
        <w:t xml:space="preserve">proves and the case our coordinate construction realizes. On a general state</w:t>
      </w:r>
      <w:r>
        <w:t xml:space="preserve"> </w:t>
      </w:r>
      <w:r>
        <w:t xml:space="preserve">space the converse needs the convex closure taken in the definition of more-informativeness, which</w:t>
      </w:r>
      <w:r>
        <w:t xml:space="preserve"> </w:t>
      </w:r>
      <w:r>
        <w:t xml:space="preserve">is where the careful statement lives </w:t>
      </w:r>
      <w:r>
        <w:t xml:space="preserve">(Khan et al. 2025)</w:t>
      </w:r>
      <w:r>
        <w:t xml:space="preserve">.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4"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4"/>
    <w:bookmarkStart w:id="35"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and it need not be: a rule keyed to surface form can prefer</w:t>
      </w:r>
      <w:r>
        <w:t xml:space="preserve"> </w:t>
      </w:r>
      <w:r>
        <w:t xml:space="preserve">differently between two experiments that garble each other. The padding arm</w:t>
      </w:r>
      <w:r>
        <w:t xml:space="preserve"> </w:t>
      </w:r>
      <m:oMath>
        <m:sSub>
          <m:e>
            <m:r>
              <m:t>W</m:t>
            </m:r>
          </m:e>
          <m:sub>
            <m:r>
              <m:rPr>
                <m:sty m:val="p"/>
              </m:rPr>
              <m:t>p</m:t>
            </m:r>
            <m:r>
              <m:rPr>
                <m:sty m:val="p"/>
              </m:rPr>
              <m:t>a</m:t>
            </m:r>
            <m:r>
              <m:rPr>
                <m:sty m:val="p"/>
              </m:rPr>
              <m:t>d</m:t>
            </m:r>
          </m:sub>
        </m:sSub>
      </m:oMath>
      <w:r>
        <w:t xml:space="preserve"> </w:t>
      </w:r>
      <w:r>
        <w:t xml:space="preserve">of Appendix B reveals no coordinate any verifier checks, so it</w:t>
      </w:r>
      <w:r>
        <w:t xml:space="preserve"> </w:t>
      </w:r>
      <w:r>
        <w:t xml:space="preserve">is Blackwell-equivalent to</w:t>
      </w:r>
      <w:r>
        <w:t xml:space="preserve"> </w:t>
      </w:r>
      <m:oMath>
        <m:sSub>
          <m:e>
            <m:r>
              <m:t>W</m:t>
            </m:r>
          </m:e>
          <m:sub>
            <m:r>
              <m:t>1</m:t>
            </m:r>
          </m:sub>
        </m:sSub>
      </m:oMath>
      <w:r>
        <w:t xml:space="preserve">, and the two score</w:t>
      </w:r>
      <w:r>
        <w:t xml:space="preserve"> </w:t>
      </w:r>
      <m:oMath>
        <m:r>
          <m:t>65</m:t>
        </m:r>
        <m:r>
          <m:rPr>
            <m:sty m:val="p"/>
          </m:rPr>
          <m:t>%</m:t>
        </m:r>
      </m:oMath>
      <w:r>
        <w:t xml:space="preserve"> </w:t>
      </w:r>
      <w:r>
        <w:t xml:space="preserve">against</w:t>
      </w:r>
      <w:r>
        <w:t xml:space="preserve"> </w:t>
      </w:r>
      <m:oMath>
        <m:r>
          <m:t>50</m:t>
        </m:r>
        <m:r>
          <m:rPr>
            <m:sty m:val="p"/>
          </m:rPr>
          <m:t>%</m:t>
        </m:r>
      </m:oMath>
      <w:r>
        <w:t xml:space="preserve"> </w:t>
      </w:r>
      <w:r>
        <w:t xml:space="preserve">on</w:t>
      </w:r>
      <w:r>
        <w:t xml:space="preserve"> </w:t>
      </w:r>
      <w:r>
        <w:rPr>
          <w:rStyle w:val="VerbatimChar"/>
        </w:rPr>
        <w:t xml:space="preserve">api_post_ok</w:t>
      </w:r>
      <w:r>
        <w:t xml:space="preserve">. That gap is a point estimate, not a verified separation: at</w:t>
      </w:r>
      <w:r>
        <w:t xml:space="preserve"> </w:t>
      </w:r>
      <m:oMath>
        <m:r>
          <m:t>n</m:t>
        </m:r>
        <m:r>
          <m:rPr>
            <m:sty m:val="p"/>
          </m:rPr>
          <m:t>=</m:t>
        </m:r>
        <m:r>
          <m:t>40</m:t>
        </m:r>
      </m:oMath>
      <w:r>
        <w:t xml:space="preserve"> </w:t>
      </w:r>
      <w:r>
        <w:t xml:space="preserve">the</w:t>
      </w:r>
      <w:r>
        <w:t xml:space="preserve"> </w:t>
      </w:r>
      <w:r>
        <w:t xml:space="preserve">exact</w:t>
      </w:r>
      <w:r>
        <w:t xml:space="preserve"> </w:t>
      </w:r>
      <m:oMath>
        <m:r>
          <m:t>95</m:t>
        </m:r>
        <m:r>
          <m:rPr>
            <m:sty m:val="p"/>
          </m:rPr>
          <m:t>%</m:t>
        </m:r>
      </m:oMath>
      <w:r>
        <w:t xml:space="preserve"> </w:t>
      </w:r>
      <w:r>
        <w:t xml:space="preserve">intervals,</w:t>
      </w:r>
      <w:r>
        <w:t xml:space="preserve"> </w:t>
      </w:r>
      <m:oMath>
        <m:r>
          <m:rPr>
            <m:sty m:val="p"/>
          </m:rPr>
          <m:t>[</m:t>
        </m:r>
        <m:r>
          <m:t>0.48</m:t>
        </m:r>
        <m:r>
          <m:rPr>
            <m:sty m:val="p"/>
          </m:rPr>
          <m:t>,</m:t>
        </m:r>
        <m:r>
          <m:t>0.79</m:t>
        </m:r>
        <m:r>
          <m:rPr>
            <m:sty m:val="p"/>
          </m:rPr>
          <m:t>]</m:t>
        </m:r>
      </m:oMath>
      <w:r>
        <w:t xml:space="preserve"> </w:t>
      </w:r>
      <w:r>
        <w:t xml:space="preserve">and</w:t>
      </w:r>
      <w:r>
        <w:t xml:space="preserve"> </w:t>
      </w:r>
      <m:oMath>
        <m:r>
          <m:rPr>
            <m:sty m:val="p"/>
          </m:rPr>
          <m:t>[</m:t>
        </m:r>
        <m:r>
          <m:t>0.34</m:t>
        </m:r>
        <m:r>
          <m:rPr>
            <m:sty m:val="p"/>
          </m:rPr>
          <m:t>,</m:t>
        </m:r>
        <m:r>
          <m:t>0.66</m:t>
        </m:r>
        <m:r>
          <m:rPr>
            <m:sty m:val="p"/>
          </m:rPr>
          <m:t>]</m:t>
        </m:r>
      </m:oMath>
      <w:r>
        <w:t xml:space="preserve">, overlap. The pair illustrates the</w:t>
      </w:r>
      <w:r>
        <w:t xml:space="preserve"> </w:t>
      </w:r>
      <w:r>
        <w:t xml:space="preserve">possibility rather than certifying an instance of it. Either way the</w:t>
      </w:r>
      <w:r>
        <w:t xml:space="preserve"> </w:t>
      </w:r>
      <m:oMath>
        <m:sSub>
          <m:e>
            <m:r>
              <m:t>δ</m:t>
            </m:r>
          </m:e>
          <m:sub>
            <m:r>
              <m:t>M</m:t>
            </m:r>
          </m:sub>
        </m:sSub>
      </m:oMath>
      <w:r>
        <w:t xml:space="preserve">-restricted order of §4.3 is not read on the quotient.</w:t>
      </w:r>
    </w:p>
    <w:bookmarkEnd w:id="35"/>
    <w:bookmarkEnd w:id="36"/>
    <w:bookmarkStart w:id="38"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7"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7"/>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38"/>
    <w:bookmarkStart w:id="42"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39"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9"/>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0"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w:t>
      </w:r>
      <w:r>
        <w:rPr>
          <w:i/>
          <w:i/>
          <w:iCs/>
          <w:iCs/>
        </w:rPr>
        <w:t xml:space="preserve">sufficiency of the informed source</w:t>
      </w:r>
      <w:r>
        <w:rPr>
          <w:i/>
          <w:iCs/>
        </w:rPr>
        <w:t xml:space="preserv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measured crossover</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w:t>
      </w:r>
      <w:r>
        <w:rPr>
          <w:i/>
          <w:iCs/>
        </w:rPr>
        <w:t xml:space="preserve">is the falsifiable signature of that separation and is what</w:t>
      </w:r>
      <w:r>
        <w:rPr>
          <w:i/>
          <w:iCs/>
        </w:rPr>
        <w:t xml:space="preserve"> </w:t>
      </w:r>
      <w:r>
        <w:rPr>
          <w:i/>
          <w:iCs/>
        </w:rPr>
        <w:t xml:space="preserve">§7 verifies per cell;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it is evidence for the hypothesis rather than a bound on</w:t>
      </w:r>
      <w:r>
        <w:rPr>
          <w:i/>
          <w:iCs/>
        </w:rPr>
        <w:t xml:space="preserve"> </w:t>
      </w:r>
      <m:oMath>
        <m:sSup>
          <m:e>
            <m:r>
              <m:t>V</m:t>
            </m:r>
          </m:e>
          <m:sup>
            <m:r>
              <m:rPr>
                <m:sty m:val="p"/>
              </m:rPr>
              <m:t>⋆</m:t>
            </m:r>
          </m:sup>
        </m:sSup>
      </m:oMath>
      <w:r>
        <w:rPr>
          <w:i/>
          <w:iCs/>
        </w:rPr>
        <w:t xml:space="preserve"> </w:t>
      </w:r>
      <w:r>
        <w:rPr>
          <w:i/>
          <w:iCs/>
        </w:rPr>
        <w:t xml:space="preserve">(Remark 1).</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Neither hypothesis of</w:t>
      </w:r>
      <w:r>
        <w:rPr>
          <w:i/>
          <w:iCs/>
        </w:rPr>
        <w:t xml:space="preserve"> </w:t>
      </w:r>
      <w:r>
        <w:rPr>
          <w:i/>
          <w:iCs/>
        </w:rPr>
        <w:t xml:space="preserve">(a)</w:t>
      </w:r>
      <w:r>
        <w:rPr>
          <w:i/>
          <w:iCs/>
        </w:rPr>
        <w:t xml:space="preserve">, separation or the caps, can be dropped</w:t>
      </w:r>
      <w:r>
        <w:rPr>
          <w:i/>
          <w:iCs/>
        </w:rPr>
        <w:t xml:space="preserve"> </w:t>
      </w:r>
      <w:r>
        <w:rPr>
          <w:i/>
          <w:i/>
          <w:iCs/>
          <w:iCs/>
        </w:rPr>
        <w:t xml:space="preserve">from this</w:t>
      </w:r>
      <w:r>
        <w:rPr>
          <w:i/>
          <w:i/>
          <w:iCs/>
          <w:iCs/>
        </w:rPr>
        <w:t xml:space="preserve"> </w:t>
      </w:r>
      <w:r>
        <w:rPr>
          <w:i/>
          <w:i/>
          <w:iCs/>
          <w:iCs/>
        </w:rPr>
        <w:t xml:space="preserve">criterion</w:t>
      </w:r>
      <w:r>
        <w:rPr>
          <w:i/>
          <w:iCs/>
        </w:rPr>
        <w:t xml:space="preserve">. They are not preconditions of structural incomparability as such: for the sources</w:t>
      </w:r>
      <w:r>
        <w:rPr>
          <w:i/>
          <w:iCs/>
        </w:rPr>
        <w:t xml:space="preserve"> </w:t>
      </w:r>
      <w:r>
        <w:rPr>
          <w:i/>
          <w:iCs/>
        </w:rPr>
        <w:t xml:space="preserve">this paper measures, Lemma 1 already separates</w:t>
      </w:r>
      <w:r>
        <w:rPr>
          <w:i/>
          <w:iCs/>
        </w:rPr>
        <w:t xml:space="preserve"> </w:t>
      </w:r>
      <m:oMath>
        <m:sSub>
          <m:e>
            <m:r>
              <m:t>W</m:t>
            </m:r>
          </m:e>
          <m:sub>
            <m:r>
              <m:t>1</m:t>
            </m:r>
          </m:sub>
        </m:sSub>
      </m:oMath>
      <w:r>
        <w:rPr>
          <w:i/>
          <w:iCs/>
        </w:rPr>
        <w:t xml:space="preserve"> </w:t>
      </w:r>
      <w:r>
        <w:rPr>
          <w:i/>
          <w:iCs/>
        </w:rPr>
        <w:t xml:space="preserve">from</w:t>
      </w:r>
      <w:r>
        <w:rPr>
          <w:i/>
          <w:iCs/>
        </w:rPr>
        <w:t xml:space="preserve"> </w:t>
      </w:r>
      <m:oMath>
        <m:sSub>
          <m:e>
            <m:r>
              <m:t>W</m:t>
            </m:r>
          </m:e>
          <m:sub>
            <m:r>
              <m:t>2</m:t>
            </m:r>
          </m:sub>
        </m:sSub>
      </m:oMath>
      <w:r>
        <w:rPr>
          <w:i/>
          <w:iCs/>
        </w:rPr>
        <w:t xml:space="preserve"> </w:t>
      </w:r>
      <w:r>
        <w:rPr>
          <w:i/>
          <w:iCs/>
        </w:rPr>
        <w:t xml:space="preserve">by coordinate</w:t>
      </w:r>
      <w:r>
        <w:rPr>
          <w:i/>
          <w:iCs/>
        </w:rPr>
        <w:t xml:space="preserve"> </w:t>
      </w:r>
      <w:r>
        <w:rPr>
          <w:i/>
          <w:iCs/>
        </w:rPr>
        <w:t xml:space="preserve">non-refinement, with no caps at all. Lemma 2</w:t>
      </w:r>
      <w:r>
        <w:rPr>
          <w:i/>
          <w:iCs/>
        </w:rPr>
        <w:t xml:space="preserve">(a)</w:t>
      </w:r>
      <w:r>
        <w:rPr>
          <w:i/>
          <w:iCs/>
        </w:rPr>
        <w:t xml:space="preserve"> </w:t>
      </w:r>
      <w:r>
        <w:rPr>
          <w:i/>
          <w:iCs/>
        </w:rPr>
        <w:t xml:space="preserve">is a different route to</w:t>
      </w:r>
      <w:r>
        <w:rPr>
          <w:i/>
          <w:iCs/>
        </w:rPr>
        <w:t xml:space="preserve"> </w:t>
      </w:r>
      <w:r>
        <w:rPr>
          <w:i/>
          <w:iCs/>
        </w:rPr>
        <w:t xml:space="preserve">the same conclusion</w:t>
      </w:r>
      <w:r>
        <w:rPr>
          <w:i/>
          <w:iCs/>
        </w:rPr>
        <w:t xml:space="preserve"> </w:t>
      </w:r>
      <w:r>
        <w:rPr>
          <w:i/>
          <w:i/>
          <w:iCs/>
          <w:iCs/>
        </w:rPr>
        <w:t xml:space="preserve">within the same projection setting</w:t>
      </w:r>
      <w:r>
        <w:rPr>
          <w:i/>
          <w:iCs/>
        </w:rPr>
        <w:t xml:space="preserve">: it argues from Bayes values rather</w:t>
      </w:r>
      <w:r>
        <w:rPr>
          <w:i/>
          <w:iCs/>
        </w:rPr>
        <w:t xml:space="preserve"> </w:t>
      </w:r>
      <w:r>
        <w:rPr>
          <w:i/>
          <w:iCs/>
        </w:rPr>
        <w:t xml:space="preserve">than from</w:t>
      </w:r>
      <w:r>
        <w:rPr>
          <w:i/>
          <w:iCs/>
        </w:rPr>
        <w:t xml:space="preserve"> </w:t>
      </w:r>
      <m:oMath>
        <m:r>
          <m:t>σ</m:t>
        </m:r>
      </m:oMath>
      <w:r>
        <w:rPr>
          <w:i/>
          <w:iCs/>
        </w:rPr>
        <w:t xml:space="preserve">-algebras, and the caps are what that argument costs. It is not a generalization</w:t>
      </w:r>
      <w:r>
        <w:rPr>
          <w:i/>
          <w:iCs/>
        </w:rPr>
        <w:t xml:space="preserve"> </w:t>
      </w:r>
      <w:r>
        <w:rPr>
          <w:i/>
          <w:iCs/>
        </w:rPr>
        <w:t xml:space="preserve">to arbitrary sources; a criterion for those would be a separate statement we do not prove. What the caps do here is show why a</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alone proves nothing:</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 cells,</w:t>
      </w:r>
      <w:r>
        <w:rPr>
          <w:i/>
          <w:iCs/>
        </w:rPr>
        <w:t xml:space="preserve"> </w:t>
      </w:r>
      <m:oMath>
        <m:sSub>
          <m:e>
            <m:r>
              <m:t>W</m:t>
            </m:r>
          </m:e>
          <m:sub>
            <m:r>
              <m:t>1</m:t>
            </m:r>
            <m:r>
              <m:rPr>
                <m:sty m:val="p"/>
              </m:rPr>
              <m:t>+</m:t>
            </m:r>
          </m:sub>
        </m:sSub>
      </m:oMath>
      <w:r>
        <w:rPr>
          <w:i/>
          <w:iCs/>
        </w:rPr>
        <w:t xml:space="preserve"> </w:t>
      </w:r>
      <w:r>
        <w:rPr>
          <w:i/>
          <w:iCs/>
        </w:rPr>
        <w:t xml:space="preserve">the encoding cell) yet strictly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the superset revealing one further independent non-degenerate coordinate),</w:t>
      </w:r>
      <w:r>
        <w:rPr>
          <w:i/>
          <w:iCs/>
        </w:rPr>
        <w:t xml:space="preserve"> </w:t>
      </w:r>
      <w:r>
        <w:rPr>
          <w:i/>
          <w:iCs/>
        </w:rPr>
        <w:t xml:space="preserve">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w:t>
      </w:r>
      <w:r>
        <w:rPr>
          <w:i/>
          <w:iCs/>
        </w:rPr>
        <w:t xml:space="preserve"> </w:t>
      </w:r>
      <w:r>
        <w:rPr>
          <w:i/>
          <w:iCs/>
        </w:rPr>
        <w:t xml:space="preserve">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 neither</w:t>
      </w:r>
      <w:r>
        <w:rPr>
          <w:i/>
          <w:iCs/>
        </w:rPr>
        <w:t xml:space="preserve"> </w:t>
      </w:r>
      <w:r>
        <w:rPr>
          <w:i/>
          <w:iCs/>
        </w:rPr>
        <w:t xml:space="preserve">premise verified, certifies nothing structural in</w:t>
      </w:r>
      <w:r>
        <w:rPr>
          <w:i/>
          <w:iCs/>
        </w:rPr>
        <w:t xml:space="preserve"> </w:t>
      </w:r>
      <w:r>
        <w:rPr>
          <w:i/>
          <w:i/>
          <w:iCs/>
          <w:iCs/>
        </w:rPr>
        <w:t xml:space="preserve">either</w:t>
      </w:r>
      <w:r>
        <w:rPr>
          <w:i/>
          <w:iCs/>
        </w:rPr>
        <w:t xml:space="preserve"> </w:t>
      </w:r>
      <w:r>
        <w:rPr>
          <w:i/>
          <w:iCs/>
        </w:rPr>
        <w:t xml:space="preserve">direction. It is equally</w:t>
      </w:r>
      <w:r>
        <w:rPr>
          <w:i/>
          <w:iCs/>
        </w:rPr>
        <w:t xml:space="preserve"> </w:t>
      </w:r>
      <w:r>
        <w:rPr>
          <w:i/>
          <w:iCs/>
        </w:rPr>
        <w:t xml:space="preserve">consistent with genuine incomparability under optimal play (two sources revealing independent</w:t>
      </w:r>
      <w:r>
        <w:rPr>
          <w:i/>
          <w:iCs/>
        </w:rPr>
        <w:t xml:space="preserve"> </w:t>
      </w:r>
      <w:r>
        <w:rPr>
          <w:i/>
          <w:iCs/>
        </w:rPr>
        <w:t xml:space="preserve">coordinates cross even when each side plays optimally) and with a merely incoherent rule</w:t>
      </w:r>
      <w:r>
        <w:rPr>
          <w:i/>
          <w:iCs/>
        </w:rPr>
        <w:t xml:space="preserve"> </w:t>
      </w:r>
      <w:r>
        <w:rPr>
          <w:i/>
          <w:iCs/>
        </w:rPr>
        <w:t xml:space="preserve">(Theorem 3). The two cases should not be run together.</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 a</w:t>
      </w:r>
      <w:r>
        <w:rPr>
          <w:i/>
          <w:iCs/>
        </w:rPr>
        <w:t xml:space="preserve"> </w:t>
      </w:r>
      <w:r>
        <w:rPr>
          <w:i/>
          <w:i/>
          <w:iCs/>
          <w:iCs/>
        </w:rPr>
        <w:t xml:space="preserve">strict comparability</w:t>
      </w:r>
      <w:r>
        <w:rPr>
          <w:i/>
          <w:iCs/>
        </w:rPr>
        <w:t xml:space="preserve"> </w:t>
      </w:r>
      <w:r>
        <w:rPr>
          <w:i/>
          <w:iCs/>
        </w:rPr>
        <w:t xml:space="preserve">whose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preferences nonetheless oppose; the distinct</w:t>
      </w:r>
      <w:r>
        <w:rPr>
          <w:i/>
          <w:iCs/>
        </w:rPr>
        <w:t xml:space="preserve"> </w:t>
      </w:r>
      <w:r>
        <w:rPr>
          <w:i/>
          <w:iCs/>
        </w:rPr>
        <w:t xml:space="preserve">phenomenon of a rule preferring differently between two</w:t>
      </w:r>
      <w:r>
        <w:rPr>
          <w:i/>
          <w:iCs/>
        </w:rPr>
        <w:t xml:space="preserve"> </w:t>
      </w:r>
      <w:r>
        <w:rPr>
          <w:i/>
          <w:i/>
          <w:iCs/>
          <w:iCs/>
        </w:rPr>
        <w:t xml:space="preserve">equivalent</w:t>
      </w:r>
      <w:r>
        <w:rPr>
          <w:i/>
          <w:iCs/>
        </w:rPr>
        <w:t xml:space="preserve"> </w:t>
      </w:r>
      <w:r>
        <w:rPr>
          <w:i/>
          <w:iCs/>
        </w:rPr>
        <w:t xml:space="preserve">experiments is</w:t>
      </w:r>
      <w:r>
        <w:rPr>
          <w:i/>
          <w:iCs/>
        </w:rPr>
        <w:t xml:space="preserve"> </w:t>
      </w:r>
      <w:r>
        <w:rPr>
          <w:i/>
          <w:iCs/>
        </w:rPr>
        <w:t xml:space="preserve">illustrated by the padding pair</w:t>
      </w:r>
      <w:r>
        <w:rPr>
          <w:i/>
          <w:iCs/>
        </w:rP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rPr>
          <w:i/>
          <w:iCs/>
        </w:rPr>
        <w:t xml:space="preserve">, where the added block carries no</w:t>
      </w:r>
      <w:r>
        <w:rPr>
          <w:i/>
          <w:iCs/>
        </w:rPr>
        <w:t xml:space="preserve"> </w:t>
      </w:r>
      <w:r>
        <w:rPr>
          <w:i/>
          <w:iCs/>
        </w:rPr>
        <w:t xml:space="preserve">coordinate any verifier reads (Remark 2). That a representation-sensitive decoder</w:t>
      </w:r>
      <w:r>
        <w:rPr>
          <w:i/>
          <w:iCs/>
        </w:rPr>
        <w:t xml:space="preserve"> </w:t>
      </w:r>
      <w:r>
        <w:rPr>
          <w:i/>
          <w:i/>
          <w:iCs/>
          <w:iCs/>
        </w:rPr>
        <w:t xml:space="preserve">can</w:t>
      </w:r>
      <w:r>
        <w:rPr>
          <w:i/>
          <w:iCs/>
        </w:rPr>
        <w:t xml:space="preserve"> </w:t>
      </w:r>
      <w:r>
        <w:rPr>
          <w:i/>
          <w:iCs/>
        </w:rPr>
        <w:t xml:space="preserve">do this in general is a structural observation, not something our single measured</w:t>
      </w:r>
      <w:r>
        <w:rPr>
          <w:i/>
          <w:iCs/>
        </w:rPr>
        <w:t xml:space="preserve"> </w:t>
      </w:r>
      <w:r>
        <w:rPr>
          <w:i/>
          <w:iCs/>
        </w:rPr>
        <w:t xml:space="preserve">difference certifies. Nor is the projection construction</w:t>
      </w:r>
      <w:r>
        <w:rPr>
          <w:i/>
          <w:iCs/>
        </w:rPr>
        <w:t xml:space="preserve"> </w:t>
      </w:r>
      <w:r>
        <w:rPr>
          <w:i/>
          <w:i/>
          <w:iCs/>
          <w:iCs/>
        </w:rPr>
        <w:t xml:space="preserve">necessary</w:t>
      </w:r>
      <w:r>
        <w:rPr>
          <w:i/>
          <w:iCs/>
        </w:rPr>
        <w:t xml:space="preserve"> </w:t>
      </w:r>
      <w:r>
        <w:rPr>
          <w:i/>
          <w:iCs/>
        </w:rPr>
        <w:t xml:space="preserve">for</w:t>
      </w:r>
      <w:r>
        <w:rPr>
          <w:i/>
          <w:iCs/>
        </w:rPr>
        <w:t xml:space="preserve"> </w:t>
      </w:r>
      <w:r>
        <w:rPr>
          <w:i/>
          <w:iCs/>
        </w:rPr>
        <w:t xml:space="preserve">incomparability: it is the cleanest sufficient condition we know, and the one our sources</w:t>
      </w:r>
      <w:r>
        <w:rPr>
          <w:i/>
          <w:iCs/>
        </w:rPr>
        <w:t xml:space="preserve"> </w:t>
      </w:r>
      <w:r>
        <w:rPr>
          <w:i/>
          <w:iCs/>
        </w:rPr>
        <w:t xml:space="preserve">realize.</w:t>
      </w:r>
    </w:p>
    <w:bookmarkEnd w:id="40"/>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1"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1"/>
    <w:p>
      <w:pPr>
        <w:pStyle w:val="BodyText"/>
      </w:pPr>
      <w:r>
        <w:t xml:space="preserve">It is worth fixing what each formal object does, since they are easy to run together.</w:t>
      </w:r>
      <w:r>
        <w:t xml:space="preserve"> </w:t>
      </w:r>
      <w:r>
        <w:t xml:space="preserve">Lemma 1 establishes structural incomparability for the specified projection</w:t>
      </w:r>
      <w:r>
        <w:t xml:space="preserve"> </w:t>
      </w:r>
      <w:r>
        <w:t xml:space="preserve">sources, and needs no prior, no caps and no measurement. Lemma 2 gives a</w:t>
      </w:r>
      <w:r>
        <w:t xml:space="preserve"> </w:t>
      </w:r>
      <w:r>
        <w:rPr>
          <w:i/>
          <w:iCs/>
        </w:rPr>
        <w:t xml:space="preserve">conditional</w:t>
      </w:r>
      <w:r>
        <w:t xml:space="preserve"> </w:t>
      </w:r>
      <w:r>
        <w:t xml:space="preserve">Bayes-value separation criterion for a pair not handed to us that way, and</w:t>
      </w:r>
      <w:r>
        <w:t xml:space="preserve"> </w:t>
      </w:r>
      <w:r>
        <w:t xml:space="preserve">clarifies why a fixed-decoder crossover alone is insufficient; its guessing caps are assumptions,</w:t>
      </w:r>
      <w:r>
        <w:t xml:space="preserve"> </w:t>
      </w:r>
      <w:r>
        <w:t xml:space="preserve">never estimates recovered from the observed state-conditional</w:t>
      </w:r>
      <w:r>
        <w:t xml:space="preserve"> </w:t>
      </w:r>
      <m:oMath>
        <m:sSub>
          <m:e>
            <m:r>
              <m:rPr>
                <m:sty m:val="p"/>
              </m:rPr>
              <m:t>P</m:t>
            </m:r>
            <m:r>
              <m:rPr>
                <m:sty m:val="p"/>
              </m:rPr>
              <m:t>A</m:t>
            </m:r>
            <m:r>
              <m:rPr>
                <m:sty m:val="p"/>
              </m:rPr>
              <m:t>S</m:t>
            </m:r>
            <m:r>
              <m:rPr>
                <m:sty m:val="p"/>
              </m:rPr>
              <m:t>S</m:t>
            </m:r>
          </m:e>
          <m:sub>
            <m:r>
              <m:t>M</m:t>
            </m:r>
          </m:sub>
        </m:sSub>
      </m:oMath>
      <w:r>
        <w:t xml:space="preserve"> </w:t>
      </w:r>
      <w:r>
        <w:t xml:space="preserve">rates.</w:t>
      </w:r>
      <w:r>
        <w:t xml:space="preserve"> </w:t>
      </w:r>
      <w:r>
        <w:t xml:space="preserve">Assumption 1 is a different kind of statement again: it concerns the decoder’s</w:t>
      </w:r>
      <w:r>
        <w:t xml:space="preserve"> </w:t>
      </w:r>
      <w:r>
        <w:t xml:space="preserve">realized cross-advantage on named tasks, which the experiments assess directly. Of the two</w:t>
      </w:r>
      <w:r>
        <w:t xml:space="preserve"> </w:t>
      </w:r>
      <w:r>
        <w:t xml:space="preserve">controls, the superset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 Blackwell-comparable despite opposing</w:t>
      </w:r>
      <w:r>
        <w:t xml:space="preserve"> </w:t>
      </w:r>
      <m:oMath>
        <m:sSub>
          <m:e>
            <m:r>
              <m:rPr>
                <m:sty m:val="p"/>
              </m:rPr>
              <m:t>P</m:t>
            </m:r>
            <m:r>
              <m:rPr>
                <m:sty m:val="p"/>
              </m:rPr>
              <m:t>A</m:t>
            </m:r>
            <m:r>
              <m:rPr>
                <m:sty m:val="p"/>
              </m:rPr>
              <m:t>S</m:t>
            </m:r>
            <m:r>
              <m:rPr>
                <m:sty m:val="p"/>
              </m:rPr>
              <m:t>S</m:t>
            </m:r>
          </m:e>
          <m:sub>
            <m:r>
              <m:t>M</m:t>
            </m:r>
          </m:sub>
        </m:sSub>
      </m:oMath>
      <w:r>
        <w:t xml:space="preserve"> </w:t>
      </w:r>
      <w:r>
        <w:t xml:space="preserve">preferences, while the padding pair</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t>
      </w:r>
      <w:r>
        <w:t xml:space="preserve">illustrates the separate matter of</w:t>
      </w:r>
      <w:r>
        <w:t xml:space="preserve"> </w:t>
      </w:r>
      <w:r>
        <w:t xml:space="preserve">representation dependence</w:t>
      </w:r>
      <w:r>
        <w:t xml:space="preserve"> </w:t>
      </w:r>
      <w:r>
        <w:rPr>
          <w:i/>
          <w:iCs/>
        </w:rPr>
        <w:t xml:space="preserve">within</w:t>
      </w:r>
      <w:r>
        <w:t xml:space="preserve"> </w:t>
      </w:r>
      <w:r>
        <w:t xml:space="preserve">an equivalence class.</w:t>
      </w:r>
    </w:p>
    <w:bookmarkEnd w:id="42"/>
    <w:bookmarkEnd w:id="43"/>
    <w:bookmarkStart w:id="53"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48" w:name="query-independent-scores-the-theorem"/>
    <w:p>
      <w:pPr>
        <w:pStyle w:val="Heading2"/>
      </w:pPr>
      <w:r>
        <w:t xml:space="preserve">Query-independent scores: the theorem</w:t>
      </w:r>
    </w:p>
    <w:bookmarkStart w:id="44"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If</w:t>
      </w:r>
      <w:r>
        <w:rPr>
          <w:i/>
          <w:iCs/>
        </w:rPr>
        <w:t xml:space="preserve"> </w:t>
      </w:r>
      <w:r>
        <w:rPr>
          <w:i/>
          <w:iCs/>
        </w:rPr>
        <w:t xml:space="preserve">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 the</w:t>
      </w:r>
      <w:r>
        <w:rPr>
          <w:i/>
          <w:iCs/>
        </w:rPr>
        <w:t xml:space="preserve"> </w:t>
      </w:r>
      <m:oMath>
        <m:r>
          <m:t>φ</m:t>
        </m:r>
      </m:oMath>
      <w:r>
        <w:rPr>
          <w:i/>
          <w:iCs/>
        </w:rPr>
        <w:t xml:space="preserve">-induced ranking also disagrees with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4"/>
    <w:bookmarkStart w:id="45" w:name="rem:c2scope"/>
    <w:p>
      <w:pPr>
        <w:pStyle w:val="BodyText"/>
      </w:pPr>
      <w:r>
        <w:rPr>
          <w:i/>
          <w:iCs/>
        </w:rPr>
        <w:t xml:space="preserve">Remark 3</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5"/>
    <w:bookmarkStart w:id="46"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6"/>
    <w:bookmarkStart w:id="47"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7"/>
    <w:bookmarkEnd w:id="48"/>
    <w:bookmarkStart w:id="52"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49"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9"/>
    <w:bookmarkStart w:id="50" w:name="rem:trapscope"/>
    <w:p>
      <w:pPr>
        <w:pStyle w:val="BodyText"/>
      </w:pPr>
      <w:r>
        <w:rPr>
          <w:i/>
          <w:iCs/>
        </w:rPr>
        <w:t xml:space="preserve">Remark 5</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that the scorers deployed in practice, which read text rather than labels, do fall</w:t>
      </w:r>
      <w:r>
        <w:t xml:space="preserve"> </w:t>
      </w:r>
      <w:r>
        <w:t xml:space="preserve">into the constrained class on it (§7.4.2).</w:t>
      </w:r>
    </w:p>
    <w:bookmarkEnd w:id="50"/>
    <w:bookmarkStart w:id="51" w:name="rem:overlaponly"/>
    <w:p>
      <w:pPr>
        <w:pStyle w:val="BodyText"/>
      </w:pPr>
      <w:r>
        <w:rPr>
          <w:i/>
          <w:iCs/>
        </w:rPr>
        <w:t xml:space="preserve">Remark 6</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1"/>
    <w:p>
      <w:pPr>
        <w:pStyle w:val="BodyText"/>
      </w:pPr>
      <w:r>
        <w:t xml:space="preserve">Proposition 2 is deliberately narrow. It constrains a query-conditioned</w:t>
      </w:r>
      <w:r>
        <w:t xml:space="preserve"> </w:t>
      </w:r>
      <w:r>
        <w:t xml:space="preserve">score</w:t>
      </w:r>
      <w:r>
        <w:t xml:space="preserve"> </w:t>
      </w:r>
      <m:oMath>
        <m:r>
          <m:t>φ</m:t>
        </m:r>
        <m:r>
          <m:rPr>
            <m:sty m:val="p"/>
          </m:rPr>
          <m:t>(</m:t>
        </m:r>
        <m:r>
          <m:t>W</m:t>
        </m:r>
        <m:r>
          <m:rPr>
            <m:sty m:val="p"/>
          </m:rPr>
          <m:t>,</m:t>
        </m:r>
        <m:r>
          <m:t>T</m:t>
        </m:r>
        <m:r>
          <m:rPr>
            <m:sty m:val="p"/>
          </m:rPr>
          <m:t>)</m:t>
        </m:r>
      </m:oMath>
      <w:r>
        <w:t xml:space="preserve"> </w:t>
      </w:r>
      <w:r>
        <w:t xml:space="preserve">only when that score meets hypothesis</w:t>
      </w:r>
      <w:r>
        <w:t xml:space="preserve"> </w:t>
      </w:r>
      <w:r>
        <w:t xml:space="preserve">(a)</w:t>
      </w:r>
      <w:r>
        <w:t xml:space="preserve"> </w:t>
      </w:r>
      <w:r>
        <w:t xml:space="preserve">or</w:t>
      </w:r>
      <w:r>
        <w:t xml:space="preserve"> </w:t>
      </w:r>
      <w:r>
        <w:t xml:space="preserve">(b)</w:t>
      </w:r>
      <w:r>
        <w:t xml:space="preserve">; it does</w:t>
      </w:r>
      <w:r>
        <w:t xml:space="preserve"> </w:t>
      </w:r>
      <w:r>
        <w:t xml:space="preserve">not cover the topical class as a whole, and it says nothing about an arbitrary learned reranker,</w:t>
      </w:r>
      <w:r>
        <w:t xml:space="preserve"> </w:t>
      </w:r>
      <w:r>
        <w:t xml:space="preserve">which might read the private coordinate, or about a router over public task metadata</w:t>
      </w:r>
      <w:r>
        <w:t xml:space="preserve"> </w:t>
      </w:r>
      <w:r>
        <w:t xml:space="preserve">(Remark 5). Note also that it is a statement about</w:t>
      </w:r>
      <w:r>
        <w:t xml:space="preserve"> </w:t>
      </w:r>
      <m:oMath>
        <m:r>
          <m:t>φ</m:t>
        </m:r>
        <m:r>
          <m:rPr>
            <m:sty m:val="p"/>
          </m:rPr>
          <m:t>(</m:t>
        </m:r>
        <m:r>
          <m:t>W</m:t>
        </m:r>
        <m:r>
          <m:rPr>
            <m:sty m:val="p"/>
          </m:rPr>
          <m:t>,</m:t>
        </m:r>
        <m:r>
          <m:t>T</m:t>
        </m:r>
        <m:r>
          <m:rPr>
            <m:sty m:val="p"/>
          </m:rPr>
          <m:t>)</m:t>
        </m:r>
      </m:oMath>
      <w:r>
        <w:t xml:space="preserve">, a score that</w:t>
      </w:r>
      <w:r>
        <w:t xml:space="preserve"> </w:t>
      </w:r>
      <w:r>
        <w:t xml:space="preserve">may vary with the task; Theorem 2 is the separate statement about</w:t>
      </w:r>
      <w:r>
        <w:t xml:space="preserve"> </w:t>
      </w:r>
      <m:oMath>
        <m:r>
          <m:t>φ</m:t>
        </m:r>
        <m:r>
          <m:rPr>
            <m:sty m:val="p"/>
          </m:rPr>
          <m:t>(</m:t>
        </m:r>
        <m:r>
          <m:t>W</m:t>
        </m:r>
        <m:r>
          <m:rPr>
            <m:sty m:val="p"/>
          </m:rPr>
          <m:t>)</m:t>
        </m:r>
      </m:oMath>
      <w:r>
        <w:t xml:space="preserve">, one number per source fixed across all tasks. We therefore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w:t>
      </w:r>
      <w:r>
        <w:t xml:space="preserve"> </w:t>
      </w:r>
      <w:r>
        <w:t xml:space="preserve">§7.4.2.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90</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on every one of the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Nie, et al. 2025)</w:t>
      </w:r>
      <w:r>
        <w:t xml:space="preserve">, the last of these a corpus of real retrieved contexts</w:t>
      </w:r>
      <w:r>
        <w:t xml:space="preserve"> </w:t>
      </w:r>
      <w:r>
        <w:t xml:space="preserve">built precisely to check whether synthetic benchmarks overstate context</w:t>
      </w:r>
      <w:r>
        <w:t xml:space="preserve"> </w:t>
      </w:r>
      <w:r>
        <w:t xml:space="preserve">utilisation </w:t>
      </w:r>
      <w:r>
        <w:t xml:space="preserve">(Hagström, Marjanović,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permits rather than predicts: its hypothesis</w:t>
      </w:r>
      <w:r>
        <w:t xml:space="preserve"> </w:t>
      </w:r>
      <w:r>
        <w:t xml:space="preserve">is topicality (invariance to the verifier-decisive coordinate), and a ranker that reads the</w:t>
      </w:r>
      <w:r>
        <w:t xml:space="preserve"> </w:t>
      </w:r>
      <w:r>
        <w:t xml:space="preserve">coordinate is simply outside the constrained class, so the proposition allows it to succeed</w:t>
      </w:r>
      <w:r>
        <w:t xml:space="preserve"> </w:t>
      </w:r>
      <w:r>
        <w:t xml:space="preserve">without implying that it must.</w:t>
      </w:r>
    </w:p>
    <w:bookmarkEnd w:id="52"/>
    <w:bookmarkEnd w:id="53"/>
    <w:bookmarkStart w:id="65"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5"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4" w:name="rem:notlecam"/>
    <w:p>
      <w:pPr>
        <w:pStyle w:val="BodyText"/>
      </w:pPr>
      <w:r>
        <w:rPr>
          <w:i/>
          <w:iCs/>
        </w:rPr>
        <w:t xml:space="preserve">Remark 7</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4"/>
    <w:bookmarkEnd w:id="55"/>
    <w:bookmarkStart w:id="58"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6"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6"/>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7"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which is what makes the binomial model of Assumption 2 reasonable rather than proved;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7"/>
    <w:bookmarkEnd w:id="58"/>
    <w:bookmarkStart w:id="61"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8).</w:t>
      </w:r>
    </w:p>
    <w:bookmarkStart w:id="59"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59"/>
    <w:bookmarkStart w:id="60" w:name="rem:psinotharm"/>
    <w:p>
      <w:pPr>
        <w:pStyle w:val="FirstParagraph"/>
      </w:pPr>
      <w:r>
        <w:rPr>
          <w:i/>
          <w:iCs/>
        </w:rPr>
        <w:t xml:space="preserve">Remark 8</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0"/>
    <w:bookmarkEnd w:id="61"/>
    <w:bookmarkStart w:id="63"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2"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where</w:t>
      </w:r>
      <w:r>
        <w:rPr>
          <w:i/>
          <w:iCs/>
        </w:rPr>
        <w:t xml:space="preserve"> </w:t>
      </w:r>
      <m:oMath>
        <m:r>
          <m:t>G</m:t>
        </m:r>
      </m:oMath>
      <w:r>
        <w:rPr>
          <w:i/>
          <w:iCs/>
        </w:rPr>
        <w:t xml:space="preserve"> </w:t>
      </w:r>
      <w:r>
        <w:rPr>
          <w:i/>
          <w:iCs/>
        </w:rPr>
        <w:t xml:space="preserve">deletes</w:t>
      </w:r>
      <w:r>
        <w:rPr>
          <w:i/>
          <w:iCs/>
        </w:rPr>
        <w:t xml:space="preserve"> </w:t>
      </w:r>
      <m:oMath>
        <m:sSub>
          <m:e>
            <m:r>
              <m:t>W</m:t>
            </m:r>
          </m:e>
          <m:sub>
            <m:r>
              <m:t>2</m:t>
            </m:r>
          </m:sub>
        </m:sSub>
      </m:oMath>
      <w:r>
        <w:rPr>
          <w:i/>
          <w:iCs/>
        </w:rPr>
        <w:t xml:space="preserve">’s block from</w:t>
      </w:r>
      <w:r>
        <w:rPr>
          <w:i/>
          <w:iCs/>
        </w:rPr>
        <w:t xml:space="preserve"> </w:t>
      </w:r>
      <m:oMath>
        <m:sSub>
          <m:e>
            <m:r>
              <m:t>W</m:t>
            </m:r>
          </m:e>
          <m:sub>
            <m:r>
              <m:t>1</m:t>
            </m:r>
            <m:r>
              <m:rPr>
                <m:sty m:val="p"/>
              </m:rPr>
              <m:t>+</m:t>
            </m:r>
          </m:sub>
        </m:sSub>
      </m:oMath>
      <w:r>
        <w:rPr>
          <w:i/>
          <w:iCs/>
        </w:rPr>
        <w:t xml:space="preserve">’s signal and acts as the identity</w:t>
      </w:r>
      <w:r>
        <w:rPr>
          <w:i/>
          <w:iCs/>
        </w:rPr>
        <w:t xml:space="preserve"> </w:t>
      </w:r>
      <w:r>
        <w:rPr>
          <w:i/>
          <w:iCs/>
        </w:rPr>
        <w:t xml:space="preserve">on</w:t>
      </w:r>
      <w:r>
        <w:rPr>
          <w:i/>
          <w:iCs/>
        </w:rPr>
        <w:t xml:space="preserve"> </w:t>
      </w:r>
      <m:oMath>
        <m:sSub>
          <m:e>
            <m:r>
              <m:t>W</m:t>
            </m:r>
          </m:e>
          <m:sub>
            <m:r>
              <m:t>1</m:t>
            </m:r>
          </m:sub>
        </m:sSub>
      </m:oMath>
      <w:r>
        <w:rPr>
          <w:i/>
          <w:iCs/>
        </w:rPr>
        <w:t xml:space="preserve">’s, so that the one rule is defined on both inputs,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2"/>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3"/>
    <w:bookmarkStart w:id="64"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4"/>
    <w:bookmarkEnd w:id="65"/>
    <w:bookmarkStart w:id="103"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68"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6"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6"/>
    <w:bookmarkStart w:id="67"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A1), we report that leakage explicitly and</w:t>
      </w:r>
      <w:r>
        <w:t xml:space="preserve"> </w:t>
      </w:r>
      <w:r>
        <w:t xml:space="preserve">do not use those cells for claims that require a near-zero baseline.</w:t>
      </w:r>
    </w:p>
    <w:bookmarkEnd w:id="67"/>
    <w:bookmarkEnd w:id="68"/>
    <w:bookmarkStart w:id="71"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9"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69"/>
    <w:bookmarkStart w:id="70"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Proposition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0"/>
    <w:bookmarkEnd w:id="71"/>
    <w:bookmarkStart w:id="81" w:name="sec:methodology"/>
    <w:p>
      <w:pPr>
        <w:pStyle w:val="Heading2"/>
      </w:pPr>
      <w:r>
        <w:t xml:space="preserve">Methodology</w:t>
      </w:r>
    </w:p>
    <w:bookmarkStart w:id="72"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2"/>
    <w:bookmarkStart w:id="74"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3">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4"/>
    <w:bookmarkStart w:id="75"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5"/>
    <w:bookmarkStart w:id="76"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6"/>
    <w:bookmarkStart w:id="77"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8).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At</w:t>
      </w:r>
      <w:r>
        <w:t xml:space="preserve"> </w:t>
      </w:r>
      <m:oMath>
        <m:acc>
          <m:accPr>
            <m:chr m:val="̂"/>
          </m:accPr>
          <m:e>
            <m:r>
              <m:t>p</m:t>
            </m:r>
          </m:e>
        </m:acc>
        <m:r>
          <m:rPr>
            <m:sty m:val="p"/>
          </m:rPr>
          <m:t>=</m:t>
        </m:r>
        <m:r>
          <m:t>0</m:t>
        </m:r>
      </m:oMath>
      <w:r>
        <w:t xml:space="preserve"> </w:t>
      </w:r>
      <w:r>
        <w:t xml:space="preserve">and</w:t>
      </w:r>
      <w:r>
        <w:t xml:space="preserve"> </w:t>
      </w:r>
      <m:oMath>
        <m:acc>
          <m:accPr>
            <m:chr m:val="̂"/>
          </m:accPr>
          <m:e>
            <m:r>
              <m:t>p</m:t>
            </m:r>
          </m:e>
        </m:acc>
        <m:r>
          <m:rPr>
            <m:sty m:val="p"/>
          </m:rPr>
          <m:t>=</m:t>
        </m:r>
        <m:r>
          <m:t>1</m:t>
        </m:r>
      </m:oMath>
      <w:r>
        <w:t xml:space="preserve"> </w:t>
      </w:r>
      <w:r>
        <w:t xml:space="preserve">the</w:t>
      </w:r>
      <w:r>
        <w:t xml:space="preserve"> </w:t>
      </w:r>
      <w:r>
        <w:t xml:space="preserve">interval becomes one-sided but does not degenerate to a point: at</w:t>
      </w:r>
      <w:r>
        <w:t xml:space="preserve"> </w:t>
      </w:r>
      <m:oMath>
        <m:r>
          <m:t>n</m:t>
        </m:r>
        <m:r>
          <m:rPr>
            <m:sty m:val="p"/>
          </m:rPr>
          <m:t>=</m:t>
        </m:r>
        <m:r>
          <m:t>40</m:t>
        </m:r>
      </m:oMath>
      <w:r>
        <w:t xml:space="preserve"> </w:t>
      </w:r>
      <w:r>
        <w:t xml:space="preserve">and the level Figure</w:t>
      </w:r>
      <w:r>
        <w:t xml:space="preserve"> </w:t>
      </w:r>
      <w:r>
        <w:t xml:space="preserve">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0.872</m:t>
        </m:r>
        <m:r>
          <m:rPr>
            <m:sty m:val="p"/>
          </m:rPr>
          <m:t>,</m:t>
        </m:r>
        <m:r>
          <m:t> </m:t>
        </m:r>
        <m:r>
          <m:t>1</m:t>
        </m:r>
        <m:r>
          <m:rPr>
            <m:sty m:val="p"/>
          </m:rPr>
          <m:t>]</m:t>
        </m:r>
      </m:oMath>
      <w:r>
        <w:t xml:space="preserve">. It is that</w:t>
      </w:r>
      <w:r>
        <w:t xml:space="preserve"> </w:t>
      </w:r>
      <w:r>
        <w:t xml:space="preserve">residual width the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 intermediate proportions need a larger</w:t>
      </w:r>
      <w:r>
        <w:t xml:space="preserve"> </w:t>
      </w:r>
      <m:oMath>
        <m:r>
          <m:t>n</m:t>
        </m:r>
      </m:oMath>
      <w:r>
        <w:t xml:space="preserve"> </w:t>
      </w:r>
      <w:r>
        <w:t xml:space="preserve">for the same margin.</w:t>
      </w:r>
    </w:p>
    <w:bookmarkEnd w:id="77"/>
    <w:bookmarkStart w:id="78"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The verified collapses clear it with upper confidence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5), and the character-matched padding control clears it at</w:t>
      </w:r>
      <w:r>
        <w:t xml:space="preserve"> </w:t>
      </w:r>
      <m:oMath>
        <m:r>
          <m:rPr>
            <m:sty m:val="p"/>
          </m:rPr>
          <m:t>−</m:t>
        </m:r>
        <m:r>
          <m:t>0.67</m:t>
        </m:r>
      </m:oMath>
      <w:r>
        <w:t xml:space="preserve">. One</w:t>
      </w:r>
      <w:r>
        <w:t xml:space="preserve"> </w:t>
      </w:r>
      <w:r>
        <w:t xml:space="preserve">real effect fails it and is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0.11</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0.26</m:t>
        </m:r>
      </m:oMath>
      <w:r>
        <w:t xml:space="preserve"> </w:t>
      </w:r>
      <w:r>
        <w:t xml:space="preserve">once the import is neutralized. A threshold that a genuine effect fails is evidence it was not</w:t>
      </w:r>
      <w:r>
        <w:t xml:space="preserve"> </w:t>
      </w:r>
      <w:r>
        <w:t xml:space="preserve">tuned to pass the data. We note that the second-pair contrast, reported in an earlier version as</w:t>
      </w:r>
      <w:r>
        <w:t xml:space="preserve"> </w:t>
      </w:r>
      <w:r>
        <w:t xml:space="preserve">sign-only, clears the margin at</w:t>
      </w:r>
      <w:r>
        <w:t xml:space="preserve"> </w:t>
      </w:r>
      <m:oMath>
        <m:r>
          <m:rPr>
            <m:sty m:val="p"/>
          </m:rPr>
          <m:t>−</m:t>
        </m:r>
        <m:r>
          <m:t>0.33</m:t>
        </m:r>
      </m:oMath>
      <w:r>
        <w:t xml:space="preserve"> </w:t>
      </w:r>
      <w:r>
        <w:t xml:space="preserve">once the confidence budget is allocated correctly</w:t>
      </w:r>
      <w:r>
        <w:t xml:space="preserve"> </w:t>
      </w:r>
      <w:r>
        <w:t xml:space="preserve">(§7.5); the earlier shortfall was an artifact of spending two-sided</w:t>
      </w:r>
      <w:r>
        <w:t xml:space="preserve"> </w:t>
      </w:r>
      <w:r>
        <w:t xml:space="preserve">intervals on a one-sided bound, not a property of that effect.</w:t>
      </w:r>
    </w:p>
    <w:bookmarkEnd w:id="78"/>
    <w:bookmarkStart w:id="79" w:name="what-the-intervals-do-not-cover."/>
    <w:p>
      <w:pPr>
        <w:pStyle w:val="Heading4"/>
      </w:pPr>
      <w:r>
        <w:t xml:space="preserve">What the intervals do not cover.</w:t>
      </w:r>
    </w:p>
    <w:p>
      <w:pPr>
        <w:pStyle w:val="FirstParagraph"/>
      </w:pPr>
      <w:r>
        <w:t xml:space="preserve">The Clopper–Pearson intervals carry sampling error under Assumption 2, a fixed</w:t>
      </w:r>
      <w:r>
        <w:t xml:space="preserve"> </w:t>
      </w:r>
      <w:r>
        <w:t xml:space="preserve">success probability per cell. They carry nothing else, and two components outside them are larger</w:t>
      </w:r>
      <w:r>
        <w:t xml:space="preserve"> </w:t>
      </w:r>
      <w:r>
        <w:t xml:space="preserve">than they are.</w:t>
      </w:r>
      <w:r>
        <w:t xml:space="preserve"> </w:t>
      </w:r>
      <w:r>
        <w:rPr>
          <w:i/>
          <w:iCs/>
        </w:rPr>
        <w:t xml:space="preserve">Model drift</w:t>
      </w:r>
      <w:r>
        <w:t xml:space="preserve">: the re-measurement of §7.5.2 moved Opus’s</w:t>
      </w:r>
      <w:r>
        <w:t xml:space="preserve"> </w:t>
      </w:r>
      <w:r>
        <w:rPr>
          <w:rStyle w:val="VerbatimChar"/>
        </w:rPr>
        <w:t xml:space="preserve">api_post_ok</w:t>
      </w:r>
      <w:r>
        <w:t xml:space="preserve"> </w:t>
      </w:r>
      <w:r>
        <w:t xml:space="preserve">superset arm from</w:t>
      </w:r>
      <w:r>
        <w:t xml:space="preserve"> </w:t>
      </w:r>
      <m:oMath>
        <m:r>
          <m:t>38</m:t>
        </m:r>
        <m:r>
          <m:rPr>
            <m:sty m:val="p"/>
          </m:rPr>
          <m:t>%</m:t>
        </m:r>
      </m:oMath>
      <w:r>
        <w:t xml:space="preserve"> </w:t>
      </w:r>
      <w:r>
        <w:t xml:space="preserve">to</w:t>
      </w:r>
      <w:r>
        <w:t xml:space="preserve"> </w:t>
      </w:r>
      <m:oMath>
        <m:r>
          <m:t>3</m:t>
        </m:r>
        <m:r>
          <m:rPr>
            <m:sty m:val="p"/>
          </m:rPr>
          <m:t>%</m:t>
        </m:r>
      </m:oMath>
      <w:r>
        <w:t xml:space="preserve"> </w:t>
      </w:r>
      <w:r>
        <w:t xml:space="preserve">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 outside the nominal intervals for those cells, and Sonnet’s failure mode changed</w:t>
      </w:r>
      <w:r>
        <w:t xml:space="preserve"> </w:t>
      </w:r>
      <w:r>
        <w:t xml:space="preserve">category entirely.</w:t>
      </w:r>
      <w:r>
        <w:t xml:space="preserve"> </w:t>
      </w:r>
      <w:r>
        <w:rPr>
          <w:i/>
          <w:iCs/>
        </w:rPr>
        <w:t xml:space="preserve">Prompt wording</w:t>
      </w:r>
      <w:r>
        <w:t xml:space="preserve">: the raw-failure audit traces a</w:t>
      </w:r>
      <w:r>
        <w:t xml:space="preserve"> </w:t>
      </w:r>
      <m:oMath>
        <m:r>
          <m:t>100</m:t>
        </m:r>
        <m:r>
          <m:rPr>
            <m:sty m:val="p"/>
          </m:rPr>
          <m:t>%</m:t>
        </m:r>
        <m:r>
          <m:rPr>
            <m:sty m:val="p"/>
          </m:rPr>
          <m:t>→</m:t>
        </m:r>
        <m:r>
          <m:t>52</m:t>
        </m:r>
        <m:r>
          <m:rPr>
            <m:sty m:val="p"/>
          </m:rPr>
          <m:t>%</m:t>
        </m:r>
      </m:oMath>
      <w:r>
        <w:t xml:space="preserve"> </w:t>
      </w:r>
      <w:r>
        <w:t xml:space="preserve">swing on</w:t>
      </w:r>
      <w:r>
        <w:t xml:space="preserve"> </w:t>
      </w:r>
      <w:r>
        <w:t xml:space="preserve">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w:t>
      </w:r>
      <w:r>
        <w:t xml:space="preserve"> </w:t>
      </w:r>
      <w:r>
        <w:t xml:space="preserve">(model snapshot, prompt, default decoder) triple, indexed by</w:t>
      </w:r>
      <w:r>
        <w:t xml:space="preserve"> </w:t>
      </w:r>
      <m:oMath>
        <m:r>
          <m:t>θ</m:t>
        </m:r>
      </m:oMath>
      <w:r>
        <w:t xml:space="preserve"> </w:t>
      </w:r>
      <w:r>
        <w:t xml:space="preserve">(§3.3), and</w:t>
      </w:r>
      <w:r>
        <w:t xml:space="preserve"> </w:t>
      </w:r>
      <w:r>
        <w:t xml:space="preserve">not a property of a vendor’s model line. We regard this as the honest reading rather than a</w:t>
      </w:r>
      <w:r>
        <w:t xml:space="preserve"> </w:t>
      </w:r>
      <w:r>
        <w:t xml:space="preserve">weakness: the re-measurement bounds the drift component empirically, and the direction of every</w:t>
      </w:r>
      <w:r>
        <w:t xml:space="preserve"> </w:t>
      </w:r>
      <w:r>
        <w:t xml:space="preserve">verdict survived it.</w:t>
      </w:r>
    </w:p>
    <w:bookmarkEnd w:id="79"/>
    <w:bookmarkStart w:id="80"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We report the decoding parameters, seeding</w:t>
      </w:r>
      <w:r>
        <w:t xml:space="preserve"> </w:t>
      </w:r>
      <w:r>
        <w:t xml:space="preserve">policy, and retry policy in Appendix C.</w:t>
      </w:r>
    </w:p>
    <w:bookmarkEnd w:id="80"/>
    <w:bookmarkEnd w:id="81"/>
    <w:bookmarkStart w:id="93"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A1 give the</w:t>
      </w:r>
      <w:r>
        <w:t xml:space="preserve"> </w:t>
      </w:r>
      <w:r>
        <w:t xml:space="preserve">underlying quantities.</w:t>
      </w:r>
    </w:p>
    <w:bookmarkStart w:id="83"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bookmarkStart w:id="82"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DeepSeek-V4-Pro’s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0.263</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3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2"/>
    <w:bookmarkEnd w:id="83"/>
    <w:bookmarkStart w:id="85"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4"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 feature-based</w:t>
      </w:r>
      <w:r>
        <w:rPr>
          <w:b/>
          <w:bCs/>
        </w:rPr>
        <w:t xml:space="preserve"> </w:t>
      </w:r>
      <w:r>
        <w:rPr>
          <w:b/>
          <w:bCs/>
        </w:rPr>
        <w:t xml:space="preserve">ranker we tested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5). What the measurement does show is that the scorers</w:t>
      </w:r>
      <w:r>
        <w:t xml:space="preserve"> </w:t>
      </w:r>
      <w:r>
        <w:t xml:space="preserve">actually deployed here, which read text, pay that price.</w:t>
      </w:r>
    </w:p>
    <w:bookmarkEnd w:id="84"/>
    <w:bookmarkEnd w:id="85"/>
    <w:bookmarkStart w:id="91"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Those</w:t>
      </w:r>
      <w:r>
        <w:t xml:space="preserve"> </w:t>
      </w:r>
      <w:r>
        <w:t xml:space="preserve">eleven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w:t>
      </w:r>
      <w:r>
        <w:t xml:space="preserve"> </w:t>
      </w:r>
      <w:r>
        <w:t xml:space="preserve">can be bought from the same records: allocating</w:t>
      </w:r>
      <w:r>
        <w:t xml:space="preserve"> </w:t>
      </w:r>
      <m:oMath>
        <m:r>
          <m:t>η</m:t>
        </m:r>
      </m:oMath>
      <w:r>
        <w:t xml:space="preserve"> </w:t>
      </w:r>
      <w:r>
        <w:t xml:space="preserve">across all twelve contrasts, i.e. a</w:t>
      </w:r>
      <w:r>
        <w:t xml:space="preserve"> </w:t>
      </w:r>
      <w:r>
        <w:t xml:space="preserve">per-interval level of</w:t>
      </w:r>
      <w:r>
        <w:t xml:space="preserve"> </w:t>
      </w:r>
      <m:oMath>
        <m:r>
          <m:t>η</m:t>
        </m:r>
        <m:r>
          <m:rPr>
            <m:sty m:val="p"/>
          </m:rPr>
          <m:t>/</m:t>
        </m:r>
        <m:r>
          <m:t>12</m:t>
        </m:r>
      </m:oMath>
      <w:r>
        <w:t xml:space="preserve"> </w:t>
      </w:r>
      <w:r>
        <w:t xml:space="preserve">over the</w:t>
      </w:r>
      <w:r>
        <w:t xml:space="preserve"> </w:t>
      </w:r>
      <m:oMath>
        <m:r>
          <m:t>24</m:t>
        </m:r>
      </m:oMath>
      <w:r>
        <w:t xml:space="preserve"> </w:t>
      </w:r>
      <w:r>
        <w:t xml:space="preserve">endpoints, ten of the twelve still clear</w:t>
      </w:r>
      <w:r>
        <w:t xml:space="preserve"> </w:t>
      </w:r>
      <m:oMath>
        <m:r>
          <m:rPr>
            <m:sty m:val="p"/>
          </m:rPr>
          <m:t>−</m:t>
        </m:r>
        <m:r>
          <m:t>τ</m:t>
        </m:r>
      </m:oMath>
      <w:r>
        <w:t xml:space="preserve">,</w:t>
      </w:r>
      <w:r>
        <w:t xml:space="preserve"> </w:t>
      </w:r>
      <w:r>
        <w:t xml:space="preserve">and every one of the six models keeps at least one cell that does. The roster-level statement</w:t>
      </w:r>
      <w:r>
        <w:t xml:space="preserve"> </w:t>
      </w:r>
      <w:r>
        <w:t xml:space="preserve">“on each of these six models some strict superset verifiably harms some 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two cells that drop out</w:t>
      </w:r>
      <w:r>
        <w:t xml:space="preserve"> </w:t>
      </w:r>
      <w:r>
        <w:t xml:space="preserve">under the joint budget are Haiku’s</w:t>
      </w:r>
      <w:r>
        <w:t xml:space="preserve"> </w:t>
      </w:r>
      <w:r>
        <w:rPr>
          <w:rStyle w:val="VerbatimChar"/>
        </w:rPr>
        <w:t xml:space="preserve">api_post_ok</w:t>
      </w:r>
      <w:r>
        <w:t xml:space="preserve"> </w:t>
      </w:r>
      <w:r>
        <w:t xml:space="preserve">(which does not clear marginally</w:t>
      </w:r>
      <w:r>
        <w:t xml:space="preserve"> </w:t>
      </w:r>
      <w:r>
        <w:t xml:space="preserve">either) and DeepSeek’s</w:t>
      </w:r>
      <w:r>
        <w:t xml:space="preserve"> </w:t>
      </w:r>
      <w:r>
        <w:rPr>
          <w:rStyle w:val="VerbatimChar"/>
        </w:rPr>
        <w:t xml:space="preserve">api_argorder</w:t>
      </w:r>
      <w:r>
        <w:t xml:space="preserve">; the mildest verified collapse is DeepSeek’s</w:t>
      </w:r>
      <w:r>
        <w:t xml:space="preserve"> </w:t>
      </w:r>
      <w:r>
        <w:rPr>
          <w:rStyle w:val="VerbatimChar"/>
        </w:rPr>
        <w:t xml:space="preserve">api_argorder</w:t>
      </w:r>
      <w:r>
        <w:t xml:space="preserve"> </w:t>
      </w:r>
      <w:r>
        <w:t xml:space="preserve">at</w:t>
      </w:r>
      <w:r>
        <w:t xml:space="preserve"> </w:t>
      </w:r>
      <m:oMath>
        <m:r>
          <m:t>68</m:t>
        </m:r>
        <m:r>
          <m:rPr>
            <m:sty m:val="p"/>
          </m:rPr>
          <m:t>%</m:t>
        </m:r>
        <m:r>
          <m:rPr>
            <m:sty m:val="p"/>
          </m:rPr>
          <m:t>→</m:t>
        </m:r>
        <m:r>
          <m:t>5</m:t>
        </m:r>
        <m:r>
          <m:rPr>
            <m:sty m:val="p"/>
          </m:rPr>
          <m:t>%</m:t>
        </m:r>
      </m:oMath>
      <w:r>
        <w:t xml:space="preserve"> </w:t>
      </w:r>
      <w:r>
        <w:t xml:space="preserve">with upper bound</w:t>
      </w:r>
      <w:r>
        <w:t xml:space="preserve"> </w:t>
      </w:r>
      <m:oMath>
        <m:r>
          <m:rPr>
            <m:sty m:val="p"/>
          </m:rPr>
          <m:t>−</m:t>
        </m:r>
        <m:r>
          <m:t>0.38</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All eleven survive a Bonferroni correction across the two cells</w:t>
      </w:r>
      <w:r>
        <w:t xml:space="preserve"> </w:t>
      </w:r>
      <w:r>
        <w:t xml:space="preserve">within each model, the tightest being DeepSeek’s</w:t>
      </w:r>
      <w:r>
        <w:t xml:space="preserve"> </w:t>
      </w:r>
      <w:r>
        <w:rPr>
          <w:rStyle w:val="VerbatimChar"/>
        </w:rPr>
        <w:t xml:space="preserve">api_argorder</w:t>
      </w:r>
      <w:r>
        <w:t xml:space="preserve"> </w:t>
      </w:r>
      <w:r>
        <w:t xml:space="preserve">at</w:t>
      </w:r>
      <w:r>
        <w:t xml:space="preserve"> </w:t>
      </w:r>
      <m:oMath>
        <m:r>
          <m:rPr>
            <m:sty m:val="p"/>
          </m:rPr>
          <m:t>−</m:t>
        </m:r>
        <m:r>
          <m:t>0.34</m:t>
        </m:r>
      </m:oMath>
      <w:r>
        <w:t xml:space="preserve">. This is a</w:t>
      </w:r>
      <w:r>
        <w:t xml:space="preserve"> </w:t>
      </w:r>
      <w:r>
        <w:t xml:space="preserve">verified empirical falsification of superset-</w:t>
      </w:r>
      <w:r>
        <w:rPr>
          <w:i/>
          <w:iCs/>
        </w:rPr>
        <w:t xml:space="preserve">monotonicity</w:t>
      </w:r>
      <w:r>
        <w:t xml:space="preserve"> </w:t>
      </w:r>
      <w:r>
        <w:t xml:space="preserve">for these fixed rules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A1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87"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w:t>
      </w:r>
      <w:r>
        <w:t xml:space="preserve"> </w:t>
      </w:r>
      <w:r>
        <w:t xml:space="preserve">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empirical</w:t>
      </w:r>
      <w:r>
        <w:t xml:space="preserve"> </w:t>
      </w:r>
      <w:r>
        <w:t xml:space="preserve">summary is the two-element 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w:t>
      </w:r>
      <w:r>
        <w:t xml:space="preserve"> </w:t>
      </w:r>
      <w:r>
        <w:t xml:space="preserve">represent (Figure 1). Three sources over four cells need</w:t>
      </w:r>
      <w:r>
        <w:t xml:space="preserve"> </w:t>
      </w:r>
      <w:r>
        <w:rPr>
          <w:i/>
          <w:iCs/>
        </w:rPr>
        <w:t xml:space="preserve">one</w:t>
      </w:r>
      <w:r>
        <w:t xml:space="preserve"> </w:t>
      </w:r>
      <w:r>
        <w:t xml:space="preserve">coverage event,</w:t>
      </w:r>
      <w:r>
        <w:t xml:space="preserve"> </w:t>
      </w:r>
      <w:r>
        <w:t xml:space="preserve">so we take all</w:t>
      </w:r>
      <w:r>
        <w:t xml:space="preserve"> </w:t>
      </w:r>
      <m:oMath>
        <m:r>
          <m:t>3</m:t>
        </m:r>
        <m:r>
          <m:rPr>
            <m:sty m:val="p"/>
          </m:rPr>
          <m:t>×</m:t>
        </m:r>
        <m:r>
          <m:t>4</m:t>
        </m:r>
      </m:oMath>
      <w:r>
        <w:t xml:space="preserve"> </w:t>
      </w:r>
      <w:r>
        <w:t xml:space="preserve">Clopper–Pearson intervals at per-interval level</w:t>
      </w:r>
      <w:r>
        <w:t xml:space="preserve"> </w:t>
      </w:r>
      <m:oMath>
        <m:r>
          <m:t>η</m:t>
        </m:r>
        <m:r>
          <m:rPr>
            <m:sty m:val="p"/>
          </m:rPr>
          <m:t>/</m:t>
        </m:r>
        <m:r>
          <m:t>12</m:t>
        </m:r>
      </m:oMath>
      <w:r>
        <w:t xml:space="preserve">; they then</w:t>
      </w:r>
      <w:r>
        <w:t xml:space="preserve"> </w:t>
      </w:r>
      <w:r>
        <w:t xml:space="preserve">hold jointly at</w:t>
      </w:r>
      <w:r>
        <w:t xml:space="preserve"> </w:t>
      </w:r>
      <m:oMath>
        <m:r>
          <m:rPr>
            <m:sty m:val="p"/>
          </m:rPr>
          <m:t>≥</m:t>
        </m:r>
        <m:r>
          <m:t>1</m:t>
        </m:r>
        <m:r>
          <m:rPr>
            <m:sty m:val="p"/>
          </m:rPr>
          <m:t>−</m:t>
        </m:r>
        <m:r>
          <m:t>η</m:t>
        </m:r>
      </m:oMath>
      <w:r>
        <w:t xml:space="preserve"> </w:t>
      </w:r>
      <w:r>
        <w:t xml:space="preserve">and every relation in the figure is read off that single event. On</w:t>
      </w:r>
      <w:r>
        <w:t xml:space="preserve"> </w:t>
      </w:r>
      <w:r>
        <w:t xml:space="preserve">the</w:t>
      </w:r>
      <w:r>
        <w:t xml:space="preserve"> </w:t>
      </w:r>
      <m:oMath>
        <m:r>
          <m:t>n</m:t>
        </m:r>
        <m:r>
          <m:rPr>
            <m:sty m:val="p"/>
          </m:rPr>
          <m:t>=</m:t>
        </m:r>
        <m:r>
          <m:t>40</m:t>
        </m:r>
      </m:oMath>
      <w:r>
        <w:t xml:space="preserve"> </w:t>
      </w:r>
      <w:r>
        <w:t xml:space="preserve">Haiku record this gives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0.7439</m:t>
        </m:r>
      </m:oMath>
      <w:r>
        <w:t xml:space="preserve">, so the</w:t>
      </w:r>
      <w:r>
        <w:t xml:space="preserve"> </w:t>
      </w:r>
      <w:r>
        <w:t xml:space="preserve">incomparable pair is verified. Non-dominance is likewise a</w:t>
      </w:r>
      <w:r>
        <w:t xml:space="preserve"> </w:t>
      </w:r>
      <w:r>
        <w:rPr>
          <w:i/>
          <w:iCs/>
        </w:rPr>
        <w:t xml:space="preserve">lower</w:t>
      </w:r>
      <w:r>
        <w:t xml:space="preserve">-bound statement, and the</w:t>
      </w:r>
      <w:r>
        <w:t xml:space="preserve"> </w:t>
      </w:r>
      <w:r>
        <w:t xml:space="preserve">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0.6556</m:t>
        </m:r>
      </m:oMath>
      <w:r>
        <w:t xml:space="preserve">, witnessed by</w:t>
      </w:r>
      <w:r>
        <w:t xml:space="preserve"> </w:t>
      </w:r>
      <w:r>
        <w:rPr>
          <w:rStyle w:val="VerbatimChar"/>
        </w:rPr>
        <w:t xml:space="preserve">api_argorder</w:t>
      </w:r>
      <w:r>
        <w:t xml:space="preserve">,</w:t>
      </w:r>
      <w:r>
        <w:t xml:space="preserve"> </w:t>
      </w:r>
      <w:r>
        <w:t xml:space="preserve">verifies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so</w:t>
      </w:r>
      <w:r>
        <w:t xml:space="preserve"> </w:t>
      </w:r>
      <m:oMath>
        <m:sSub>
          <m:e>
            <m:r>
              <m:t>W</m:t>
            </m:r>
          </m:e>
          <m:sub>
            <m:r>
              <m:t>1</m:t>
            </m:r>
            <m:r>
              <m:rPr>
                <m:sty m:val="p"/>
              </m:rPr>
              <m:t>+</m:t>
            </m:r>
          </m:sub>
        </m:sSub>
      </m:oMath>
      <w:r>
        <w:t xml:space="preserve"> </w:t>
      </w:r>
      <w:r>
        <w:t xml:space="preserve">does not dominate</w:t>
      </w:r>
      <w:r>
        <w:t xml:space="preserve"> </w:t>
      </w:r>
      <m:oMath>
        <m:sSub>
          <m:e>
            <m:r>
              <m:t>W</m:t>
            </m:r>
          </m:e>
          <m:sub>
            <m:r>
              <m:t>1</m:t>
            </m:r>
          </m:sub>
        </m:sSub>
      </m:oMath>
      <w:r>
        <w:t xml:space="preserve">;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0.7439</m:t>
        </m:r>
      </m:oMath>
      <w:r>
        <w:t xml:space="preserve"> </w:t>
      </w:r>
      <w:r>
        <w:t xml:space="preserve">verifies the converse, so neither dominates the other. (An upper</w:t>
      </w:r>
      <w:r>
        <w:t xml:space="preserve"> </w:t>
      </w:r>
      <w:r>
        <w:t xml:space="preserve">bound could not carry either claim: it bounds how large the advantage</w:t>
      </w:r>
      <w:r>
        <w:t xml:space="preserve"> </w:t>
      </w:r>
      <w:r>
        <w:rPr>
          <w:i/>
          <w:iCs/>
        </w:rPr>
        <w:t xml:space="preserve">might</w:t>
      </w:r>
      <w:r>
        <w:t xml:space="preserve"> </w:t>
      </w:r>
      <w:r>
        <w:t xml:space="preserve">be, not that</w:t>
      </w:r>
      <w:r>
        <w:t xml:space="preserve"> </w:t>
      </w:r>
      <w:r>
        <w:t xml:space="preserve">one exists.) The remaining relation is the one the front turns on, and there only an upper bound</w:t>
      </w:r>
      <w:r>
        <w:t xml:space="preserve"> </w:t>
      </w:r>
      <w:r>
        <w:t xml:space="preserve">is available:</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0.1281</m:t>
        </m:r>
      </m:oMath>
      <w:r>
        <w:t xml:space="preserve">. That is an</w:t>
      </w:r>
      <w:r>
        <w:t xml:space="preserve"> </w:t>
      </w:r>
      <m:oMath>
        <m:r>
          <m:t>ε</m:t>
        </m:r>
      </m:oMath>
      <w:r>
        <w:t xml:space="preserve">-dominance, not an exact</w:t>
      </w:r>
      <w:r>
        <w:t xml:space="preserve"> </w:t>
      </w:r>
      <w:r>
        <w:t xml:space="preserve">one, and it says 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0.1281</m:t>
        </m:r>
      </m:oMath>
      <w:r>
        <w:t xml:space="preserve">. Excluding</w:t>
      </w:r>
      <w:r>
        <w:t xml:space="preserve"> </w:t>
      </w:r>
      <m:oMath>
        <m:sSub>
          <m:e>
            <m:r>
              <m:t>W</m:t>
            </m:r>
          </m:e>
          <m:sub>
            <m:r>
              <m:t>2</m:t>
            </m:r>
          </m:sub>
        </m:sSub>
      </m:oMath>
      <w:r>
        <w:t xml:space="preserve"> </w:t>
      </w:r>
      <w:r>
        <w:t xml:space="preserve">is therefore licensed only up to that margin. What the coverage event</w:t>
      </w:r>
      <w:r>
        <w:t xml:space="preserve"> </w:t>
      </w:r>
      <w:r>
        <w:t xml:space="preserve">establishes exactly is the 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 since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 in</w:t>
      </w:r>
      <w:r>
        <w:t xml:space="preserve"> </w:t>
      </w:r>
      <m:oMath>
        <m:r>
          <m:t>F</m:t>
        </m:r>
      </m:oMath>
      <w:r>
        <w:t xml:space="preserve"> </w:t>
      </w:r>
      <w:r>
        <w:t xml:space="preserve">regardless.</w:t>
      </w:r>
    </w:p>
    <w:bookmarkStart w:id="86"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w:t>
      </w:r>
      <w:r>
        <w:t xml:space="preserve"> </w:t>
      </w:r>
      <w:r>
        <w:t xml:space="preserve">and the output is a Pareto front, which no scalar top-</w:t>
      </w:r>
      <m:oMath>
        <m:r>
          <m:t>1</m:t>
        </m:r>
      </m:oMath>
      <w:r>
        <w:t xml:space="preserve"> </w:t>
      </w:r>
      <w:r>
        <w:t xml:space="preserve">rule can represent. Every relation on</w:t>
      </w:r>
      <w:r>
        <w:t xml:space="preserve"> </w:t>
      </w:r>
      <w:r>
        <w:t xml:space="preserve">the right is read off one coverage event, the</w:t>
      </w:r>
      <w:r>
        <w:t xml:space="preserve"> </w:t>
      </w:r>
      <m:oMath>
        <m:r>
          <m:t>3</m:t>
        </m:r>
        <m:r>
          <m:rPr>
            <m:sty m:val="p"/>
          </m:rPr>
          <m:t>×</m:t>
        </m:r>
        <m:r>
          <m:t>4</m:t>
        </m:r>
      </m:oMath>
      <w:r>
        <w:t xml:space="preserve"> </w:t>
      </w:r>
      <w:r>
        <w:t xml:space="preserve">Clopper–Pearson intervals at</w:t>
      </w:r>
      <w:r>
        <w:t xml:space="preserve"> </w:t>
      </w:r>
      <w:r>
        <w:t xml:space="preserve">per-interval level</w:t>
      </w:r>
      <w:r>
        <w:t xml:space="preserve"> </w:t>
      </w:r>
      <m:oMath>
        <m:r>
          <m:t>η</m:t>
        </m:r>
        <m:r>
          <m:rPr>
            <m:sty m:val="p"/>
          </m:rPr>
          <m:t>/</m:t>
        </m:r>
        <m:r>
          <m:t>12</m:t>
        </m:r>
      </m:oMath>
      <w:r>
        <w:t xml:space="preserve">. The</w:t>
      </w:r>
      <w:r>
        <w:t xml:space="preserve"> </w:t>
      </w:r>
      <w:r>
        <w:rPr>
          <w:rStyle w:val="VerbatimChar"/>
        </w:rPr>
        <w:t xml:space="preserve">none</w:t>
      </w:r>
      <w:r>
        <w:t xml:space="preserve"> </w:t>
      </w:r>
      <w:r>
        <w:t xml:space="preserve">arm appears only on the left: it is not in that</w:t>
      </w:r>
      <w:r>
        <w:t xml:space="preserve"> </w:t>
      </w:r>
      <w:r>
        <w:t xml:space="preserve">family, so no relation to it is verified here, and on</w:t>
      </w:r>
      <w:r>
        <w:t xml:space="preserve"> </w:t>
      </w:r>
      <w:r>
        <w:rPr>
          <w:rStyle w:val="VerbatimChar"/>
        </w:rPr>
        <w:t xml:space="preserve">api_argorder</w:t>
      </w:r>
      <w:r>
        <w:t xml:space="preserve"> </w:t>
      </w:r>
      <w:r>
        <w:t xml:space="preserve">its</w:t>
      </w:r>
      <w:r>
        <w:t xml:space="preserve"> </w:t>
      </w:r>
      <m:oMath>
        <m:r>
          <m:t>1</m:t>
        </m:r>
        <m:r>
          <m:rPr>
            <m:sty m:val="p"/>
          </m:rPr>
          <m:t>/</m:t>
        </m:r>
        <m:r>
          <m:t>40</m:t>
        </m:r>
      </m:oMath>
      <w:r>
        <w:t xml:space="preserve"> </w:t>
      </w:r>
      <w:r>
        <w:t xml:space="preserve">against</w:t>
      </w:r>
      <w:r>
        <w:t xml:space="preserve"> </w:t>
      </w:r>
      <m:oMath>
        <m:sSub>
          <m:e>
            <m:r>
              <m:t>W</m:t>
            </m:r>
          </m:e>
          <m:sub>
            <m:r>
              <m:t>2</m:t>
            </m:r>
          </m:sub>
        </m:sSub>
      </m:oMath>
      <w:r>
        <w:t xml:space="preserve">’s</w:t>
      </w:r>
      <w:r>
        <w:t xml:space="preserve"> </w:t>
      </w:r>
      <m:oMath>
        <m:r>
          <m:t>0</m:t>
        </m:r>
        <m:r>
          <m:rPr>
            <m:sty m:val="p"/>
          </m:rPr>
          <m:t>/</m:t>
        </m:r>
        <m:r>
          <m:t>40</m:t>
        </m:r>
      </m:oMath>
      <w:r>
        <w:t xml:space="preserve"> </w:t>
      </w:r>
      <w:r>
        <w:t xml:space="preserve">would not support one even as a point estimate. Solid edges are verified by a</w:t>
      </w:r>
      <w:r>
        <w:t xml:space="preserve"> </w:t>
      </w:r>
      <w:r>
        <w:t xml:space="preserve">lower bound; the edge from</w:t>
      </w:r>
      <w:r>
        <w:t xml:space="preserve"> </w:t>
      </w:r>
      <m:oMath>
        <m:sSub>
          <m:e>
            <m:r>
              <m:t>W</m:t>
            </m:r>
          </m:e>
          <m:sub>
            <m:r>
              <m:t>1</m:t>
            </m:r>
            <m:r>
              <m:rPr>
                <m:sty m:val="p"/>
              </m:rPr>
              <m:t>+</m:t>
            </m:r>
          </m:sub>
        </m:sSub>
      </m:oMath>
      <w:r>
        <w:t xml:space="preserve"> </w:t>
      </w:r>
      <w:r>
        <w:t xml:space="preserve">to</w:t>
      </w:r>
      <w:r>
        <w:t xml:space="preserve"> </w:t>
      </w:r>
      <m:oMath>
        <m:sSub>
          <m:e>
            <m:r>
              <m:t>W</m:t>
            </m:r>
          </m:e>
          <m:sub>
            <m:r>
              <m:t>2</m:t>
            </m:r>
          </m:sub>
        </m:sSub>
      </m:oMath>
      <w:r>
        <w:t xml:space="preserve"> </w:t>
      </w:r>
      <w:r>
        <w:t xml:space="preserve">is dotted because it is only an</w:t>
      </w:r>
      <w:r>
        <w:t xml:space="preserve"> </w:t>
      </w:r>
      <m:oMath>
        <m:r>
          <m:t>ε</m:t>
        </m:r>
      </m:oMath>
      <w:r>
        <w:t xml:space="preserve">-dominance,</w:t>
      </w:r>
      <w:r>
        <w:t xml:space="preserve"> </w:t>
      </w:r>
      <m:oMath>
        <m:r>
          <m:t>ε</m:t>
        </m:r>
        <m:r>
          <m:rPr>
            <m:sty m:val="p"/>
          </m:rPr>
          <m:t>=</m:t>
        </m:r>
        <m:r>
          <m:t>0.1281</m:t>
        </m:r>
      </m:oMath>
      <w:r>
        <w:t xml:space="preserve">. The right-hand diagram is therefore a verified</w:t>
      </w:r>
      <w:r>
        <w:t xml:space="preserve"> </w:t>
      </w:r>
      <w:r>
        <w:rPr>
          <w:i/>
          <w:iCs/>
        </w:rPr>
        <w:t xml:space="preserve">partial</w:t>
      </w:r>
      <w:r>
        <w:t xml:space="preserve"> </w:t>
      </w:r>
      <w:r>
        <w:t xml:space="preserve">picture, not an exactly determined Hasse diagram.</w:t>
      </w:r>
    </w:p>
    <w:bookmarkEnd w:id="86"/>
    <w:bookmarkEnd w:id="87"/>
    <w:bookmarkStart w:id="88"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88"/>
    <w:bookmarkStart w:id="89" w:name="what-the-position-controls-show."/>
    <w:p>
      <w:pPr>
        <w:pStyle w:val="Heading4"/>
      </w:pPr>
      <w:r>
        <w:t xml:space="preserve">What the position controls show.</w:t>
      </w:r>
    </w:p>
    <w:p>
      <w:pPr>
        <w:pStyle w:val="FirstParagraph"/>
      </w:pPr>
      <w:r>
        <w:t xml:space="preserve">The collapse is not a lost-in-the-middle or recency artifact. The character-matched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on</w:t>
      </w:r>
      <w:r>
        <w:t xml:space="preserve"> </w:t>
      </w:r>
      <w:r>
        <w:rPr>
          <w:rStyle w:val="VerbatimChar"/>
        </w:rPr>
        <w:t xml:space="preserve">api_argorder</w:t>
      </w:r>
      <w:r>
        <w:t xml:space="preserve">; holding position fixed and</w:t>
      </w:r>
      <w:r>
        <w:t xml:space="preserve"> </w:t>
      </w:r>
      <w:r>
        <w:t xml:space="preserve">changing only the content is what turns a harmless arm into a harmful one, so the cause is the</w:t>
      </w:r>
      <w:r>
        <w:t xml:space="preserve"> </w:t>
      </w:r>
      <w:r>
        <w:t xml:space="preserve">added signal, not where it sits. Order is controlled directly, by a reversed arm</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that puts</w:t>
      </w:r>
      <w:r>
        <w:t xml:space="preserve"> </w:t>
      </w:r>
      <m:oMath>
        <m:sSub>
          <m:e>
            <m:r>
              <m:t>W</m:t>
            </m:r>
          </m:e>
          <m:sub>
            <m:r>
              <m:t>1</m:t>
            </m:r>
          </m:sub>
        </m:sSub>
      </m:oMath>
      <w:r>
        <w:t xml:space="preserve"> </w:t>
      </w:r>
      <w:r>
        <w:t xml:space="preserve">first, measured in the same</w:t>
      </w:r>
      <w:r>
        <w:t xml:space="preserve"> </w:t>
      </w:r>
      <w:r>
        <w:t xml:space="preserve">single-shot regime and at the same</w:t>
      </w:r>
      <w:r>
        <w:t xml:space="preserve"> </w:t>
      </w:r>
      <m:oMath>
        <m:r>
          <m:t>n</m:t>
        </m:r>
        <m:r>
          <m:rPr>
            <m:sty m:val="p"/>
          </m:rPr>
          <m:t>=</m:t>
        </m:r>
        <m:r>
          <m:t>40</m:t>
        </m:r>
      </m:oMath>
      <w:r>
        <w:t xml:space="preserve"> </w:t>
      </w:r>
      <w:r>
        <w:t xml:space="preserve">as the main table</w:t>
      </w:r>
      <w:r>
        <w:t xml:space="preserve"> </w:t>
      </w:r>
      <w:r>
        <w:t xml:space="preserve">(</w:t>
      </w:r>
      <w:r>
        <w:rPr>
          <w:rStyle w:val="VerbatimChar"/>
        </w:rPr>
        <w:t xml:space="preserve">blackwell_order_ss_n40</w:t>
      </w:r>
      <w:r>
        <w:t xml:space="preserve">,</w:t>
      </w:r>
      <w:r>
        <w:t xml:space="preserve"> </w:t>
      </w:r>
      <m:oMath>
        <m:r>
          <m:t>400</m:t>
        </m:r>
      </m:oMath>
      <w:r>
        <w:t xml:space="preserve"> </w:t>
      </w:r>
      <w:r>
        <w:t xml:space="preserve">calls). On the hardened</w:t>
      </w:r>
      <w:r>
        <w:t xml:space="preserve"> </w:t>
      </w:r>
      <w:r>
        <w:rPr>
          <w:rStyle w:val="VerbatimChar"/>
        </w:rPr>
        <w:t xml:space="preserve">api_argorder</w:t>
      </w:r>
      <w:r>
        <w:t xml:space="preserve"> </w:t>
      </w:r>
      <w:r>
        <w:t xml:space="preserve">cell the</w:t>
      </w:r>
      <w:r>
        <w:t xml:space="preserve"> </w:t>
      </w:r>
      <w:r>
        <w:t xml:space="preserve">two orderings are indistinguishable:</w:t>
      </w:r>
      <w:r>
        <w:t xml:space="preserve"> </w:t>
      </w:r>
      <m:oMath>
        <m:sSub>
          <m:e>
            <m:r>
              <m:t>W</m:t>
            </m:r>
          </m:e>
          <m:sub>
            <m:r>
              <m:t>1</m:t>
            </m:r>
          </m:sub>
        </m:sSub>
      </m:oMath>
      <w:r>
        <w:t xml:space="preserve"> </w:t>
      </w:r>
      <w:r>
        <w:t xml:space="preserve">scores</w:t>
      </w:r>
      <w:r>
        <w:t xml:space="preserve"> </w:t>
      </w:r>
      <m:oMath>
        <m:r>
          <m:t>98</m:t>
        </m:r>
        <m:r>
          <m:rPr>
            <m:sty m:val="p"/>
          </m:rPr>
          <m:t>%</m:t>
        </m:r>
      </m:oMath>
      <w:r>
        <w:t xml:space="preserve"> </w:t>
      </w:r>
      <w:r>
        <w:t xml:space="preserve">while both</w:t>
      </w:r>
      <w:r>
        <w:t xml:space="preserve"> </w:t>
      </w:r>
      <m:oMath>
        <m:sSub>
          <m:e>
            <m:r>
              <m:t>W</m:t>
            </m:r>
          </m:e>
          <m:sub>
            <m:r>
              <m:t>1</m:t>
            </m:r>
            <m:r>
              <m:rPr>
                <m:sty m:val="p"/>
              </m:rPr>
              <m:t>+</m:t>
            </m:r>
          </m:sub>
        </m:sSub>
      </m:oMath>
      <w:r>
        <w:t xml:space="preserve"> </w:t>
      </w:r>
      <w:r>
        <w:t xml:space="preserve">and</w:t>
      </w:r>
      <w:r>
        <w:t xml:space="preserve"> </w:t>
      </w:r>
      <m:oMath>
        <m:sSubSup>
          <m:e>
            <m:r>
              <m:t>W</m:t>
            </m:r>
          </m:e>
          <m:sub>
            <m:r>
              <m:t>1</m:t>
            </m:r>
            <m:r>
              <m:rPr>
                <m:sty m:val="p"/>
              </m:rPr>
              <m:t>+</m:t>
            </m:r>
          </m:sub>
          <m:sup>
            <m:r>
              <m:rPr>
                <m:sty m:val="p"/>
              </m:rPr>
              <m:t>r</m:t>
            </m:r>
            <m:r>
              <m:rPr>
                <m:sty m:val="p"/>
              </m:rPr>
              <m:t>e</m:t>
            </m:r>
            <m:r>
              <m:rPr>
                <m:sty m:val="p"/>
              </m:rPr>
              <m:t>v</m:t>
            </m:r>
          </m:sup>
        </m:sSubSup>
      </m:oMath>
      <w:r>
        <w:t xml:space="preserve"> </w:t>
      </w:r>
      <w:r>
        <w:t xml:space="preserve">score</w:t>
      </w:r>
      <w:r>
        <w:t xml:space="preserve"> </w:t>
      </w:r>
      <m:oMath>
        <m:r>
          <m:t>2.5</m:t>
        </m:r>
        <m:r>
          <m:rPr>
            <m:sty m:val="p"/>
          </m:rPr>
          <m:t>%</m:t>
        </m:r>
      </m:oMath>
      <w:r>
        <w:t xml:space="preserve">, each verified harmful at</w:t>
      </w:r>
      <w:r>
        <w:t xml:space="preserve"> </w:t>
      </w:r>
      <m:oMath>
        <m:r>
          <m:rPr>
            <m:sty m:val="p"/>
          </m:rPr>
          <m:t>−</m:t>
        </m:r>
        <m:r>
          <m:t>0.77</m:t>
        </m:r>
      </m:oMath>
      <w:r>
        <w:t xml:space="preserve">. On</w:t>
      </w:r>
      <w:r>
        <w:t xml:space="preserve"> </w:t>
      </w:r>
      <w:r>
        <w:rPr>
          <w:rStyle w:val="VerbatimChar"/>
        </w:rPr>
        <w:t xml:space="preserve">api_post_ok</w:t>
      </w:r>
      <w:r>
        <w:t xml:space="preserve"> </w:t>
      </w:r>
      <w:r>
        <w:t xml:space="preserve">reversal makes matters worse rather than better,</w:t>
      </w:r>
      <w:r>
        <w:t xml:space="preserve"> </w:t>
      </w:r>
      <m:oMath>
        <m:r>
          <m:t>50</m:t>
        </m:r>
        <m:r>
          <m:rPr>
            <m:sty m:val="p"/>
          </m:rPr>
          <m:t>%</m:t>
        </m:r>
        <m:r>
          <m:rPr>
            <m:sty m:val="p"/>
          </m:rPr>
          <m:t>→</m:t>
        </m:r>
        <m:r>
          <m:t>25</m:t>
        </m:r>
        <m:r>
          <m:rPr>
            <m:sty m:val="p"/>
          </m:rPr>
          <m:t>%</m:t>
        </m:r>
      </m:oMath>
      <w:r>
        <w:t xml:space="preserve"> </w:t>
      </w:r>
      <w:r>
        <w:t xml:space="preserve">with</w:t>
      </w:r>
      <w:r>
        <w:t xml:space="preserve"> </w:t>
      </w:r>
      <m:oMath>
        <m:sSub>
          <m:e>
            <m:r>
              <m:t>W</m:t>
            </m:r>
          </m:e>
          <m:sub>
            <m:r>
              <m:t>2</m:t>
            </m:r>
          </m:sub>
        </m:sSub>
      </m:oMath>
      <w:r>
        <w:t xml:space="preserve"> </w:t>
      </w:r>
      <w:r>
        <w:t xml:space="preserve">first and</w:t>
      </w:r>
      <w:r>
        <w:t xml:space="preserve"> </w:t>
      </w:r>
      <m:oMath>
        <m:r>
          <m:t>50</m:t>
        </m:r>
        <m:r>
          <m:rPr>
            <m:sty m:val="p"/>
          </m:rPr>
          <m:t>%</m:t>
        </m:r>
        <m:r>
          <m:rPr>
            <m:sty m:val="p"/>
          </m:rPr>
          <m:t>→</m:t>
        </m:r>
        <m:r>
          <m:t>0</m:t>
        </m:r>
        <m:r>
          <m:rPr>
            <m:sty m:val="p"/>
          </m:rPr>
          <m:t>%</m:t>
        </m:r>
      </m:oMath>
      <w:r>
        <w:t xml:space="preserve"> </w:t>
      </w:r>
      <w:r>
        <w:t xml:space="preserve">with</w:t>
      </w:r>
      <w:r>
        <w:t xml:space="preserve"> </w:t>
      </w:r>
      <m:oMath>
        <m:sSub>
          <m:e>
            <m:r>
              <m:t>W</m:t>
            </m:r>
          </m:e>
          <m:sub>
            <m:r>
              <m:t>1</m:t>
            </m:r>
          </m:sub>
        </m:sSub>
      </m:oMath>
      <w:r>
        <w:t xml:space="preserve"> </w:t>
      </w:r>
      <w:r>
        <w:t xml:space="preserve">first. Moving the added block out of the primacy slot therefore</w:t>
      </w:r>
      <w:r>
        <w:t xml:space="preserve"> </w:t>
      </w:r>
      <w:r>
        <w:t xml:space="preserve">recovers nothing, and on one cell costs more, so the collapse is not a primacy or recency</w:t>
      </w:r>
      <w:r>
        <w:t xml:space="preserve"> </w:t>
      </w:r>
      <w:r>
        <w:t xml:space="preserve">artifact. Two things this does not settle: it is one model, and it bounds the</w:t>
      </w:r>
      <w:r>
        <w:t xml:space="preserve"> </w:t>
      </w:r>
      <w:r>
        <w:rPr>
          <w:i/>
          <w:iCs/>
        </w:rPr>
        <w:t xml:space="preserve">existence</w:t>
      </w:r>
      <w:r>
        <w:t xml:space="preserve"> </w:t>
      </w:r>
      <w:r>
        <w:t xml:space="preserve">of a positional explanation rather than the contribution of position to the size of the harm.</w:t>
      </w:r>
    </w:p>
    <w:bookmarkEnd w:id="89"/>
    <w:bookmarkStart w:id="90"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90"/>
    <w:bookmarkEnd w:id="91"/>
    <w:bookmarkStart w:id="92"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End w:id="92"/>
    <w:bookmarkEnd w:id="93"/>
    <w:bookmarkStart w:id="99"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at</w:t>
      </w:r>
      <w:r>
        <w:t xml:space="preserve"> </w:t>
      </w:r>
      <m:oMath>
        <m:r>
          <m:t>n</m:t>
        </m:r>
        <m:r>
          <m:rPr>
            <m:sty m:val="p"/>
          </m:rPr>
          <m:t>=</m:t>
        </m:r>
        <m:r>
          <m:t>40</m:t>
        </m:r>
      </m:oMath>
      <w:r>
        <w:t xml:space="preserve"> </w:t>
      </w:r>
      <w:r>
        <w:t xml:space="preserve">(</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the battery-wide dominance control</w:t>
      </w:r>
      <w:r>
        <w:t xml:space="preserve"> </w:t>
      </w:r>
      <w:r>
        <w:t xml:space="preserve">verifying one-directionally there (</w:t>
      </w:r>
      <m:oMath>
        <m:sSub>
          <m:e>
            <m:r>
              <m:t>U</m:t>
            </m:r>
          </m:e>
          <m:sub>
            <m:r>
              <m:rPr>
                <m:scr m:val="script"/>
                <m:sty m:val="p"/>
              </m:rPr>
              <m:t>D</m:t>
            </m:r>
          </m:sub>
        </m:sSub>
        <m:r>
          <m:rPr>
            <m:sty m:val="p"/>
          </m:rPr>
          <m:t>=</m:t>
        </m:r>
        <m:r>
          <m:t>0.113</m:t>
        </m:r>
      </m:oMath>
      <w:r>
        <w:t xml:space="preserve">) and a single-cell re-run at</w:t>
      </w:r>
      <w:r>
        <w:t xml:space="preserve"> </w:t>
      </w:r>
      <m:oMath>
        <m:r>
          <m:t>n</m:t>
        </m:r>
        <m:r>
          <m:rPr>
            <m:sty m:val="p"/>
          </m:rPr>
          <m:t>=</m:t>
        </m:r>
        <m:r>
          <m:t>80</m:t>
        </m:r>
      </m:oMath>
      <w:r>
        <w:t xml:space="preserve"> </w:t>
      </w:r>
      <w:r>
        <w:t xml:space="preserve">giving</w:t>
      </w:r>
      <w:r>
        <w:t xml:space="preserve"> </w:t>
      </w:r>
      <m:oMath>
        <m:sSub>
          <m:e>
            <m:r>
              <m:t>U</m:t>
            </m:r>
          </m:e>
          <m:sub>
            <m:r>
              <m:rPr>
                <m:scr m:val="script"/>
                <m:sty m:val="p"/>
              </m:rPr>
              <m:t>D</m:t>
            </m:r>
          </m:sub>
        </m:sSub>
        <m:r>
          <m:rPr>
            <m:sty m:val="p"/>
          </m:rPr>
          <m:t>=</m:t>
        </m:r>
        <m:r>
          <m:t>0.000</m:t>
        </m:r>
      </m:oMath>
      <w:r>
        <w:t xml:space="preserve">; that pair was measured in the agentic regime, not the single-shot one;</w:t>
      </w:r>
      <w:r>
        <w:t xml:space="preserve"> </w:t>
      </w:r>
      <w:r>
        <w:t xml:space="preserve">its harm contrast is verified at the</w:t>
      </w:r>
      <w:r>
        <w:t xml:space="preserve"> </w:t>
      </w:r>
      <m:oMath>
        <m:r>
          <m:t>τ</m:t>
        </m:r>
        <m:r>
          <m:rPr>
            <m:sty m:val="p"/>
          </m:rPr>
          <m:t>=</m:t>
        </m:r>
        <m:r>
          <m:t>0.30</m:t>
        </m:r>
      </m:oMath>
      <w:r>
        <w:t xml:space="preserve"> </w:t>
      </w:r>
      <w:r>
        <w:t xml:space="preserve">margin (</w:t>
      </w:r>
      <m:oMath>
        <m:sSub>
          <m:e>
            <m:r>
              <m:rPr>
                <m:sty m:val="p"/>
              </m:rPr>
              <m:t>Δ</m:t>
            </m:r>
          </m:e>
          <m:sub>
            <m:r>
              <m:t>T</m:t>
            </m:r>
          </m:sub>
        </m:sSub>
        <m:r>
          <m:rPr>
            <m:sty m:val="p"/>
          </m:rPr>
          <m:t>=</m:t>
        </m:r>
        <m:r>
          <m:rPr>
            <m:sty m:val="p"/>
          </m:rPr>
          <m:t>−</m:t>
        </m:r>
        <m:r>
          <m:t>0.51</m:t>
        </m:r>
      </m:oMath>
      <w:r>
        <w:t xml:space="preserve">, upper bound</w:t>
      </w:r>
      <w:r>
        <w:t xml:space="preserve"> </w:t>
      </w:r>
      <m:oMath>
        <m:r>
          <m:rPr>
            <m:sty m:val="p"/>
          </m:rPr>
          <m:t>−</m:t>
        </m:r>
        <m:r>
          <m:t>0.33</m:t>
        </m:r>
      </m:oMath>
      <w:r>
        <w:t xml:space="preserve">),</w:t>
      </w:r>
      <w:r>
        <w:t xml:space="preserve"> </w:t>
      </w:r>
      <w:r>
        <w:t xml:space="preserve">so the second pair carries both incomparability and harm.</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0.67</m:t>
        </m:r>
      </m:oMath>
      <w:r>
        <w:t xml:space="preserve">), attributing the collapse to the</w:t>
      </w:r>
      <w:r>
        <w:t xml:space="preserve"> </w:t>
      </w:r>
      <w:r>
        <w:t xml:space="preserve">added signal rather than by the filler of equal character length.</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95"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A1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the five distinct single-shot Haiku runs that measure</w:t>
      </w:r>
      <w:r>
        <w:t xml:space="preserve"> </w:t>
      </w:r>
      <w:r>
        <w:t xml:space="preserve">this cell (</w:t>
      </w:r>
      <m:oMath>
        <m:r>
          <m:t>42</m:t>
        </m:r>
      </m:oMath>
      <w:r>
        <w:t xml:space="preserve">–</w:t>
      </w:r>
      <m:oMath>
        <m:r>
          <m:t>58</m:t>
        </m:r>
        <m:r>
          <m:rPr>
            <m:sty m:val="p"/>
          </m:rPr>
          <m:t>%</m:t>
        </m:r>
      </m:oMath>
      <w:r>
        <w:t xml:space="preserve">; a sixth result file,</w:t>
      </w:r>
      <w:r>
        <w:t xml:space="preserve"> </w:t>
      </w:r>
      <w:r>
        <w:rPr>
          <w:rStyle w:val="VerbatimChar"/>
        </w:rPr>
        <w:t xml:space="preserve">blackwell_haiku_singleshot_n40</w:t>
      </w:r>
      <w:r>
        <w:t xml:space="preserve">, is</w:t>
      </w:r>
      <w:r>
        <w:t xml:space="preserve"> </w:t>
      </w:r>
      <w:r>
        <w:t xml:space="preserve">byte-identical to</w:t>
      </w:r>
      <w:r>
        <w:t xml:space="preserve"> </w:t>
      </w:r>
      <w:r>
        <w:rPr>
          <w:rStyle w:val="VerbatimChar"/>
        </w:rPr>
        <w:t xml:space="preserve">blackwell_haiku_ss_n40</w:t>
      </w:r>
      <w:r>
        <w:t xml:space="preserve"> </w:t>
      </w:r>
      <w:r>
        <w:t xml:space="preserve">and is the same run, not a further</w:t>
      </w:r>
      <w:r>
        <w:t xml:space="preserve"> </w:t>
      </w:r>
      <w:r>
        <w:t xml:space="preserve">replicate).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0.26</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94"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94"/>
    <w:bookmarkEnd w:id="95"/>
    <w:bookmarkStart w:id="98"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a non-empty code block every</w:t>
      </w:r>
      <w:r>
        <w:t xml:space="preserve"> </w:t>
      </w:r>
      <w:r>
        <w:t xml:space="preserve">time, so no failure is an artifact of an empty extraction or of fencing. That is weaker than a</w:t>
      </w:r>
      <w:r>
        <w:t xml:space="preserve"> </w:t>
      </w:r>
      <w:r>
        <w:t xml:space="preserve">guarantee that every reply was well-formed Python; it rules out the packaging explanation, not</w:t>
      </w:r>
      <w:r>
        <w:t xml:space="preserve"> </w:t>
      </w:r>
      <w:r>
        <w:t xml:space="preserve">every formatting one.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97"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We count over the draws that still fail once the import is neutralized, which</w:t>
      </w:r>
      <w:r>
        <w:t xml:space="preserve"> </w:t>
      </w:r>
      <w:r>
        <w:t xml:space="preserve">removes that confound from the attribution. On nine of the eleven cells the failure is then the one</w:t>
      </w:r>
      <w:r>
        <w:t xml:space="preserve"> </w:t>
      </w:r>
      <w:r>
        <w:t xml:space="preserve">this paper describes, the reply applying</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those draws per cell (</w:t>
      </w:r>
      <m:oMath>
        <m:r>
          <m:t>359</m:t>
        </m:r>
      </m:oMath>
      <w:r>
        <w:t xml:space="preserve"> </w:t>
      </w:r>
      <w:r>
        <w:t xml:space="preserve">of</w:t>
      </w:r>
      <w:r>
        <w:t xml:space="preserve"> </w:t>
      </w:r>
      <m:oMath>
        <m:r>
          <m:t>434</m:t>
        </m:r>
      </m:oMath>
      <w:r>
        <w:t xml:space="preserve"> </w:t>
      </w:r>
      <w:r>
        <w:t xml:space="preserve">across the roster, the shortfall being Sonnet). The</w:t>
      </w:r>
      <w:r>
        <w:t xml:space="preserve"> </w:t>
      </w:r>
      <w:r>
        <w:t xml:space="preserve">verifier’s own record is a stricter witness and agrees where it can speak: it logs a wire-format</w:t>
      </w:r>
      <w:r>
        <w:t xml:space="preserve"> </w:t>
      </w:r>
      <w:r>
        <w:t xml:space="preserve">string such as</w:t>
      </w:r>
      <w:r>
        <w:t xml:space="preserve"> </w:t>
      </w:r>
      <w:r>
        <w:rPr>
          <w:rStyle w:val="VerbatimChar"/>
        </w:rPr>
        <w:t xml:space="preserve">’+500#5’</w:t>
      </w:r>
      <w:r>
        <w:t xml:space="preserve"> </w:t>
      </w:r>
      <w:r>
        <w:t xml:space="preserve">in the posted call in</w:t>
      </w:r>
      <w:r>
        <w:t xml:space="preserve"> </w:t>
      </w:r>
      <m:oMath>
        <m:r>
          <m:t>24</m:t>
        </m:r>
      </m:oMath>
      <w:r>
        <w:t xml:space="preserve"> </w:t>
      </w:r>
      <w:r>
        <w:t xml:space="preserve">to</w:t>
      </w:r>
      <w:r>
        <w:t xml:space="preserve"> </w:t>
      </w:r>
      <m:oMath>
        <m:r>
          <m:t>40</m:t>
        </m:r>
      </m:oMath>
      <w:r>
        <w:t xml:space="preserve"> </w:t>
      </w:r>
      <w:r>
        <w:t xml:space="preserve">draws per cell. The two counts</w:t>
      </w:r>
      <w:r>
        <w:t xml:space="preserve"> </w:t>
      </w:r>
      <w:r>
        <w:t xml:space="preserve">separate only where a missing import raises</w:t>
      </w:r>
      <w:r>
        <w:t xml:space="preserve"> </w:t>
      </w:r>
      <w:r>
        <w:rPr>
          <w:rStyle w:val="VerbatimChar"/>
        </w:rPr>
        <w:t xml:space="preserve">NameError</w:t>
      </w:r>
      <w:r>
        <w:t xml:space="preserve"> </w:t>
      </w:r>
      <w:r>
        <w:t xml:space="preserve">before the call assertion executes,</w:t>
      </w:r>
      <w:r>
        <w:t xml:space="preserve"> </w:t>
      </w:r>
      <w:r>
        <w:t xml:space="preserve">so the posted value is never recorded; every such draw still fails under the neutralized verifier</w:t>
      </w:r>
      <w:r>
        <w:t xml:space="preserve"> </w:t>
      </w:r>
      <w:r>
        <w:t xml:space="preserve">and its code computes the encoding.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Sonnet’s refusals are not</w:t>
      </w:r>
      <w:r>
        <w:t xml:space="preserve"> </w:t>
      </w:r>
      <w:r>
        <w:t xml:space="preserve">confined to the superset, and counting them across all of its retained arms locates the trigger</w:t>
      </w:r>
      <w:r>
        <w:t xml:space="preserve"> </w:t>
      </w:r>
      <w:r>
        <w:t xml:space="preserve">elsewhere than in the number of blocks: an arm carrying only the block that is</w:t>
      </w:r>
      <w:r>
        <w:t xml:space="preserve"> </w:t>
      </w:r>
      <w:r>
        <w:rPr>
          <w:i/>
          <w:iCs/>
        </w:rPr>
        <w:t xml:space="preserve">decisive</w:t>
      </w:r>
      <w:r>
        <w:t xml:space="preserve"> </w:t>
      </w:r>
      <w:r>
        <w:t xml:space="preserve">for</w:t>
      </w:r>
      <w:r>
        <w:t xml:space="preserve"> </w:t>
      </w:r>
      <w:r>
        <w:t xml:space="preserve">its task draws</w:t>
      </w:r>
      <w:r>
        <w:t xml:space="preserve"> </w:t>
      </w:r>
      <m:oMath>
        <m:r>
          <m:t>0</m:t>
        </m:r>
        <m:r>
          <m:rPr>
            <m:sty m:val="p"/>
          </m:rPr>
          <m:t>/</m:t>
        </m:r>
        <m:r>
          <m:t>40</m:t>
        </m:r>
      </m:oMath>
      <w:r>
        <w:t xml:space="preserve"> </w:t>
      </w:r>
      <w:r>
        <w:t xml:space="preserve">refusals on</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and the trap and</w:t>
      </w:r>
      <w:r>
        <w:t xml:space="preserve"> </w:t>
      </w:r>
      <m:oMath>
        <m:r>
          <m:t>13</m:t>
        </m:r>
        <m:r>
          <m:rPr>
            <m:sty m:val="p"/>
          </m:rPr>
          <m:t>/</m:t>
        </m:r>
        <m:r>
          <m:t>40</m:t>
        </m:r>
      </m:oMath>
      <w:r>
        <w:t xml:space="preserve"> </w:t>
      </w:r>
      <w:r>
        <w:t xml:space="preserve">on</w:t>
      </w:r>
      <w:r>
        <w:t xml:space="preserve"> </w:t>
      </w:r>
      <w:r>
        <w:rPr>
          <w:rStyle w:val="VerbatimChar"/>
        </w:rPr>
        <w:t xml:space="preserve">enc_amount</w:t>
      </w:r>
      <w:r>
        <w:t xml:space="preserve">, while an arm carrying only a</w:t>
      </w:r>
      <w:r>
        <w:t xml:space="preserve"> </w:t>
      </w:r>
      <w:r>
        <w:rPr>
          <w:i/>
          <w:iCs/>
        </w:rPr>
        <w:t xml:space="preserve">non</w:t>
      </w:r>
      <w:r>
        <w:t xml:space="preserve">-decisive block draws</w:t>
      </w:r>
      <w:r>
        <w:t xml:space="preserve"> </w:t>
      </w:r>
      <m:oMath>
        <m:r>
          <m:t>40</m:t>
        </m:r>
        <m:r>
          <m:rPr>
            <m:sty m:val="p"/>
          </m:rPr>
          <m:t>/</m:t>
        </m:r>
        <m:r>
          <m:t>40</m:t>
        </m:r>
      </m:oMath>
      <w:r>
        <w:t xml:space="preserve">,</w:t>
      </w:r>
      <w:r>
        <w:t xml:space="preserve"> </w:t>
      </w:r>
      <m:oMath>
        <m:r>
          <m:t>39</m:t>
        </m:r>
        <m:r>
          <m:rPr>
            <m:sty m:val="p"/>
          </m:rPr>
          <m:t>/</m:t>
        </m:r>
        <m:r>
          <m:t>40</m:t>
        </m:r>
      </m:oMath>
      <w:r>
        <w:t xml:space="preserve">,</w:t>
      </w:r>
      <w:r>
        <w:t xml:space="preserve"> </w:t>
      </w:r>
      <m:oMath>
        <m:r>
          <m:t>22</m:t>
        </m:r>
        <m:r>
          <m:rPr>
            <m:sty m:val="p"/>
          </m:rPr>
          <m:t>/</m:t>
        </m:r>
        <m:r>
          <m:t>40</m:t>
        </m:r>
      </m:oMath>
      <w:r>
        <w:t xml:space="preserve"> </w:t>
      </w:r>
      <w:r>
        <w:t xml:space="preserve">and</w:t>
      </w:r>
      <w:r>
        <w:t xml:space="preserve"> </w:t>
      </w:r>
      <m:oMath>
        <m:r>
          <m:t>36</m:t>
        </m:r>
        <m:r>
          <m:rPr>
            <m:sty m:val="p"/>
          </m:rPr>
          <m:t>/</m:t>
        </m:r>
        <m:r>
          <m:t>40</m:t>
        </m:r>
      </m:oMath>
      <w:r>
        <w:t xml:space="preserve"> </w:t>
      </w:r>
      <w:r>
        <w:t xml:space="preserve">on the same four tasks. A single private block is therefore</w:t>
      </w:r>
      <w:r>
        <w:t xml:space="preserve"> </w:t>
      </w:r>
      <w:r>
        <w:t xml:space="preserve">enough, when it does not serve the task at hand. On that reading the superset refuses because it</w:t>
      </w:r>
      <w:r>
        <w:t xml:space="preserve"> </w:t>
      </w:r>
      <w:r>
        <w:t xml:space="preserve">always contains a block the task does not need, which is the same mismatch the collapse turns on</w:t>
      </w:r>
      <w:r>
        <w:t xml:space="preserve"> </w:t>
      </w:r>
      <w:r>
        <w:t xml:space="preserve">rather than a separate effect of stacking. We state this as the pattern the retained draws show,</w:t>
      </w:r>
      <w:r>
        <w:t xml:space="preserve"> </w:t>
      </w:r>
      <w:r>
        <w:t xml:space="preserve">not as a mechanism: it rests on one model and four tasks.</w:t>
      </w:r>
      <w:r>
        <w:t xml:space="preserve"> </w:t>
      </w:r>
      <w:r>
        <w:t xml:space="preserve">Theorem 3 is indifferent to it,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96"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among the superset draws that still fail once the import is neutralized,</w:t>
      </w:r>
      <w:r>
        <w:t xml:space="preserve"> </w:t>
      </w:r>
      <w:r>
        <w:t xml:space="preserve">those that wire-encode the amount;</w:t>
      </w:r>
      <w:r>
        <w:t xml:space="preserve"> </w:t>
      </w:r>
      <w:r>
        <w:t xml:space="preserve">“Refusal”</w:t>
      </w:r>
      <w:r>
        <w:t xml:space="preserve"> </w:t>
      </w:r>
      <w:r>
        <w:t xml:space="preserve">counts draws declining the task as a suspected</w:t>
      </w:r>
      <w:r>
        <w:t xml:space="preserve"> </w:t>
      </w:r>
      <w:r>
        <w:t xml:space="preserve">prompt injection, over all</w:t>
      </w:r>
      <w:r>
        <w:t xml:space="preserve"> </w:t>
      </w:r>
      <m:oMath>
        <m:r>
          <m:t>n</m:t>
        </m:r>
      </m:oMath>
      <w:r>
        <w:t xml:space="preserve"> </w:t>
      </w:r>
      <w:r>
        <w:t xml:space="preserve">draws of the arm. The two denominators therefore differ, and the</w:t>
      </w:r>
      <w:r>
        <w:t xml:space="preserve"> </w:t>
      </w:r>
      <w:r>
        <w:t xml:space="preserve">labels are not mutually exclusive: on Sonnet’s</w:t>
      </w:r>
      <w:r>
        <w:t xml:space="preserve"> </w:t>
      </w:r>
      <w:r>
        <w:rPr>
          <w:rStyle w:val="VerbatimChar"/>
        </w:rPr>
        <w:t xml:space="preserve">api_argorder</w:t>
      </w:r>
      <w:r>
        <w:t xml:space="preserve"> </w:t>
      </w:r>
      <w:r>
        <w:t xml:space="preserve">one draw carries both flags,</w:t>
      </w:r>
      <w:r>
        <w:t xml:space="preserve"> </w:t>
      </w:r>
      <w:r>
        <w:t xml:space="preserve">and on its</w:t>
      </w:r>
      <w:r>
        <w:t xml:space="preserve"> </w:t>
      </w:r>
      <w:r>
        <w:rPr>
          <w:rStyle w:val="VerbatimChar"/>
        </w:rPr>
        <w:t xml:space="preserve">api_post_ok</w:t>
      </w:r>
      <w:r>
        <w:t xml:space="preserve"> </w:t>
      </w:r>
      <w:r>
        <w:t xml:space="preserve">one refusal-flagged draw nonetheless passed. Every row is a</w:t>
      </w:r>
      <w:r>
        <w:t xml:space="preserve"> </w:t>
      </w:r>
      <w:r>
        <w:t xml:space="preserve">single-shot re-measurement in the published regime.</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among the superset draws that still fail once the import is neutralized, those that wire-encode the amount; “Refusal” counts draws declining the task as a suspected prompt injection, over all n draws of the arm. The two denominators therefore differ, and the labels are not mutually exclusive: on Sonnet’s api_argorder one draw carries both flags, and on its api_post_ok one refusal-flagged draw nonetheless passed. Every row is a single-shot re-measurement in the published regime."/>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96"/>
    <w:bookmarkEnd w:id="97"/>
    <w:bookmarkEnd w:id="98"/>
    <w:bookmarkEnd w:id="99"/>
    <w:bookmarkStart w:id="102"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A1);</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keeps the non-dominated pair and takes the per-cell maximum of</w:t>
      </w:r>
      <w:r>
        <w:t xml:space="preserve"> </w:t>
      </w:r>
      <w:r>
        <w:t xml:space="preserve">the two. It is the benchmark the partial order licenses one to aim at, and its price is exactly</w:t>
      </w:r>
      <w:r>
        <w:t xml:space="preserve"> </w:t>
      </w:r>
      <w:r>
        <w:t xml:space="preserve">one probe’s worth of knowledge, namely which source is decisive for which family. We report it as</w:t>
      </w:r>
      <w:r>
        <w:t xml:space="preserve"> </w:t>
      </w:r>
      <w:r>
        <w:t xml:space="preserve">an oracle rather than as an achieved result because the per-cell maximum is read off the same</w:t>
      </w:r>
      <w:r>
        <w:t xml:space="preserve"> </w:t>
      </w:r>
      <w:r>
        <w:t xml:space="preserve">outcomes it is scored on; a deployable router would have to be fixed before testing and evaluated</w:t>
      </w:r>
      <w:r>
        <w:t xml:space="preserve"> </w:t>
      </w:r>
      <w:r>
        <w:t xml:space="preserve">on held-out tasks, against matched latency and token budgets. This paper does not do that, and</w:t>
      </w:r>
      <w:r>
        <w:t xml:space="preserve"> </w:t>
      </w:r>
      <w:r>
        <w:t xml:space="preserve">the number below should not be read as a measured gain from a shipped selector.</w:t>
      </w:r>
    </w:p>
    <w:bookmarkStart w:id="100" w:name="tab:policies"/>
    <w:p>
      <w:pPr>
        <w:pStyle w:val="TableCaption"/>
      </w:pPr>
      <w:r>
        <w:t xml:space="preserve">Mean PASS (%) over the four verified cells under four selection policies, per model,</w:t>
      </w:r>
      <w:r>
        <w:t xml:space="preserve"> </w:t>
      </w:r>
      <w:r>
        <w:t xml:space="preserve">computed from the per-cell PASS counts behind Table A1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rPr>
          <w:i/>
          <w:iCs/>
        </w:rPr>
        <w:t xml:space="preserve">read off the test outcomes</w:t>
      </w:r>
      <w:r>
        <w:t xml:space="preserve">: an empirical oracle over the pair, not a</w:t>
      </w:r>
      <w:r>
        <w:t xml:space="preserve"> </w:t>
      </w:r>
      <w:r>
        <w:t xml:space="preserve">router fixed in advance and then evaluated, and not a confidence bound on any policy’s population</w:t>
      </w:r>
      <w:r>
        <w:t xml:space="preserve"> </w:t>
      </w:r>
      <w:r>
        <w:t xml:space="preserve">quality. It is also not a ceiling over all selection policies, since it excludes</w:t>
      </w:r>
      <w:r>
        <w:t xml:space="preserve"> </w:t>
      </w:r>
      <m:oMath>
        <m:sSub>
          <m:e>
            <m:r>
              <m:t>W</m:t>
            </m:r>
          </m:e>
          <m:sub>
            <m:r>
              <m:t>1</m:t>
            </m:r>
            <m:r>
              <m:rPr>
                <m:sty m:val="p"/>
              </m:rPr>
              <m:t>+</m:t>
            </m:r>
          </m:sub>
        </m:sSub>
      </m:oMath>
      <w:r>
        <w:t xml:space="preserve"> </w:t>
      </w:r>
      <w:r>
        <w:t xml:space="preserve">as a</w:t>
      </w:r>
      <w:r>
        <w:t xml:space="preserve"> </w:t>
      </w:r>
      <w:r>
        <w:t xml:space="preserve">candidate: admitting it raises the Haiku oracle from</w:t>
      </w:r>
      <w:r>
        <w:t xml:space="preserve"> </w:t>
      </w:r>
      <m:oMath>
        <m:r>
          <m:t>85.6</m:t>
        </m:r>
      </m:oMath>
      <w:r>
        <w:t xml:space="preserve"> </w:t>
      </w:r>
      <w:r>
        <w:t xml:space="preserve">to</w:t>
      </w:r>
      <w:r>
        <w:t xml:space="preserve"> </w:t>
      </w:r>
      <m:oMath>
        <m:r>
          <m:t>86.25</m:t>
        </m:r>
      </m:oMath>
      <w:r>
        <w:t xml:space="preserve">, because</w:t>
      </w:r>
      <w:r>
        <w:t xml:space="preserve"> </w:t>
      </w:r>
      <m:oMath>
        <m:sSub>
          <m:e>
            <m:r>
              <m:t>W</m:t>
            </m:r>
          </m:e>
          <m:sub>
            <m:r>
              <m:t>1</m:t>
            </m:r>
            <m:r>
              <m:rPr>
                <m:sty m:val="p"/>
              </m:rPr>
              <m:t>+</m:t>
            </m:r>
          </m:sub>
        </m:sSub>
      </m:oMath>
      <w:r>
        <w:t xml:space="preserve"> </w:t>
      </w:r>
      <w:r>
        <w:t xml:space="preserve">edges</w:t>
      </w:r>
      <w:r>
        <w:t xml:space="preserve"> </w:t>
      </w:r>
      <m:oMath>
        <m:sSub>
          <m:e>
            <m:r>
              <m:t>W</m:t>
            </m:r>
          </m:e>
          <m:sub>
            <m:r>
              <m:t>1</m:t>
            </m:r>
          </m:sub>
        </m:sSub>
      </m:oMath>
      <w:r>
        <w:t xml:space="preserve"> </w:t>
      </w:r>
      <w:r>
        <w:t xml:space="preserve">on the trap cell.</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A1 (averaging the rounded percentages instead would shift a column by up to 0.4). The last column is the per-cell maximum of W_1 and W_2 read off the test outcomes: an empirical oracle over the pair, not a router fixed in advance and then evaluated, and not a confidence bound on any policy’s population quality. It is also not a ceiling over all selection policies, since it excludes W_{1+} as a candidate: admitting it raises the Haiku oracle from 85.6 to 86.25, because W_{1+} edges W_1 on the trap cell."/>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60.6</w:t>
            </w:r>
          </w:p>
        </w:tc>
        <w:tc>
          <w:tcPr/>
          <w:p>
            <w:pPr>
              <w:pStyle w:val="Compact"/>
              <w:jc w:val="center"/>
            </w:pPr>
            <w:r>
              <w:t xml:space="preserve">63.1</w:t>
            </w:r>
          </w:p>
        </w:tc>
        <w:tc>
          <w:tcPr/>
          <w:p>
            <w:pPr>
              <w:pStyle w:val="Compact"/>
              <w:jc w:val="center"/>
            </w:pPr>
            <w:r>
              <w:t xml:space="preserve">53.1</w:t>
            </w:r>
          </w:p>
        </w:tc>
        <w:tc>
          <w:tcPr/>
          <w:p>
            <w:pPr>
              <w:pStyle w:val="Compact"/>
              <w:jc w:val="center"/>
            </w:pPr>
            <w:r>
              <w:rPr>
                <w:b/>
                <w:bCs/>
              </w:rPr>
              <w:t xml:space="preserve">85.6</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36.9</w:t>
            </w:r>
          </w:p>
        </w:tc>
        <w:tc>
          <w:tcPr/>
          <w:p>
            <w:pPr>
              <w:pStyle w:val="Compact"/>
              <w:jc w:val="center"/>
            </w:pPr>
            <w:r>
              <w:rPr>
                <w:b/>
                <w:bCs/>
              </w:rPr>
              <w:t xml:space="preserve">99.4</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54.4</w:t>
            </w:r>
          </w:p>
        </w:tc>
        <w:tc>
          <w:tcPr/>
          <w:p>
            <w:pPr>
              <w:pStyle w:val="Compact"/>
              <w:jc w:val="center"/>
            </w:pPr>
            <w:r>
              <w:rPr>
                <w:b/>
                <w:bCs/>
              </w:rPr>
              <w:t xml:space="preserve">99.4</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47.4</w:t>
            </w:r>
          </w:p>
        </w:tc>
        <w:tc>
          <w:tcPr/>
          <w:p>
            <w:pPr>
              <w:pStyle w:val="Compact"/>
              <w:jc w:val="center"/>
            </w:pPr>
            <w:r>
              <w:rPr>
                <w:b/>
                <w:bCs/>
              </w:rPr>
              <w:t xml:space="preserve">93.3</w:t>
            </w:r>
          </w:p>
        </w:tc>
      </w:tr>
    </w:tbl>
    <w:bookmarkEnd w:id="100"/>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oracle column shows what</w:t>
      </w:r>
      <w:r>
        <w:t xml:space="preserve"> </w:t>
      </w:r>
      <w:r>
        <w:t xml:space="preserve">selection over the pair could have recovered had the deciding source been chosen on every cell;</w:t>
      </w:r>
      <w:r>
        <w:t xml:space="preserve"> </w:t>
      </w:r>
      <w:r>
        <w:t xml:space="preserve">its shortfall from</w:t>
      </w:r>
      <w:r>
        <w:t xml:space="preserve"> </w:t>
      </w:r>
      <m:oMath>
        <m:r>
          <m:t>100</m:t>
        </m:r>
        <m:r>
          <m:rPr>
            <m:sty m:val="p"/>
          </m:rPr>
          <m:t>%</m:t>
        </m:r>
      </m:oMath>
      <w:r>
        <w:t xml:space="preserve"> </w:t>
      </w:r>
      <w:r>
        <w:t xml:space="preserve">is not selection error, though neither is it all capability. For</w:t>
      </w:r>
      <w:r>
        <w:t xml:space="preserve"> </w:t>
      </w:r>
      <w:r>
        <w:t xml:space="preserve">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of the two scalar policies measured here forfeits an entire cell class, and no single task-independent ranking keeps all four.</w:t>
      </w:r>
    </w:p>
    <w:bookmarkStart w:id="101"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single task-independent ranking drops one of them</w:t>
      </w:r>
      <w:r>
        <w:t xml:space="preserve"> </w:t>
      </w:r>
      <w:r>
        <w:t xml:space="preserve">(Theorem 2). A threshold that instead</w:t>
      </w:r>
      <w:r>
        <w:t xml:space="preserve"> </w:t>
      </w:r>
      <w:r>
        <w:rPr>
          <w:i/>
          <w:iCs/>
        </w:rPr>
        <w:t xml:space="preserve">concatenates</w:t>
      </w:r>
      <w:r>
        <w:t xml:space="preserve"> </w:t>
      </w:r>
      <w:r>
        <w:t xml:space="preserve">both is not</w:t>
      </w:r>
      <w:r>
        <w:t xml:space="preserve"> </w:t>
      </w:r>
      <w:r>
        <w:t xml:space="preserve">forbidden by the theorem, but on this pair it is the worst of the four policies measured</w:t>
      </w:r>
      <w:r>
        <w:t xml:space="preserve"> </w:t>
      </w:r>
      <w:r>
        <w:t xml:space="preserve">(Table 7).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Keeping both is what makes the per-cell maximum reachable; it does not by itself</w:t>
      </w:r>
      <w:r>
        <w:t xml:space="preserve"> </w:t>
      </w:r>
      <w:r>
        <w:t xml:space="preserve">route correctly on a new task, and concatenating the two instead is the worst policy measured</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1"/>
    <w:bookmarkEnd w:id="102"/>
    <w:bookmarkEnd w:id="103"/>
    <w:bookmarkStart w:id="118"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6" w:name="sec:disc-bridge"/>
    <w:p>
      <w:pPr>
        <w:pStyle w:val="Heading2"/>
      </w:pPr>
      <w:r>
        <w:t xml:space="preserve">Scope of the claims</w:t>
      </w:r>
    </w:p>
    <w:p>
      <w:pPr>
        <w:pStyle w:val="FirstParagraph"/>
      </w:pPr>
      <w:bookmarkStart w:id="104" w:name="sec:disc-deficiency"/>
      <w:bookmarkEnd w:id="104"/>
      <w:bookmarkStart w:id="105" w:name="sec:disc-certificate"/>
      <w:bookmarkEnd w:id="105"/>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is built to make attainable and our measurements confirm on the named pairs.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7).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6"/>
    <w:bookmarkStart w:id="107"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8).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on Sonnet, GPT-5.5 and Kimi. This is a verified empirical falsification of</w:t>
      </w:r>
      <w:r>
        <w:t xml:space="preserve"> </w:t>
      </w:r>
      <w:r>
        <w:t xml:space="preserve">superset-</w:t>
      </w:r>
      <w:r>
        <w:rPr>
          <w:i/>
          <w:iCs/>
        </w:rPr>
        <w:t xml:space="preserve">monotonicity</w:t>
      </w:r>
      <w:r>
        <w:t xml:space="preserve"> </w:t>
      </w:r>
      <w:r>
        <w:t xml:space="preserve">for these fixed rules (Theorem 3): a literal</w:t>
      </w:r>
      <w:r>
        <w:t xml:space="preserve"> </w:t>
      </w:r>
      <w:r>
        <w:t xml:space="preserve">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End w:id="107"/>
    <w:bookmarkStart w:id="108"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and not by an off-topic block of equal character length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each true, and each needed by some task in the battery though not by every task</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08"/>
    <w:bookmarkStart w:id="117"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9"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09"/>
    <w:bookmarkStart w:id="110"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at the margin</w:t>
      </w:r>
      <w:r>
        <w:t xml:space="preserve"> </w:t>
      </w:r>
      <w:r>
        <w:t xml:space="preserve">(</w:t>
      </w:r>
      <m:oMath>
        <m:sSub>
          <m:e>
            <m:bar>
              <m:barPr>
                <m:pos m:val="top"/>
              </m:barPr>
              <m:e>
                <m:r>
                  <m:rPr>
                    <m:sty m:val="p"/>
                  </m:rPr>
                  <m:t>Δ</m:t>
                </m:r>
              </m:e>
            </m:bar>
          </m:e>
          <m:sub>
            <m:r>
              <m:t>T</m:t>
            </m:r>
          </m:sub>
        </m:sSub>
        <m:r>
          <m:rPr>
            <m:sty m:val="p"/>
          </m:rPr>
          <m:t>=</m:t>
        </m:r>
        <m:r>
          <m:rPr>
            <m:sty m:val="p"/>
          </m:rPr>
          <m:t>−</m:t>
        </m:r>
        <m:r>
          <m:t>0.33</m:t>
        </m:r>
      </m:oMath>
      <w:r>
        <w:t xml:space="preserve"> </w:t>
      </w:r>
      <w:r>
        <w:t xml:space="preserve">at</w:t>
      </w:r>
      <w:r>
        <w:t xml:space="preserve"> </w:t>
      </w:r>
      <m:oMath>
        <m:r>
          <m:t>n</m:t>
        </m:r>
        <m:r>
          <m:rPr>
            <m:sty m:val="p"/>
          </m:rPr>
          <m:t>=</m:t>
        </m:r>
        <m:r>
          <m:t>80</m:t>
        </m:r>
      </m:oMath>
      <w:r>
        <w:t xml:space="preserv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0"/>
    <w:bookmarkStart w:id="111"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1"/>
    <w:bookmarkStart w:id="112"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2"/>
    <w:bookmarkStart w:id="113"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3"/>
    <w:bookmarkStart w:id="114"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and the reversed-order arm, were each run on single-shot Haiku at</w:t>
      </w:r>
      <w:r>
        <w:t xml:space="preserve"> </w:t>
      </w:r>
      <m:oMath>
        <m:r>
          <m:t>n</m:t>
        </m:r>
        <m:r>
          <m:rPr>
            <m:sty m:val="p"/>
          </m:rPr>
          <m:t>=</m:t>
        </m:r>
        <m:r>
          <m:t>40</m:t>
        </m:r>
      </m:oMath>
      <w:r>
        <w:t xml:space="preserve"> </w:t>
      </w:r>
      <w:r>
        <w:t xml:space="preserve">on the two collapse</w:t>
      </w:r>
      <w:r>
        <w:t xml:space="preserve"> </w:t>
      </w:r>
      <w:r>
        <w:t xml:space="preserve">cells, in the same regime and on the same task versions as the main table.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the controls show that on this model</w:t>
      </w:r>
      <w:r>
        <w:t xml:space="preserve"> </w:t>
      </w:r>
      <w:r>
        <w:t xml:space="preserve">the content of the added block and the routing instruction move the outcome, while an off-topic</w:t>
      </w:r>
      <w:r>
        <w:t xml:space="preserve"> </w:t>
      </w:r>
      <w:r>
        <w:t xml:space="preserve">block of the same character length does not. They do not isolate tokenization, processing</w:t>
      </w:r>
      <w:r>
        <w:t xml:space="preserve"> </w:t>
      </w:r>
      <w:r>
        <w:t xml:space="preserve">difficulty, or position, and they do not establish the internal cause. A tokenizer-matched</w:t>
      </w:r>
      <w:r>
        <w:t xml:space="preserve"> </w:t>
      </w:r>
      <w:r>
        <w:t xml:space="preserve">control, an on-topic but verifier-irrelevant control, a matched single-shot order control, and any</w:t>
      </w:r>
      <w:r>
        <w:t xml:space="preserve"> </w:t>
      </w:r>
      <w:r>
        <w:t xml:space="preserve">of these across the roster remain untested.</w:t>
      </w:r>
    </w:p>
    <w:bookmarkEnd w:id="114"/>
    <w:bookmarkStart w:id="115"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C),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Marginal-versus-joint control is discussed in</w:t>
      </w:r>
      <w:r>
        <w:t xml:space="preserve"> </w:t>
      </w:r>
      <w:r>
        <w:t xml:space="preserve">§8.1.</w:t>
      </w:r>
    </w:p>
    <w:bookmarkEnd w:id="115"/>
    <w:bookmarkStart w:id="116"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6"/>
    <w:bookmarkEnd w:id="117"/>
    <w:bookmarkEnd w:id="118"/>
    <w:bookmarkStart w:id="119"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w:t>
      </w:r>
      <w:r>
        <w:t xml:space="preserve"> </w:t>
      </w:r>
      <w:r>
        <w:t xml:space="preserve">and is not ordered by capability; the three Anthropic models alone span</w:t>
      </w:r>
      <w:r>
        <w:t xml:space="preserve"> </w:t>
      </w:r>
      <m:oMath>
        <m:r>
          <m:t>0</m:t>
        </m:r>
        <m:r>
          <m:rPr>
            <m:sty m:val="p"/>
          </m:rPr>
          <m:t>%</m:t>
        </m:r>
      </m:oMath>
      <w:r>
        <w:t xml:space="preserve">,</w:t>
      </w:r>
      <w:r>
        <w:t xml:space="preserve"> </w:t>
      </w:r>
      <m:oMath>
        <m:r>
          <m:t>2</m:t>
        </m:r>
        <m:r>
          <m:rPr>
            <m:sty m:val="p"/>
          </m:rPr>
          <m:t>%</m:t>
        </m:r>
      </m:oMath>
      <w:r>
        <w:t xml:space="preserve"> </w:t>
      </w:r>
      <w:r>
        <w:t xml:space="preserve">and</w:t>
      </w:r>
      <w:r>
        <w:t xml:space="preserve"> </w:t>
      </w:r>
      <m:oMath>
        <m:r>
          <m:t>40</m:t>
        </m:r>
        <m:r>
          <m:rPr>
            <m:sty m:val="p"/>
          </m:rPr>
          <m:t>%</m:t>
        </m:r>
      </m:oMath>
      <w:r>
        <w:t xml:space="preserve">, so</w:t>
      </w:r>
      <w:r>
        <w:t xml:space="preserve"> </w:t>
      </w:r>
      <w:r>
        <w:t xml:space="preserve">it is not a vendor effect either, and what it does track these runs cannot identify.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character-matched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narrow and its scope is stated exactly: one number per source fixed across tasks</w:t>
      </w:r>
      <w:r>
        <w:t xml:space="preserve"> </w:t>
      </w:r>
      <w:r>
        <w:t xml:space="preserve">(Theorem 2), and query-conditioned scores meeting the two hypotheses of</w:t>
      </w:r>
      <w:r>
        <w:t xml:space="preserve"> </w:t>
      </w:r>
      <w:r>
        <w:t xml:space="preserve">Proposition 2. It is not a statement about all context selection, and</w:t>
      </w:r>
      <w:r>
        <w:t xml:space="preserve"> </w:t>
      </w:r>
      <w:r>
        <w:t xml:space="preserve">it implies no lower bound on computational cost: a task-conditioned score, a router over public</w:t>
      </w:r>
      <w:r>
        <w:t xml:space="preserve"> </w:t>
      </w:r>
      <w:r>
        <w:t xml:space="preserve">task metadata, or any number of cheap algorithms lie outside it</w:t>
      </w:r>
      <w:r>
        <w:t xml:space="preserve"> </w:t>
      </w:r>
      <w:r>
        <w:t xml:space="preserve">(Remark 5).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That is a measured contrast between named checkpoints, not a</w:t>
      </w:r>
      <w:r>
        <w:t xml:space="preserve"> </w:t>
      </w:r>
      <w:r>
        <w:t xml:space="preserve">proved separation between complexity classes: what the theory establishes is that a single</w:t>
      </w:r>
      <w:r>
        <w:t xml:space="preserve"> </w:t>
      </w:r>
      <w:r>
        <w:t xml:space="preserve">task-independent number cannot represent a partial order, and what the probe shows is that</w:t>
      </w:r>
      <w:r>
        <w:t xml:space="preserve"> </w:t>
      </w:r>
      <w:r>
        <w:t xml:space="preserve">reading content suffices to measure it on this battery.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19"/>
    <w:bookmarkStart w:id="120"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p>
      <w:pPr>
        <w:pStyle w:val="BodyText"/>
      </w:pPr>
      <w:r>
        <w:t xml:space="preserve">The implementation is traceable in the artifact repository, whose commit history is authored</w:t>
      </w:r>
      <w:r>
        <w:t xml:space="preserve"> </w:t>
      </w:r>
      <w:r>
        <w:t xml:space="preserve">solely by A.B.; the co-authors’ contributions were made in discussion and review. The</w:t>
      </w:r>
      <w:r>
        <w:t xml:space="preserve"> </w:t>
      </w:r>
      <w:r>
        <w:t xml:space="preserve">generative-AI assistance described in the Acknowledgments is a tool and holds no CRediT role.</w:t>
      </w:r>
    </w:p>
    <w:bookmarkEnd w:id="120"/>
    <w:bookmarkStart w:id="121"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1"/>
    <w:bookmarkStart w:id="122"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2"/>
    <w:bookmarkStart w:id="123" w:name="informed-consent-statement"/>
    <w:p>
      <w:pPr>
        <w:pStyle w:val="Heading1"/>
      </w:pPr>
      <w:r>
        <w:t xml:space="preserve">Informed Consent Statement</w:t>
      </w:r>
    </w:p>
    <w:p>
      <w:pPr>
        <w:pStyle w:val="FirstParagraph"/>
      </w:pPr>
      <w:r>
        <w:t xml:space="preserve">Not applicable.</w:t>
      </w:r>
    </w:p>
    <w:bookmarkEnd w:id="123"/>
    <w:bookmarkStart w:id="124"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3">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§7.5.1.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retention re-measurement of §7.5.2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24"/>
    <w:bookmarkStart w:id="125" w:name="acknowledgments"/>
    <w:p>
      <w:pPr>
        <w:pStyle w:val="Heading1"/>
      </w:pPr>
      <w:r>
        <w:t xml:space="preserve">Acknowledgments</w:t>
      </w:r>
    </w:p>
    <w:p>
      <w:pPr>
        <w:pStyle w:val="FirstParagraph"/>
      </w:pPr>
      <w:r>
        <w:t xml:space="preserve">The authors thank the Department of Information Systems and Networks, Lviv Polytechnic National</w:t>
      </w:r>
      <w:r>
        <w:t xml:space="preserve"> </w:t>
      </w:r>
      <w:r>
        <w:t xml:space="preserve">University, for institutional support. No third party contributed to the design, execution or</w:t>
      </w:r>
      <w:r>
        <w:t xml:space="preserve"> </w:t>
      </w:r>
      <w:r>
        <w:t xml:space="preserve">analysis of the reported measurements beyond the listed authors.</w:t>
      </w:r>
    </w:p>
    <w:p>
      <w:pPr>
        <w:pStyle w:val="BodyText"/>
      </w:pPr>
      <w:r>
        <w:t xml:space="preserve">Anthropic’s Claude models were used for code scaffolding, experimental-plan review,</w:t>
      </w:r>
      <w:r>
        <w:t xml:space="preserve"> </w:t>
      </w:r>
      <w:r>
        <w:t xml:space="preserve">implementation assistance, consistency and artifact audits, manuscript organization, and</w:t>
      </w:r>
      <w:r>
        <w:t xml:space="preserve"> </w:t>
      </w:r>
      <w:r>
        <w:t xml:space="preserve">LaTeX formatting. The authors inspected code changes, executed the experiments, verified</w:t>
      </w:r>
      <w:r>
        <w:t xml:space="preserve"> </w:t>
      </w:r>
      <w:r>
        <w:t xml:space="preserve">outputs against frozen manifests and source files, checked cited sources, and take full</w:t>
      </w:r>
      <w:r>
        <w:t xml:space="preserve"> </w:t>
      </w:r>
      <w:r>
        <w:t xml:space="preserve">responsibility for the study design, results, interpretations, and manuscript.</w:t>
      </w:r>
    </w:p>
    <w:bookmarkEnd w:id="125"/>
    <w:bookmarkStart w:id="126" w:name="X662c2d66dd1eda3268d2087202c966cd73b2601"/>
    <w:p>
      <w:pPr>
        <w:pStyle w:val="Heading1"/>
      </w:pPr>
      <w:r>
        <w:t xml:space="preserve">Use of Generative Artificial Intelligence</w:t>
      </w:r>
    </w:p>
    <w:p>
      <w:pPr>
        <w:pStyle w:val="FirstParagraph"/>
      </w:pPr>
      <w:r>
        <w:t xml:space="preserve">Language models appear in this work in two distinct roles, and we separate them because only one</w:t>
      </w:r>
      <w:r>
        <w:t xml:space="preserve"> </w:t>
      </w:r>
      <w:r>
        <w:t xml:space="preserve">bears on the results.</w:t>
      </w:r>
      <w:r>
        <w:t xml:space="preserve"> </w:t>
      </w:r>
      <w:r>
        <w:rPr>
          <w:i/>
          <w:iCs/>
        </w:rPr>
        <w:t xml:space="preserve">As the object of study:</w:t>
      </w:r>
      <w:r>
        <w:t xml:space="preserve"> </w:t>
      </w:r>
      <w:r>
        <w:t xml:space="preserve">the measured quantities are pass rates of</w:t>
      </w:r>
      <w:r>
        <w:t xml:space="preserve"> </w:t>
      </w:r>
      <w:r>
        <w:t xml:space="preserve">commercial language models, obtained through the interfaces described in</w:t>
      </w:r>
      <w:r>
        <w:t xml:space="preserve"> </w:t>
      </w:r>
      <w:r>
        <w:t xml:space="preserve">§7.3; everything else we report, the confidence bounds, the ranker scores, the</w:t>
      </w:r>
      <w:r>
        <w:t xml:space="preserve"> </w:t>
      </w:r>
      <w:r>
        <w:t xml:space="preserve">token and cost figures, is computed from those runs.</w:t>
      </w:r>
      <w:r>
        <w:t xml:space="preserve"> </w:t>
      </w:r>
      <w:r>
        <w:rPr>
          <w:i/>
          <w:iCs/>
        </w:rPr>
        <w:t xml:space="preserve">As a tool:</w:t>
      </w:r>
      <w:r>
        <w:t xml:space="preserve"> </w:t>
      </w:r>
      <w:r>
        <w:t xml:space="preserve">the assistance described in</w:t>
      </w:r>
      <w:r>
        <w:t xml:space="preserve"> </w:t>
      </w:r>
      <w:r>
        <w:t xml:space="preserve">the Acknowledgments. No result, table or figure was produced by a language model acting as an</w:t>
      </w:r>
      <w:r>
        <w:t xml:space="preserve"> </w:t>
      </w:r>
      <w:r>
        <w:t xml:space="preserve">author or an analyst: every reported quantity is computed by the released scripts from the</w:t>
      </w:r>
      <w:r>
        <w:t xml:space="preserve"> </w:t>
      </w:r>
      <w:r>
        <w:t xml:space="preserve">released records, which</w:t>
      </w:r>
      <w:r>
        <w:t xml:space="preserve"> </w:t>
      </w:r>
      <w:r>
        <w:rPr>
          <w:rStyle w:val="VerbatimChar"/>
        </w:rPr>
        <w:t xml:space="preserve">results/MANIFEST.md</w:t>
      </w:r>
      <w:r>
        <w:t xml:space="preserve"> </w:t>
      </w:r>
      <w:r>
        <w:t xml:space="preserve">pins by SHA-256 and maps to the table or</w:t>
      </w:r>
      <w:r>
        <w:t xml:space="preserve"> </w:t>
      </w:r>
      <w:r>
        <w:t xml:space="preserve">figure that uses it. The Data Availability Statement says which records are aggregate-only and</w:t>
      </w:r>
      <w:r>
        <w:t xml:space="preserve"> </w:t>
      </w:r>
      <w:r>
        <w:t xml:space="preserve">which retain raw completions.</w:t>
      </w:r>
    </w:p>
    <w:bookmarkEnd w:id="126"/>
    <w:bookmarkStart w:id="127" w:name="conflicts-of-interest"/>
    <w:p>
      <w:pPr>
        <w:pStyle w:val="Heading1"/>
      </w:pPr>
      <w:r>
        <w:t xml:space="preserve">Conflicts of Interest</w:t>
      </w:r>
    </w:p>
    <w:p>
      <w:pPr>
        <w:pStyle w:val="FirstParagraph"/>
      </w:pPr>
      <w:r>
        <w:t xml:space="preserve">The authors declare no conflict of interest.</w:t>
      </w:r>
    </w:p>
    <w:bookmarkEnd w:id="127"/>
    <w:bookmarkStart w:id="128"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8"/>
    <w:bookmarkStart w:id="140" w:name="app:proofs"/>
    <w:p>
      <w:pPr>
        <w:pStyle w:val="Heading1"/>
      </w:pPr>
      <w:r>
        <w:t xml:space="preserve">Deferred proofs and technical material</w:t>
      </w:r>
    </w:p>
    <w:bookmarkStart w:id="129"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9"/>
    <w:bookmarkStart w:id="130"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the rule</w:t>
      </w:r>
      <w:r>
        <w:t xml:space="preserve"> </w:t>
      </w:r>
      <w:r>
        <w:t xml:space="preserve">that reads that coordinate off and answers accordingly attains</w:t>
      </w:r>
      <w:r>
        <w:t xml:space="preserve"> </w:t>
      </w:r>
      <m:oMath>
        <m:sSub>
          <m:e>
            <m:r>
              <m:t>v</m:t>
            </m:r>
          </m:e>
          <m:sub>
            <m:sSub>
              <m:e>
                <m:r>
                  <m:t>T</m:t>
                </m:r>
              </m:e>
              <m:sub>
                <m:r>
                  <m:t>a</m:t>
                </m:r>
              </m:sub>
            </m:sSub>
          </m:sub>
        </m:sSub>
        <m:r>
          <m:rPr>
            <m:sty m:val="p"/>
          </m:rPr>
          <m:t>=</m:t>
        </m:r>
        <m:r>
          <m:t>1</m:t>
        </m:r>
      </m:oMath>
      <w:r>
        <w:t xml:space="preserve"> </w:t>
      </w:r>
      <w:r>
        <w:t xml:space="preserve">at</w:t>
      </w:r>
      <w:r>
        <w:t xml:space="preserve"> </w:t>
      </w:r>
      <m:oMath>
        <m:sSub>
          <m:e>
            <m:r>
              <m:t>μ</m:t>
            </m:r>
          </m:e>
          <m:sub>
            <m:sSub>
              <m:e>
                <m:r>
                  <m:t>T</m:t>
                </m:r>
              </m:e>
              <m:sub>
                <m:r>
                  <m:t>a</m:t>
                </m:r>
              </m:sub>
            </m:sSub>
          </m:sub>
        </m:sSub>
      </m:oMath>
      <w:r>
        <w:t xml:space="preserve">-almost</w:t>
      </w:r>
      <w:r>
        <w:t xml:space="preserve"> </w:t>
      </w:r>
      <w:r>
        <w:t xml:space="preserve">every state,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the</w:t>
      </w:r>
      <w:r>
        <w:t xml:space="preserve"> </w:t>
      </w:r>
      <w:r>
        <w:t xml:space="preserve">crossover is the observable signature of</w:t>
      </w:r>
      <w:r>
        <w:t xml:space="preserve"> </w:t>
      </w:r>
      <m:oMath>
        <m:sSub>
          <m:e>
            <m:r>
              <m:t>g</m:t>
            </m:r>
          </m:e>
          <m:sub>
            <m:r>
              <m:t>a</m:t>
            </m:r>
          </m:sub>
        </m:sSub>
        <m:r>
          <m:rPr>
            <m:sty m:val="p"/>
          </m:rPr>
          <m:t>,</m:t>
        </m:r>
        <m:sSub>
          <m:e>
            <m:r>
              <m:t>g</m:t>
            </m:r>
          </m:e>
          <m:sub>
            <m:r>
              <m:t>b</m:t>
            </m:r>
          </m:sub>
        </m:sSub>
        <m:r>
          <m:rPr>
            <m:sty m:val="p"/>
          </m:rPr>
          <m:t>&lt;</m:t>
        </m:r>
        <m:r>
          <m:t>1</m:t>
        </m:r>
      </m:oMath>
      <w:r>
        <w:t xml:space="preserve">, not a substitute for it. The caps remain</w:t>
      </w:r>
      <w:r>
        <w:t xml:space="preserve"> </w:t>
      </w:r>
      <w:r>
        <w:t xml:space="preserve">essential in the converse direction: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w:t>
      </w:r>
      <w:r>
        <w:t xml:space="preserve"> </w:t>
      </w:r>
      <w:r>
        <w:t xml:space="preserve">Blackwell</w:t>
      </w:r>
      <w:r>
        <w:t xml:space="preserve"> </w:t>
      </w:r>
      <w:r>
        <w:rPr>
          <w:i/>
          <w:iCs/>
        </w:rPr>
        <w:t xml:space="preserve">equivalence</w:t>
      </w:r>
      <w:r>
        <w:t xml:space="preserve">, since a fixed rule keyed to one signal’s surface form can</w:t>
      </w:r>
      <w:r>
        <w:t xml:space="preserve"> </w:t>
      </w:r>
      <w:r>
        <w:t xml:space="preserve">under-perform on the other, exactly the non-coherence phenomenon Theorem 3</w:t>
      </w:r>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0"/>
    <w:bookmarkStart w:id="131"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31"/>
    <w:bookmarkStart w:id="132"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32"/>
    <w:bookmarkStart w:id="133"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3"/>
    <w:bookmarkStart w:id="134"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4"/>
    <w:bookmarkStart w:id="135"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5"/>
    <w:bookmarkStart w:id="136"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6"/>
    <w:bookmarkStart w:id="138" w:name="relation-to-llm-evaluation-statistics"/>
    <w:p>
      <w:pPr>
        <w:pStyle w:val="Heading2"/>
      </w:pPr>
      <w:r>
        <w:t xml:space="preserve">Relation to LLM-evaluation statistics</w:t>
      </w:r>
    </w:p>
    <w:bookmarkStart w:id="137" w:name="rem:evalstats"/>
    <w:p>
      <w:pPr>
        <w:pStyle w:val="FirstParagraph"/>
      </w:pPr>
      <w:r>
        <w:rPr>
          <w:i/>
          <w:iCs/>
        </w:rPr>
        <w:t xml:space="preserve">Remark 9</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7"/>
    <w:bookmarkEnd w:id="138"/>
    <w:bookmarkStart w:id="139"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39"/>
    <w:bookmarkEnd w:id="140"/>
    <w:bookmarkStart w:id="146" w:name="app:record"/>
    <w:p>
      <w:pPr>
        <w:pStyle w:val="Heading1"/>
      </w:pPr>
      <w:r>
        <w:t xml:space="preserve">Extended experimental record</w:t>
      </w:r>
    </w:p>
    <w:bookmarkStart w:id="145"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1"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0.33</m:t>
        </m:r>
      </m:oMath>
      <w:r>
        <w:t xml:space="preserve">, which</w:t>
      </w:r>
      <w:r>
        <w:t xml:space="preserve"> </w:t>
      </w:r>
      <w:r>
        <w:t xml:space="preserve">clears the margin</w:t>
      </w:r>
      <w:r>
        <w:t xml:space="preserve"> </w:t>
      </w:r>
      <m:oMath>
        <m:r>
          <m:t>τ</m:t>
        </m:r>
        <m:r>
          <m:rPr>
            <m:sty m:val="p"/>
          </m:rPr>
          <m:t>=</m:t>
        </m:r>
        <m:r>
          <m:t>0.30</m:t>
        </m:r>
      </m:oMath>
      <w:r>
        <w:t xml:space="preserve"> </w:t>
      </w:r>
      <w:r>
        <w:t xml:space="preserve">fixed for the whole programme. The binding constraint is the</w:t>
      </w:r>
      <w:r>
        <w:t xml:space="preserve"> </w:t>
      </w:r>
      <m:oMath>
        <m:sSub>
          <m:e>
            <m:r>
              <m:t>V</m:t>
            </m:r>
          </m:e>
          <m:sub>
            <m:r>
              <m:t>1</m:t>
            </m:r>
          </m:sub>
        </m:sSub>
      </m:oMath>
      <w:r>
        <w:t xml:space="preserve"> </w:t>
      </w:r>
      <w:r>
        <w:t xml:space="preserve">ceiling itself</w:t>
      </w:r>
      <w:r>
        <w:t xml:space="preserve"> </w:t>
      </w:r>
      <w:r>
        <w:t xml:space="preserve">(</w:t>
      </w:r>
      <m:oMath>
        <m:r>
          <m:t>80</m:t>
        </m:r>
        <m:r>
          <m:rPr>
            <m:sty m:val="p"/>
          </m:rPr>
          <m:t>%</m:t>
        </m:r>
      </m:oMath>
      <w:r>
        <w:t xml:space="preserve">, versus pair-1’s</w:t>
      </w:r>
      <w:r>
        <w:t xml:space="preserve"> </w:t>
      </w:r>
      <m:oMath>
        <m:r>
          <m:rPr>
            <m:sty m:val="p"/>
          </m:rPr>
          <m:t>∼</m:t>
        </m:r>
        <m:r>
          <m:t>100</m:t>
        </m:r>
        <m:r>
          <m:rPr>
            <m:sty m:val="p"/>
          </m:rPr>
          <m:t>%</m:t>
        </m:r>
      </m:oMath>
      <w:r>
        <w:t xml:space="preserve">), so the margin is met with little to spare; at</w:t>
      </w:r>
      <w:r>
        <w:t xml:space="preserve"> </w:t>
      </w:r>
      <m:oMath>
        <m:r>
          <m:t>n</m:t>
        </m:r>
        <m:r>
          <m:rPr>
            <m:sty m:val="p"/>
          </m:rPr>
          <m:t>=</m:t>
        </m:r>
        <m:r>
          <m:t>40</m:t>
        </m:r>
      </m:oMath>
      <w:r>
        <w:t xml:space="preserve"> </w:t>
      </w:r>
      <w:r>
        <w:t xml:space="preserve">the</w:t>
      </w:r>
      <w:r>
        <w:t xml:space="preserve"> </w:t>
      </w:r>
      <w:r>
        <w:t xml:space="preserve">same collapse gives</w:t>
      </w:r>
      <w:r>
        <w:t xml:space="preserve"> </w:t>
      </w:r>
      <m:oMath>
        <m:r>
          <m:rPr>
            <m:sty m:val="p"/>
          </m:rPr>
          <m:t>−</m:t>
        </m:r>
        <m:r>
          <m:t>0.25</m:t>
        </m:r>
      </m:oMath>
      <w:r>
        <w:t xml:space="preserve"> </w:t>
      </w:r>
      <w:r>
        <w:t xml:space="preserve">and does not clear, which is why the cell was re-run at</w:t>
      </w:r>
      <w:r>
        <w:t xml:space="preserve"> </w:t>
      </w:r>
      <m:oMath>
        <m:r>
          <m:t>n</m:t>
        </m:r>
        <m:r>
          <m:rPr>
            <m:sty m:val="p"/>
          </m:rPr>
          <m:t>=</m:t>
        </m:r>
        <m:r>
          <m:t>80</m:t>
        </m:r>
      </m:oMath>
      <w:r>
        <w:t xml:space="preserve">. The</w:t>
      </w:r>
      <w:r>
        <w:t xml:space="preserve"> </w:t>
      </w:r>
      <m:oMath>
        <m:r>
          <m:t>n</m:t>
        </m:r>
        <m:r>
          <m:rPr>
            <m:sty m:val="p"/>
          </m:rPr>
          <m:t>=</m:t>
        </m:r>
        <m:r>
          <m:t>80</m:t>
        </m:r>
      </m:oMath>
      <w:r>
        <w:t xml:space="preserve"> </w:t>
      </w:r>
      <w:r>
        <w:t xml:space="preserve">re-run covers the</w:t>
      </w:r>
      <w:r>
        <w:t xml:space="preserve"> </w:t>
      </w:r>
      <w:r>
        <w:rPr>
          <w:rStyle w:val="VerbatimChar"/>
        </w:rPr>
        <w:t xml:space="preserve">cache_put_ok</w:t>
      </w:r>
      <w:r>
        <w:t xml:space="preserve"> </w:t>
      </w:r>
      <w:r>
        <w:t xml:space="preserve">cell alone, so its dominance control</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is a statement about that cell rather than about</w:t>
      </w:r>
      <w:r>
        <w:t xml:space="preserve"> </w:t>
      </w:r>
      <w:r>
        <w:t xml:space="preserve">the three-cell battery; the battery-wide control remains the</w:t>
      </w:r>
      <w:r>
        <w:t xml:space="preserve"> </w:t>
      </w:r>
      <m:oMath>
        <m:r>
          <m:t>n</m:t>
        </m:r>
        <m:r>
          <m:rPr>
            <m:sty m:val="p"/>
          </m:rPr>
          <m:t>=</m:t>
        </m:r>
        <m:r>
          <m:t>40</m:t>
        </m:r>
      </m:oMath>
      <w:r>
        <w:t xml:space="preserve"> </w:t>
      </w:r>
      <w:r>
        <w:t xml:space="preserve">one.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1"/>
    <w:bookmarkStart w:id="142"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0.67</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2"/>
    <w:bookmarkStart w:id="143"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on the carrying cell the instructed superset still sits below</w:t>
      </w:r>
      <w:r>
        <w:t xml:space="preserve"> </w:t>
      </w:r>
      <m:oMath>
        <m:sSub>
          <m:e>
            <m:r>
              <m:t>W</m:t>
            </m:r>
          </m:e>
          <m:sub>
            <m:r>
              <m:t>1</m:t>
            </m:r>
          </m:sub>
        </m:sSub>
      </m:oMath>
      <w:r>
        <w:t xml:space="preserve"> </w:t>
      </w:r>
      <w:r>
        <w:t xml:space="preserve">alone (</w:t>
      </w:r>
      <m:oMath>
        <m:r>
          <m:t>80</m:t>
        </m:r>
        <m:r>
          <m:rPr>
            <m:sty m:val="p"/>
          </m:rPr>
          <m:t>%</m:t>
        </m:r>
      </m:oMath>
      <w:r>
        <w:t xml:space="preserve"> </w:t>
      </w:r>
      <w:r>
        <w:t xml:space="preserve">vs. </w:t>
      </w:r>
      <m:oMath>
        <m:r>
          <m:t>100</m:t>
        </m:r>
        <m:r>
          <m:rPr>
            <m:sty m:val="p"/>
          </m:rPr>
          <m:t>%</m:t>
        </m:r>
      </m:oMath>
      <w:r>
        <w:t xml:space="preserve">). That residual gap is verified negative by the same two-arm contrast</w:t>
      </w:r>
      <w:r>
        <w:t xml:space="preserve"> </w:t>
      </w:r>
      <w:r>
        <w:t xml:space="preserve">used throughout,</w:t>
      </w:r>
      <w:r>
        <w:t xml:space="preserve"> </w:t>
      </w:r>
      <m:oMath>
        <m:sSub>
          <m:e>
            <m:r>
              <m:rPr>
                <m:sty m:val="p"/>
              </m:rPr>
              <m:t>Δ</m:t>
            </m:r>
          </m:e>
          <m:sub>
            <m:r>
              <m:t>T</m:t>
            </m:r>
          </m:sub>
        </m:sSub>
        <m:r>
          <m:rPr>
            <m:sty m:val="p"/>
          </m:rPr>
          <m:t>=</m:t>
        </m:r>
        <m:r>
          <m:rPr>
            <m:sty m:val="p"/>
          </m:rPr>
          <m:t>−</m:t>
        </m:r>
        <m:r>
          <m:t>0.20</m:t>
        </m:r>
      </m:oMath>
      <w:r>
        <w:t xml:space="preserve"> </w:t>
      </w:r>
      <w:r>
        <w:t xml:space="preserve">with upper bound</w:t>
      </w:r>
      <w:r>
        <w:t xml:space="preserve"> </w:t>
      </w:r>
      <m:oMath>
        <m:r>
          <m:rPr>
            <m:sty m:val="p"/>
          </m:rPr>
          <m:t>−</m:t>
        </m:r>
        <m:r>
          <m:t>0.03</m:t>
        </m:r>
      </m:oMath>
      <w:r>
        <w:t xml:space="preserve">, but it falls far short of the harm</w:t>
      </w:r>
      <w:r>
        <w:t xml:space="preserve"> </w:t>
      </w:r>
      <w:r>
        <w:t xml:space="preserve">margin</w:t>
      </w:r>
      <w:r>
        <w:t xml:space="preserve"> </w:t>
      </w:r>
      <m:oMath>
        <m:r>
          <m:t>τ</m:t>
        </m:r>
        <m:r>
          <m:rPr>
            <m:sty m:val="p"/>
          </m:rPr>
          <m:t>=</m:t>
        </m:r>
        <m:r>
          <m:t>0.30</m:t>
        </m:r>
      </m:oMath>
      <w:r>
        <w:t xml:space="preserve">: the instruction removes the collapse without closing the gap.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3"/>
    <w:bookmarkStart w:id="144" w:name="Xbb3bf0e6ff780408889ccfec61f731a5b2072ac"/>
    <w:p>
      <w:pPr>
        <w:pStyle w:val="Heading4"/>
      </w:pPr>
      <w:r>
        <w:t xml:space="preserve">A structured-context ablation: labeled XML segmentation mitigates only weakly.</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45</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w:t>
      </w:r>
      <w:r>
        <w:t xml:space="preserve"> </w:t>
      </w:r>
      <w:r>
        <w:t xml:space="preserve">dominated signal, is consistent with the operative variable being convention-to-task routing</w:t>
      </w:r>
      <w:r>
        <w:t xml:space="preserve"> </w:t>
      </w:r>
      <w:r>
        <w:t xml:space="preserve">rather than segmentation alone; as in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t>
      </w:r>
      <w:r>
        <w:t xml:space="preserve">with the structure arm scored in a separate run.</w:t>
      </w:r>
    </w:p>
    <w:bookmarkEnd w:id="144"/>
    <w:bookmarkEnd w:id="145"/>
    <w:bookmarkEnd w:id="146"/>
    <w:bookmarkStart w:id="286"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3">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7"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7"/>
    <w:bookmarkStart w:id="148"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behind the six-model tables. Two reported runs sit</w:t>
      </w:r>
      <w:r>
        <w:t xml:space="preserve"> </w:t>
      </w:r>
      <w:r>
        <w:t xml:space="preserve">outside it, both on the agentic Claude CLI path (up to six turns per attempt) rather than the</w:t>
      </w:r>
      <w:r>
        <w:t xml:space="preserve"> </w:t>
      </w:r>
      <w:r>
        <w:t xml:space="preserve">single-shot one, and both identifiable from their run logs, which lack the</w:t>
      </w:r>
      <w:r>
        <w:t xml:space="preserve"> </w:t>
      </w:r>
      <w:r>
        <w:rPr>
          <w:rStyle w:val="VerbatimChar"/>
        </w:rPr>
        <w:t xml:space="preserve">[SINGLE-SHOT]</w:t>
      </w:r>
      <w:r>
        <w:t xml:space="preserve"> </w:t>
      </w:r>
      <w:r>
        <w:t xml:space="preserve">marker every single-shot run carries. The first is the order control of</w:t>
      </w:r>
      <w:r>
        <w:t xml:space="preserve"> </w:t>
      </w:r>
      <w:r>
        <w:t xml:space="preserve">§7.4.3, an earlier</w:t>
      </w:r>
      <w:r>
        <w:t xml:space="preserve"> </w:t>
      </w:r>
      <m:oMath>
        <m:r>
          <m:t>n</m:t>
        </m:r>
        <m:r>
          <m:rPr>
            <m:sty m:val="p"/>
          </m:rPr>
          <m:t>=</m:t>
        </m:r>
        <m:r>
          <m:t>80</m:t>
        </m:r>
      </m:oMath>
      <w:r>
        <w:t xml:space="preserve"> </w:t>
      </w:r>
      <w:r>
        <w:t xml:space="preserve">Haiku run, reported as an auxiliary control and</w:t>
      </w:r>
      <w:r>
        <w:t xml:space="preserve"> </w:t>
      </w:r>
      <w:r>
        <w:t xml:space="preserve">entering no table of the six-model record. The second is the entire second source pair</w:t>
      </w:r>
      <w:r>
        <w:t xml:space="preserve"> </w:t>
      </w:r>
      <w:r>
        <w:t xml:space="preserve">(§7.5), measured agentically at</w:t>
      </w:r>
      <w:r>
        <w:t xml:space="preserve"> </w:t>
      </w:r>
      <m:oMath>
        <m:r>
          <m:t>n</m:t>
        </m:r>
        <m:r>
          <m:rPr>
            <m:sty m:val="p"/>
          </m:rPr>
          <m:t>=</m:t>
        </m:r>
        <m:r>
          <m:t>40</m:t>
        </m:r>
      </m:oMath>
      <w:r>
        <w:t xml:space="preserve"> </w:t>
      </w:r>
      <w:r>
        <w:t xml:space="preserve">and</w:t>
      </w:r>
      <w:r>
        <w:t xml:space="preserve"> </w:t>
      </w:r>
      <m:oMath>
        <m:r>
          <m:t>n</m:t>
        </m:r>
        <m:r>
          <m:rPr>
            <m:sty m:val="p"/>
          </m:rPr>
          <m:t>=</m:t>
        </m:r>
        <m:r>
          <m:t>80</m:t>
        </m:r>
      </m:oMath>
      <w:r>
        <w:t xml:space="preserve">. Its role is generality, so</w:t>
      </w:r>
      <w:r>
        <w:t xml:space="preserve"> </w:t>
      </w:r>
      <w:r>
        <w:t xml:space="preserve">the regime difference is worth stating plainly: what that pair shows is that incomparability and</w:t>
      </w:r>
      <w:r>
        <w:t xml:space="preserve"> </w:t>
      </w:r>
      <w:r>
        <w:t xml:space="preserve">the superset collapse reappear in another domain</w:t>
      </w:r>
      <w:r>
        <w:t xml:space="preserve"> </w:t>
      </w:r>
      <w:r>
        <w:rPr>
          <w:i/>
          <w:iCs/>
        </w:rPr>
        <w:t xml:space="preserve">under the agentic harness</w:t>
      </w:r>
      <w:r>
        <w:t xml:space="preserve">, not that they</w:t>
      </w:r>
      <w:r>
        <w:t xml:space="preserve"> </w:t>
      </w:r>
      <w:r>
        <w:t xml:space="preserve">reappear under the single-shot one. The single-shot evidence for both phenomena is the six-model</w:t>
      </w:r>
      <w:r>
        <w:t xml:space="preserve"> </w:t>
      </w:r>
      <w:r>
        <w:t xml:space="preserve">record on the first pair.</w:t>
      </w:r>
    </w:p>
    <w:p>
      <w:pPr>
        <w:pStyle w:val="BodyText"/>
      </w:pPr>
      <w:r>
        <w:t xml:space="preserve">Four arm-only re-measurements were originally produced by ad-hoc scripts that were not kept, so</w:t>
      </w:r>
      <w:r>
        <w:t xml:space="preserve"> </w:t>
      </w:r>
      <w:r>
        <w:t xml:space="preserve">their regime could be asserted but not recovered from a run log. All four have since been</w:t>
      </w:r>
      <w:r>
        <w:t xml:space="preserve"> </w:t>
      </w:r>
      <w:r>
        <w:t xml:space="preserve">re-measured with</w:t>
      </w:r>
      <w:r>
        <w:t xml:space="preserve"> </w:t>
      </w:r>
      <w:r>
        <w:rPr>
          <w:rStyle w:val="VerbatimChar"/>
        </w:rPr>
        <w:t xml:space="preserve">harness/diag/rerun_arm.py</w:t>
      </w:r>
      <w:r>
        <w:t xml:space="preserve">, which calls the same</w:t>
      </w:r>
      <w:r>
        <w:t xml:space="preserve"> </w:t>
      </w:r>
      <w:r>
        <w:rPr>
          <w:rStyle w:val="VerbatimChar"/>
        </w:rPr>
        <w:t xml:space="preserve">run_one</w:t>
      </w:r>
      <w:r>
        <w:t xml:space="preserve"> </w:t>
      </w:r>
      <w:r>
        <w:t xml:space="preserve">the</w:t>
      </w:r>
      <w:r>
        <w:t xml:space="preserve"> </w:t>
      </w:r>
      <w:r>
        <w:t xml:space="preserve">six-model tables are built from and writes a log recording the regime. Three reproduced their</w:t>
      </w:r>
      <w:r>
        <w:t xml:space="preserve"> </w:t>
      </w:r>
      <w:r>
        <w:t xml:space="preserve">published values closely: the Opus</w:t>
      </w:r>
      <w:r>
        <w:t xml:space="preserve"> </w:t>
      </w:r>
      <m:oMath>
        <m:sSub>
          <m:e>
            <m:r>
              <m:t>W</m:t>
            </m:r>
          </m:e>
          <m:sub>
            <m:r>
              <m:t>2</m:t>
            </m:r>
          </m:sub>
        </m:sSub>
      </m:oMath>
      <w:r>
        <w:t xml:space="preserve">/</w:t>
      </w:r>
      <w:r>
        <w:rPr>
          <w:rStyle w:val="VerbatimChar"/>
        </w:rPr>
        <w:t xml:space="preserve">trap_store_wire</w:t>
      </w:r>
      <w:r>
        <w:t xml:space="preserve"> </w:t>
      </w:r>
      <w:r>
        <w:t xml:space="preserve">and Haiku</w:t>
      </w:r>
      <w:r>
        <w:t xml:space="preserve"> </w:t>
      </w:r>
      <m:oMath>
        <m:sSub>
          <m:e>
            <m:r>
              <m:t>W</m:t>
            </m:r>
          </m:e>
          <m:sub>
            <m:r>
              <m:t>1</m:t>
            </m:r>
          </m:sub>
        </m:sSub>
      </m:oMath>
      <w:r>
        <w:t xml:space="preserve">/</w:t>
      </w:r>
      <w:r>
        <w:rPr>
          <w:rStyle w:val="VerbatimChar"/>
        </w:rPr>
        <w:t xml:space="preserve">enc_amount</w:t>
      </w:r>
      <w:r>
        <w:t xml:space="preserve"> </w:t>
      </w:r>
      <w:r>
        <w:t xml:space="preserve">cells returned</w:t>
      </w:r>
      <w:r>
        <w:t xml:space="preserve"> </w:t>
      </w:r>
      <m:oMath>
        <m:r>
          <m:t>0</m:t>
        </m:r>
        <m:r>
          <m:rPr>
            <m:sty m:val="p"/>
          </m:rPr>
          <m:t>/</m:t>
        </m:r>
        <m:r>
          <m:t>40</m:t>
        </m:r>
      </m:oMath>
      <w:r>
        <w:t xml:space="preserve"> </w:t>
      </w:r>
      <w:r>
        <w:t xml:space="preserve">exactly as before, and the structured-context arm</w:t>
      </w:r>
      <w:r>
        <w:t xml:space="preserve"> </w:t>
      </w:r>
      <w:r>
        <w:t xml:space="preserve">moved by one draw on one cell. The Opus</w:t>
      </w:r>
      <w:r>
        <w:t xml:space="preserve"> </w:t>
      </w:r>
      <m:oMath>
        <m:sSub>
          <m:e>
            <m:r>
              <m:t>W</m:t>
            </m:r>
          </m:e>
          <m:sub>
            <m:r>
              <m:t>1</m:t>
            </m:r>
            <m:r>
              <m:rPr>
                <m:sty m:val="p"/>
              </m:rPr>
              <m:t>+</m:t>
            </m:r>
          </m:sub>
        </m:sSub>
      </m:oMath>
      <w:r>
        <w:t xml:space="preserve"> </w:t>
      </w:r>
      <w:r>
        <w:t xml:space="preserve">arm moved further, and deeper:</w:t>
      </w:r>
      <w:r>
        <w:t xml:space="preserve"> </w:t>
      </w:r>
      <m:oMath>
        <m:r>
          <m:t>38</m:t>
        </m:r>
        <m:r>
          <m:rPr>
            <m:sty m:val="p"/>
          </m:rPr>
          <m:t>%</m:t>
        </m:r>
        <m:r>
          <m:rPr>
            <m:sty m:val="p"/>
          </m:rPr>
          <m:t>→</m:t>
        </m:r>
        <m:r>
          <m:t>12</m:t>
        </m:r>
        <m:r>
          <m:rPr>
            <m:sty m:val="p"/>
          </m:rPr>
          <m:t>%</m:t>
        </m:r>
      </m:oMath>
      <w:r>
        <w:t xml:space="preserve"> </w:t>
      </w:r>
      <w:r>
        <w:t xml:space="preserve">on</w:t>
      </w:r>
      <w:r>
        <w:t xml:space="preserve"> </w:t>
      </w:r>
      <w:r>
        <w:rPr>
          <w:rStyle w:val="VerbatimChar"/>
        </w:rPr>
        <w:t xml:space="preserve">api_post_ok</w:t>
      </w:r>
      <w:r>
        <w:t xml:space="preserve"> </w:t>
      </w:r>
      <w:r>
        <w:t xml:space="preserve">and</w:t>
      </w:r>
      <w:r>
        <w:t xml:space="preserve"> </w:t>
      </w:r>
      <m:oMath>
        <m:r>
          <m:t>15</m:t>
        </m:r>
        <m:r>
          <m:rPr>
            <m:sty m:val="p"/>
          </m:rPr>
          <m:t>%</m:t>
        </m:r>
        <m:r>
          <m:rPr>
            <m:sty m:val="p"/>
          </m:rPr>
          <m:t>→</m:t>
        </m:r>
        <m:r>
          <m:t>5</m:t>
        </m:r>
        <m:r>
          <m:rPr>
            <m:sty m:val="p"/>
          </m:rPr>
          <m:t>%</m:t>
        </m:r>
      </m:oMath>
      <w:r>
        <w:t xml:space="preserve"> </w:t>
      </w:r>
      <w:r>
        <w:t xml:space="preserve">on</w:t>
      </w:r>
      <w:r>
        <w:t xml:space="preserve"> </w:t>
      </w:r>
      <w:r>
        <w:rPr>
          <w:rStyle w:val="VerbatimChar"/>
        </w:rPr>
        <w:t xml:space="preserve">api_argorder</w:t>
      </w:r>
      <w:r>
        <w:t xml:space="preserve">. This manuscript reports the</w:t>
      </w:r>
      <w:r>
        <w:t xml:space="preserve"> </w:t>
      </w:r>
      <w:r>
        <w:t xml:space="preserve">re-measurements throughout, so every cited run now has a log naming its regime;</w:t>
      </w:r>
      <w:r>
        <w:t xml:space="preserve"> </w:t>
      </w:r>
      <w:r>
        <w:rPr>
          <w:rStyle w:val="VerbatimChar"/>
        </w:rPr>
        <w:t xml:space="preserve">harness/diag/check_regimes.py</w:t>
      </w:r>
      <w:r>
        <w:t xml:space="preserve"> </w:t>
      </w:r>
      <w:r>
        <w:t xml:space="preserve">lists them with the evidence for each. The between-run</w:t>
      </w:r>
      <w:r>
        <w:t xml:space="preserve"> </w:t>
      </w:r>
      <w:r>
        <w:t xml:space="preserve">movement on the Opus arm is itself a data point for §8.4: repeated measurement</w:t>
      </w:r>
      <w:r>
        <w:t xml:space="preserve"> </w:t>
      </w:r>
      <w:r>
        <w:t xml:space="preserve">of the same cell months apart shifts by more than the nominal interval width.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 The GPT-5.5 rows of Table 6 come from that run.</w:t>
      </w:r>
    </w:p>
    <w:bookmarkEnd w:id="148"/>
    <w:bookmarkStart w:id="149"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3">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blackwell_opus_ss_W1plus_v2</w:t>
      </w:r>
      <w:r>
        <w:t xml:space="preserve"> </w:t>
      </w:r>
      <w:r>
        <w:t xml:space="preserve">and the clean single-cell re-measurements</w:t>
      </w:r>
      <w:r>
        <w:t xml:space="preserve"> </w:t>
      </w:r>
      <w:r>
        <w:rPr>
          <w:rStyle w:val="VerbatimChar"/>
        </w:rPr>
        <w:t xml:space="preserve">blackwell_opus_ss_W2_trap_v2</w:t>
      </w:r>
      <w:r>
        <w:t xml:space="preserve"> </w:t>
      </w:r>
      <w:r>
        <w:t xml:space="preserve">and</w:t>
      </w:r>
      <w:r>
        <w:t xml:space="preserve"> </w:t>
      </w:r>
      <w:r>
        <w:rPr>
          <w:rStyle w:val="VerbatimChar"/>
        </w:rPr>
        <w:t xml:space="preserve">blackwell_haiku_ss_W1_enc_v2</w:t>
      </w:r>
      <w:r>
        <w:t xml:space="preserve">, all produced by</w:t>
      </w:r>
      <w:r>
        <w:t xml:space="preserve"> </w:t>
      </w:r>
      <w:r>
        <w:rPr>
          <w:rStyle w:val="VerbatimChar"/>
        </w:rPr>
        <w:t xml:space="preserve">harness/diag/rerun_arm.py</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(character-matched padding,</w:t>
      </w:r>
      <w:r>
        <w:t xml:space="preserve"> </w:t>
      </w:r>
      <m:oMath>
        <m:r>
          <m:t>400</m:t>
        </m:r>
      </m:oMath>
      <w:r>
        <w:t xml:space="preserve"> </w:t>
      </w:r>
      <w:r>
        <w:t xml:space="preserve">calls),</w:t>
      </w:r>
      <w:r>
        <w:t xml:space="preserve"> </w:t>
      </w:r>
      <w:r>
        <w:rPr>
          <w:rStyle w:val="VerbatimChar"/>
        </w:rPr>
        <w:t xml:space="preserve">blackwell_order_ss_n40</w:t>
      </w:r>
      <w:r>
        <w:t xml:space="preserve"> </w:t>
      </w:r>
      <w:r>
        <w:t xml:space="preserve">(order control, reversed concatenation, single-shot,</w:t>
      </w:r>
      <w:r>
        <w:t xml:space="preserve"> </w:t>
      </w:r>
      <m:oMath>
        <m:r>
          <m:t>400</m:t>
        </m:r>
      </m:oMath>
      <w:r>
        <w:t xml:space="preserve"> </w:t>
      </w:r>
      <w:r>
        <w:t xml:space="preserve">calls),</w:t>
      </w:r>
      <w:r>
        <w:t xml:space="preserve"> </w:t>
      </w:r>
      <w:r>
        <w:rPr>
          <w:rStyle w:val="VerbatimChar"/>
        </w:rPr>
        <w:t xml:space="preserve">blackwell_pair2_n40</w:t>
      </w:r>
      <w:r>
        <w:t xml:space="preserve"> </w:t>
      </w:r>
      <w:r>
        <w:t xml:space="preserve">(second source pair; the reported</w:t>
      </w:r>
      <w:r>
        <w:t xml:space="preserve"> </w:t>
      </w:r>
      <m:oMath>
        <m:sSub>
          <m:e>
            <m:r>
              <m:t>L</m:t>
            </m:r>
          </m:e>
          <m:sub>
            <m:r>
              <m:rPr>
                <m:scr m:val="script"/>
                <m:sty m:val="p"/>
              </m:rPr>
              <m:t>D</m:t>
            </m:r>
          </m:sub>
        </m:sSub>
      </m:oMath>
      <w:r>
        <w:t xml:space="preserve">,</w:t>
      </w:r>
      <w:r>
        <w:t xml:space="preserve"> </w:t>
      </w:r>
      <m:oMath>
        <m:sSub>
          <m:e>
            <m:r>
              <m:t>U</m:t>
            </m:r>
          </m:e>
          <m:sub>
            <m:r>
              <m:rPr>
                <m:scr m:val="script"/>
                <m:sty m:val="p"/>
              </m:rPr>
              <m:t>D</m:t>
            </m:r>
          </m:sub>
        </m:sSub>
      </m:oMath>
      <w:r>
        <w:t xml:space="preserve"> </w:t>
      </w:r>
      <w:r>
        <w:t xml:space="preserve">and</w:t>
      </w:r>
      <w:r>
        <w:t xml:space="preserve"> </w:t>
      </w:r>
      <m:oMath>
        <m:sSub>
          <m:e>
            <m:r>
              <m:rPr>
                <m:sty m:val="p"/>
              </m:rPr>
              <m:t>Δ</m:t>
            </m:r>
          </m:e>
          <m:sub>
            <m:r>
              <m:t>T</m:t>
            </m:r>
          </m:sub>
        </m:sSub>
      </m:oMath>
      <w:r>
        <w:t xml:space="preserve"> </w:t>
      </w:r>
      <w:r>
        <w:t xml:space="preserve">all come from this file) and</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blackwell_xml_arm_v2</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49"/>
    <w:bookmarkStart w:id="285"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Start w:id="284" w:name="refs"/>
    <w:bookmarkStart w:id="151"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0">
        <w:r>
          <w:rPr>
            <w:rStyle w:val="Hyperlink"/>
          </w:rPr>
          <w:t xml:space="preserve">https://arxiv.org/abs/2512.23617</w:t>
        </w:r>
      </w:hyperlink>
      <w:r>
        <w:t xml:space="preserve">.</w:t>
      </w:r>
    </w:p>
    <w:bookmarkEnd w:id="151"/>
    <w:bookmarkStart w:id="153"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2">
        <w:r>
          <w:rPr>
            <w:rStyle w:val="Hyperlink"/>
          </w:rPr>
          <w:t xml:space="preserve">https://doi.org/10.5281/zenodo.20800175</w:t>
        </w:r>
      </w:hyperlink>
      <w:r>
        <w:t xml:space="preserve">.</w:t>
      </w:r>
    </w:p>
    <w:bookmarkEnd w:id="153"/>
    <w:bookmarkStart w:id="155"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4">
        <w:r>
          <w:rPr>
            <w:rStyle w:val="Hyperlink"/>
          </w:rPr>
          <w:t xml:space="preserve">https://doi.org/10.5281/zenodo.20800031</w:t>
        </w:r>
      </w:hyperlink>
      <w:r>
        <w:t xml:space="preserve">.</w:t>
      </w:r>
    </w:p>
    <w:bookmarkEnd w:id="155"/>
    <w:bookmarkStart w:id="157"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56">
        <w:r>
          <w:rPr>
            <w:rStyle w:val="Hyperlink"/>
          </w:rPr>
          <w:t xml:space="preserve">https://doi.org/10.5281/zenodo.20800209</w:t>
        </w:r>
      </w:hyperlink>
      <w:r>
        <w:t xml:space="preserve">.</w:t>
      </w:r>
    </w:p>
    <w:bookmarkEnd w:id="157"/>
    <w:bookmarkStart w:id="158"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58"/>
    <w:bookmarkStart w:id="160"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59">
        <w:r>
          <w:rPr>
            <w:rStyle w:val="Hyperlink"/>
          </w:rPr>
          <w:t xml:space="preserve">https://doi.org/10.1109/ISIT.2014.6875280</w:t>
        </w:r>
      </w:hyperlink>
      <w:r>
        <w:t xml:space="preserve">.</w:t>
      </w:r>
    </w:p>
    <w:bookmarkEnd w:id="160"/>
    <w:bookmarkStart w:id="162"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1">
        <w:r>
          <w:rPr>
            <w:rStyle w:val="Hyperlink"/>
          </w:rPr>
          <w:t xml:space="preserve">https://doi.org/10.1214/aoms/1177729032</w:t>
        </w:r>
      </w:hyperlink>
      <w:r>
        <w:t xml:space="preserve">.</w:t>
      </w:r>
    </w:p>
    <w:bookmarkEnd w:id="162"/>
    <w:bookmarkStart w:id="163"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3"/>
    <w:bookmarkStart w:id="165"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4">
        <w:r>
          <w:rPr>
            <w:rStyle w:val="Hyperlink"/>
          </w:rPr>
          <w:t xml:space="preserve">https://arxiv.org/abs/2503.01747</w:t>
        </w:r>
      </w:hyperlink>
      <w:r>
        <w:t xml:space="preserve">.</w:t>
      </w:r>
    </w:p>
    <w:bookmarkEnd w:id="165"/>
    <w:bookmarkStart w:id="167"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6">
        <w:r>
          <w:rPr>
            <w:rStyle w:val="Hyperlink"/>
          </w:rPr>
          <w:t xml:space="preserve">https://arxiv.org/abs/2411.01533</w:t>
        </w:r>
      </w:hyperlink>
      <w:r>
        <w:t xml:space="preserve">.</w:t>
      </w:r>
    </w:p>
    <w:bookmarkEnd w:id="167"/>
    <w:bookmarkStart w:id="169"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8">
        <w:r>
          <w:rPr>
            <w:rStyle w:val="Hyperlink"/>
          </w:rPr>
          <w:t xml:space="preserve">https://doi.org/10.1145/290941.291025</w:t>
        </w:r>
      </w:hyperlink>
      <w:r>
        <w:t xml:space="preserve">.</w:t>
      </w:r>
    </w:p>
    <w:bookmarkEnd w:id="169"/>
    <w:bookmarkStart w:id="171"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0">
        <w:r>
          <w:rPr>
            <w:rStyle w:val="Hyperlink"/>
          </w:rPr>
          <w:t xml:space="preserve">https://arxiv.org/abs/2511.17908</w:t>
        </w:r>
      </w:hyperlink>
      <w:r>
        <w:t xml:space="preserve">.</w:t>
      </w:r>
    </w:p>
    <w:bookmarkEnd w:id="171"/>
    <w:bookmarkStart w:id="173"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2">
        <w:r>
          <w:rPr>
            <w:rStyle w:val="Hyperlink"/>
          </w:rPr>
          <w:t xml:space="preserve">https://arxiv.org/abs/2507.03279</w:t>
        </w:r>
      </w:hyperlink>
      <w:r>
        <w:t xml:space="preserve">.</w:t>
      </w:r>
    </w:p>
    <w:bookmarkEnd w:id="173"/>
    <w:bookmarkStart w:id="175"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4">
        <w:r>
          <w:rPr>
            <w:rStyle w:val="Hyperlink"/>
          </w:rPr>
          <w:t xml:space="preserve">https://arxiv.org/abs/2601.16478</w:t>
        </w:r>
      </w:hyperlink>
      <w:r>
        <w:t xml:space="preserve">.</w:t>
      </w:r>
    </w:p>
    <w:bookmarkEnd w:id="175"/>
    <w:bookmarkStart w:id="177"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6">
        <w:r>
          <w:rPr>
            <w:rStyle w:val="Hyperlink"/>
          </w:rPr>
          <w:t xml:space="preserve">https://arxiv.org/abs/2508.21184</w:t>
        </w:r>
      </w:hyperlink>
      <w:r>
        <w:t xml:space="preserve">.</w:t>
      </w:r>
    </w:p>
    <w:bookmarkEnd w:id="177"/>
    <w:bookmarkStart w:id="179"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8">
        <w:r>
          <w:rPr>
            <w:rStyle w:val="Hyperlink"/>
          </w:rPr>
          <w:t xml:space="preserve">https://doi.org/10.1093/biomet/26.4.404</w:t>
        </w:r>
      </w:hyperlink>
      <w:r>
        <w:t xml:space="preserve">.</w:t>
      </w:r>
    </w:p>
    <w:bookmarkEnd w:id="179"/>
    <w:bookmarkStart w:id="181"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0">
        <w:r>
          <w:rPr>
            <w:rStyle w:val="Hyperlink"/>
          </w:rPr>
          <w:t xml:space="preserve">https://arxiv.org/abs/2401.14887</w:t>
        </w:r>
      </w:hyperlink>
      <w:r>
        <w:t xml:space="preserve">.</w:t>
      </w:r>
    </w:p>
    <w:bookmarkEnd w:id="181"/>
    <w:bookmarkStart w:id="183"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2">
        <w:r>
          <w:rPr>
            <w:rStyle w:val="Hyperlink"/>
          </w:rPr>
          <w:t xml:space="preserve">https://arxiv.org/abs/2503.01478</w:t>
        </w:r>
      </w:hyperlink>
      <w:r>
        <w:t xml:space="preserve">.</w:t>
      </w:r>
    </w:p>
    <w:bookmarkEnd w:id="183"/>
    <w:bookmarkStart w:id="185"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4">
        <w:r>
          <w:rPr>
            <w:rStyle w:val="Hyperlink"/>
          </w:rPr>
          <w:t xml:space="preserve">http://www.vldb.org/pvldb/vol6/p37-dong.pdf</w:t>
        </w:r>
      </w:hyperlink>
      <w:r>
        <w:t xml:space="preserve">.</w:t>
      </w:r>
    </w:p>
    <w:bookmarkEnd w:id="185"/>
    <w:bookmarkStart w:id="187"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6">
        <w:r>
          <w:rPr>
            <w:rStyle w:val="Hyperlink"/>
          </w:rPr>
          <w:t xml:space="preserve">https://arxiv.org/abs/2510.05381</w:t>
        </w:r>
      </w:hyperlink>
      <w:r>
        <w:t xml:space="preserve">.</w:t>
      </w:r>
    </w:p>
    <w:bookmarkEnd w:id="187"/>
    <w:bookmarkStart w:id="189"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8">
        <w:r>
          <w:rPr>
            <w:rStyle w:val="Hyperlink"/>
          </w:rPr>
          <w:t xml:space="preserve">https://doi.org/10.1214/aoms/1177728174</w:t>
        </w:r>
      </w:hyperlink>
      <w:r>
        <w:t xml:space="preserve">.</w:t>
      </w:r>
    </w:p>
    <w:bookmarkEnd w:id="189"/>
    <w:bookmarkStart w:id="190"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0"/>
    <w:bookmarkStart w:id="192"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1">
        <w:r>
          <w:rPr>
            <w:rStyle w:val="Hyperlink"/>
          </w:rPr>
          <w:t xml:space="preserve">https://arxiv.org/abs/2601.11273</w:t>
        </w:r>
      </w:hyperlink>
      <w:r>
        <w:t xml:space="preserve">.</w:t>
      </w:r>
    </w:p>
    <w:bookmarkEnd w:id="192"/>
    <w:bookmarkStart w:id="194"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3">
        <w:r>
          <w:rPr>
            <w:rStyle w:val="Hyperlink"/>
          </w:rPr>
          <w:t xml:space="preserve">https://arxiv.org/abs/2503.05491</w:t>
        </w:r>
      </w:hyperlink>
      <w:r>
        <w:t xml:space="preserve">.</w:t>
      </w:r>
    </w:p>
    <w:bookmarkEnd w:id="194"/>
    <w:bookmarkStart w:id="196"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5">
        <w:r>
          <w:rPr>
            <w:rStyle w:val="Hyperlink"/>
          </w:rPr>
          <w:t xml:space="preserve">https://arxiv.org/abs/2608.26762</w:t>
        </w:r>
      </w:hyperlink>
      <w:r>
        <w:t xml:space="preserve">.</w:t>
      </w:r>
    </w:p>
    <w:bookmarkEnd w:id="196"/>
    <w:bookmarkStart w:id="198"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7">
        <w:r>
          <w:rPr>
            <w:rStyle w:val="Hyperlink"/>
          </w:rPr>
          <w:t xml:space="preserve">https://doi.org/10.1007/s10791-008-9045-0</w:t>
        </w:r>
      </w:hyperlink>
      <w:r>
        <w:t xml:space="preserve">.</w:t>
      </w:r>
    </w:p>
    <w:bookmarkEnd w:id="198"/>
    <w:bookmarkStart w:id="200"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99">
        <w:r>
          <w:rPr>
            <w:rStyle w:val="Hyperlink"/>
          </w:rPr>
          <w:t xml:space="preserve">https://arxiv.org/abs/2410.20247</w:t>
        </w:r>
      </w:hyperlink>
      <w:r>
        <w:t xml:space="preserve">.</w:t>
      </w:r>
    </w:p>
    <w:bookmarkEnd w:id="200"/>
    <w:bookmarkStart w:id="202"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1">
        <w:r>
          <w:rPr>
            <w:rStyle w:val="Hyperlink"/>
          </w:rPr>
          <w:t xml:space="preserve">https://arxiv.org/abs/2606.20047</w:t>
        </w:r>
      </w:hyperlink>
      <w:r>
        <w:t xml:space="preserve">.</w:t>
      </w:r>
    </w:p>
    <w:bookmarkEnd w:id="202"/>
    <w:bookmarkStart w:id="204"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3">
        <w:r>
          <w:rPr>
            <w:rStyle w:val="Hyperlink"/>
          </w:rPr>
          <w:t xml:space="preserve">https://aclanthology.org/2026.findings-acl.583/</w:t>
        </w:r>
      </w:hyperlink>
      <w:r>
        <w:t xml:space="preserve">.</w:t>
      </w:r>
    </w:p>
    <w:bookmarkEnd w:id="204"/>
    <w:bookmarkStart w:id="206"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5">
        <w:r>
          <w:rPr>
            <w:rStyle w:val="Hyperlink"/>
          </w:rPr>
          <w:t xml:space="preserve">https://arxiv.org/abs/2412.17031</w:t>
        </w:r>
      </w:hyperlink>
      <w:r>
        <w:t xml:space="preserve">.</w:t>
      </w:r>
    </w:p>
    <w:bookmarkEnd w:id="206"/>
    <w:bookmarkStart w:id="208"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07">
        <w:r>
          <w:rPr>
            <w:rStyle w:val="Hyperlink"/>
          </w:rPr>
          <w:t xml:space="preserve">https://aclanthology.org/2025.fever-1.2/</w:t>
        </w:r>
      </w:hyperlink>
      <w:r>
        <w:t xml:space="preserve">.</w:t>
      </w:r>
    </w:p>
    <w:bookmarkEnd w:id="208"/>
    <w:bookmarkStart w:id="210"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09">
        <w:r>
          <w:rPr>
            <w:rStyle w:val="Hyperlink"/>
          </w:rPr>
          <w:t xml:space="preserve">https://arxiv.org/abs/2304.04576</w:t>
        </w:r>
      </w:hyperlink>
      <w:r>
        <w:t xml:space="preserve">.</w:t>
      </w:r>
    </w:p>
    <w:bookmarkEnd w:id="210"/>
    <w:bookmarkStart w:id="212"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1">
        <w:r>
          <w:rPr>
            <w:rStyle w:val="Hyperlink"/>
          </w:rPr>
          <w:t xml:space="preserve">https://www.trychroma.com/research/context-rot</w:t>
        </w:r>
      </w:hyperlink>
      <w:r>
        <w:t xml:space="preserve">.</w:t>
      </w:r>
    </w:p>
    <w:bookmarkEnd w:id="212"/>
    <w:bookmarkStart w:id="214"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3">
        <w:r>
          <w:rPr>
            <w:rStyle w:val="Hyperlink"/>
          </w:rPr>
          <w:t xml:space="preserve">https://arxiv.org/abs/2510.00079</w:t>
        </w:r>
      </w:hyperlink>
      <w:r>
        <w:t xml:space="preserve">.</w:t>
      </w:r>
    </w:p>
    <w:bookmarkEnd w:id="214"/>
    <w:bookmarkStart w:id="216"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5">
        <w:r>
          <w:rPr>
            <w:rStyle w:val="Hyperlink"/>
          </w:rPr>
          <w:t xml:space="preserve">https://arxiv.org/abs/2512.06464</w:t>
        </w:r>
      </w:hyperlink>
      <w:r>
        <w:t xml:space="preserve">.</w:t>
      </w:r>
    </w:p>
    <w:bookmarkEnd w:id="216"/>
    <w:bookmarkStart w:id="218"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7">
        <w:r>
          <w:rPr>
            <w:rStyle w:val="Hyperlink"/>
          </w:rPr>
          <w:t xml:space="preserve">https://arxiv.org/abs/2601.05027</w:t>
        </w:r>
      </w:hyperlink>
      <w:r>
        <w:t xml:space="preserve">.</w:t>
      </w:r>
    </w:p>
    <w:bookmarkEnd w:id="218"/>
    <w:bookmarkStart w:id="220"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19">
        <w:r>
          <w:rPr>
            <w:rStyle w:val="Hyperlink"/>
          </w:rPr>
          <w:t xml:space="preserve">https://arxiv.org/abs/2410.05983</w:t>
        </w:r>
      </w:hyperlink>
      <w:r>
        <w:t xml:space="preserve">.</w:t>
      </w:r>
    </w:p>
    <w:bookmarkEnd w:id="220"/>
    <w:bookmarkStart w:id="222"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1">
        <w:r>
          <w:rPr>
            <w:rStyle w:val="Hyperlink"/>
          </w:rPr>
          <w:t xml:space="preserve">https://arxiv.org/abs/2411.06037</w:t>
        </w:r>
      </w:hyperlink>
      <w:r>
        <w:t xml:space="preserve">.</w:t>
      </w:r>
    </w:p>
    <w:bookmarkEnd w:id="222"/>
    <w:bookmarkStart w:id="224"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23">
        <w:r>
          <w:rPr>
            <w:rStyle w:val="Hyperlink"/>
          </w:rPr>
          <w:t xml:space="preserve">https://doi.org/10.1016/j.econlet.2024.112146</w:t>
        </w:r>
      </w:hyperlink>
      <w:r>
        <w:t xml:space="preserve">.</w:t>
      </w:r>
    </w:p>
    <w:bookmarkEnd w:id="224"/>
    <w:bookmarkStart w:id="226"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5">
        <w:r>
          <w:rPr>
            <w:rStyle w:val="Hyperlink"/>
          </w:rPr>
          <w:t xml:space="preserve">https://doi.org/10.1214/aoms/1177700372</w:t>
        </w:r>
      </w:hyperlink>
      <w:r>
        <w:t xml:space="preserve">.</w:t>
      </w:r>
    </w:p>
    <w:bookmarkEnd w:id="226"/>
    <w:bookmarkStart w:id="228"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27">
        <w:r>
          <w:rPr>
            <w:rStyle w:val="Hyperlink"/>
          </w:rPr>
          <w:t xml:space="preserve">https://doi.org/10.1007/978-1-4612-4946-7</w:t>
        </w:r>
      </w:hyperlink>
      <w:r>
        <w:t xml:space="preserve">.</w:t>
      </w:r>
    </w:p>
    <w:bookmarkEnd w:id="228"/>
    <w:bookmarkStart w:id="230"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29">
        <w:r>
          <w:rPr>
            <w:rStyle w:val="Hyperlink"/>
          </w:rPr>
          <w:t xml:space="preserve">https://arxiv.org/abs/2504.07104</w:t>
        </w:r>
      </w:hyperlink>
      <w:r>
        <w:t xml:space="preserve">.</w:t>
      </w:r>
    </w:p>
    <w:bookmarkEnd w:id="230"/>
    <w:bookmarkStart w:id="232"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1">
        <w:r>
          <w:rPr>
            <w:rStyle w:val="Hyperlink"/>
          </w:rPr>
          <w:t xml:space="preserve">https://arxiv.org/abs/2503.04388</w:t>
        </w:r>
      </w:hyperlink>
      <w:r>
        <w:t xml:space="preserve">.</w:t>
      </w:r>
    </w:p>
    <w:bookmarkEnd w:id="232"/>
    <w:bookmarkStart w:id="234"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3">
        <w:r>
          <w:rPr>
            <w:rStyle w:val="Hyperlink"/>
          </w:rPr>
          <w:t xml:space="preserve">https://arxiv.org/abs/2605.05716</w:t>
        </w:r>
      </w:hyperlink>
      <w:r>
        <w:t xml:space="preserve">.</w:t>
      </w:r>
    </w:p>
    <w:bookmarkEnd w:id="234"/>
    <w:bookmarkStart w:id="236"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5">
        <w:r>
          <w:rPr>
            <w:rStyle w:val="Hyperlink"/>
          </w:rPr>
          <w:t xml:space="preserve">https://arxiv.org/abs/2307.03172</w:t>
        </w:r>
      </w:hyperlink>
      <w:r>
        <w:t xml:space="preserve">.</w:t>
      </w:r>
    </w:p>
    <w:bookmarkEnd w:id="236"/>
    <w:bookmarkStart w:id="238"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37">
        <w:r>
          <w:rPr>
            <w:rStyle w:val="Hyperlink"/>
          </w:rPr>
          <w:t xml:space="preserve">https://arxiv.org/abs/2411.00640</w:t>
        </w:r>
      </w:hyperlink>
      <w:r>
        <w:t xml:space="preserve">.</w:t>
      </w:r>
    </w:p>
    <w:bookmarkEnd w:id="238"/>
    <w:bookmarkStart w:id="240"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39">
        <w:r>
          <w:rPr>
            <w:rStyle w:val="Hyperlink"/>
          </w:rPr>
          <w:t xml:space="preserve">https://doi.org/10.1007/978-3-032-19099-4_23</w:t>
        </w:r>
      </w:hyperlink>
      <w:r>
        <w:t xml:space="preserve">.</w:t>
      </w:r>
    </w:p>
    <w:bookmarkEnd w:id="240"/>
    <w:bookmarkStart w:id="242"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1">
        <w:r>
          <w:rPr>
            <w:rStyle w:val="Hyperlink"/>
          </w:rPr>
          <w:t xml:space="preserve">https://arxiv.org/abs/2604.06621</w:t>
        </w:r>
      </w:hyperlink>
      <w:r>
        <w:t xml:space="preserve">.</w:t>
      </w:r>
    </w:p>
    <w:bookmarkEnd w:id="242"/>
    <w:bookmarkStart w:id="244"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3">
        <w:r>
          <w:rPr>
            <w:rStyle w:val="Hyperlink"/>
          </w:rPr>
          <w:t xml:space="preserve">https://arxiv.org/abs/2605.03534</w:t>
        </w:r>
      </w:hyperlink>
      <w:r>
        <w:t xml:space="preserve">.</w:t>
      </w:r>
    </w:p>
    <w:bookmarkEnd w:id="244"/>
    <w:bookmarkStart w:id="246"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5">
        <w:r>
          <w:rPr>
            <w:rStyle w:val="Hyperlink"/>
          </w:rPr>
          <w:t xml:space="preserve">https://doi.org/10.1108/eb026647</w:t>
        </w:r>
      </w:hyperlink>
      <w:r>
        <w:t xml:space="preserve">.</w:t>
      </w:r>
    </w:p>
    <w:bookmarkEnd w:id="246"/>
    <w:bookmarkStart w:id="248"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47">
        <w:r>
          <w:rPr>
            <w:rStyle w:val="Hyperlink"/>
          </w:rPr>
          <w:t xml:space="preserve">https://arxiv.org/abs/1402.4884</w:t>
        </w:r>
      </w:hyperlink>
      <w:r>
        <w:t xml:space="preserve">.</w:t>
      </w:r>
    </w:p>
    <w:bookmarkEnd w:id="248"/>
    <w:bookmarkStart w:id="250"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49">
        <w:r>
          <w:rPr>
            <w:rStyle w:val="Hyperlink"/>
          </w:rPr>
          <w:t xml:space="preserve">https://arxiv.org/abs/2302.00093</w:t>
        </w:r>
      </w:hyperlink>
      <w:r>
        <w:t xml:space="preserve">.</w:t>
      </w:r>
    </w:p>
    <w:bookmarkEnd w:id="250"/>
    <w:bookmarkStart w:id="252"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1">
        <w:r>
          <w:rPr>
            <w:rStyle w:val="Hyperlink"/>
          </w:rPr>
          <w:t xml:space="preserve">https://arxiv.org/abs/2304.09542</w:t>
        </w:r>
      </w:hyperlink>
      <w:r>
        <w:t xml:space="preserve">.</w:t>
      </w:r>
    </w:p>
    <w:bookmarkEnd w:id="252"/>
    <w:bookmarkStart w:id="254"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3">
        <w:r>
          <w:rPr>
            <w:rStyle w:val="Hyperlink"/>
          </w:rPr>
          <w:t xml:space="preserve">https://doi.org/10.1017/CBO9780511666353</w:t>
        </w:r>
      </w:hyperlink>
      <w:r>
        <w:t xml:space="preserve">.</w:t>
      </w:r>
    </w:p>
    <w:bookmarkEnd w:id="254"/>
    <w:bookmarkStart w:id="256"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5">
        <w:r>
          <w:rPr>
            <w:rStyle w:val="Hyperlink"/>
          </w:rPr>
          <w:t xml:space="preserve">https://arxiv.org/abs/2402.11750</w:t>
        </w:r>
      </w:hyperlink>
      <w:r>
        <w:t xml:space="preserve">.</w:t>
      </w:r>
    </w:p>
    <w:bookmarkEnd w:id="256"/>
    <w:bookmarkStart w:id="258"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57">
        <w:r>
          <w:rPr>
            <w:rStyle w:val="Hyperlink"/>
          </w:rPr>
          <w:t xml:space="preserve">https://arxiv.org/abs/2602.08294</w:t>
        </w:r>
      </w:hyperlink>
      <w:r>
        <w:t xml:space="preserve">.</w:t>
      </w:r>
    </w:p>
    <w:bookmarkEnd w:id="258"/>
    <w:bookmarkStart w:id="260"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59">
        <w:r>
          <w:rPr>
            <w:rStyle w:val="Hyperlink"/>
          </w:rPr>
          <w:t xml:space="preserve">https://doi.org/10.1145/1571941.1571963</w:t>
        </w:r>
      </w:hyperlink>
      <w:r>
        <w:t xml:space="preserve">.</w:t>
      </w:r>
    </w:p>
    <w:bookmarkEnd w:id="260"/>
    <w:bookmarkStart w:id="262"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1">
        <w:r>
          <w:rPr>
            <w:rStyle w:val="Hyperlink"/>
          </w:rPr>
          <w:t xml:space="preserve">https://arxiv.org/abs/2410.07523</w:t>
        </w:r>
      </w:hyperlink>
      <w:r>
        <w:t xml:space="preserve">.</w:t>
      </w:r>
    </w:p>
    <w:bookmarkEnd w:id="262"/>
    <w:bookmarkStart w:id="264"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3">
        <w:r>
          <w:rPr>
            <w:rStyle w:val="Hyperlink"/>
          </w:rPr>
          <w:t xml:space="preserve">https://arxiv.org/abs/2403.08319</w:t>
        </w:r>
      </w:hyperlink>
      <w:r>
        <w:t xml:space="preserve">.</w:t>
      </w:r>
    </w:p>
    <w:bookmarkEnd w:id="264"/>
    <w:bookmarkStart w:id="266"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5">
        <w:r>
          <w:rPr>
            <w:rStyle w:val="Hyperlink"/>
          </w:rPr>
          <w:t xml:space="preserve">https://arxiv.org/abs/2302.05698</w:t>
        </w:r>
      </w:hyperlink>
      <w:r>
        <w:t xml:space="preserve">.</w:t>
      </w:r>
    </w:p>
    <w:bookmarkEnd w:id="266"/>
    <w:bookmarkStart w:id="268"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67">
        <w:r>
          <w:rPr>
            <w:rStyle w:val="Hyperlink"/>
          </w:rPr>
          <w:t xml:space="preserve">https://arxiv.org/abs/2407.02485</w:t>
        </w:r>
      </w:hyperlink>
      <w:r>
        <w:t xml:space="preserve">.</w:t>
      </w:r>
    </w:p>
    <w:bookmarkEnd w:id="268"/>
    <w:bookmarkStart w:id="270"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69">
        <w:r>
          <w:rPr>
            <w:rStyle w:val="Hyperlink"/>
          </w:rPr>
          <w:t xml:space="preserve">https://arxiv.org/abs/2504.15630</w:t>
        </w:r>
      </w:hyperlink>
      <w:r>
        <w:t xml:space="preserve">.</w:t>
      </w:r>
    </w:p>
    <w:bookmarkEnd w:id="270"/>
    <w:bookmarkStart w:id="272"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1">
        <w:r>
          <w:rPr>
            <w:rStyle w:val="Hyperlink"/>
          </w:rPr>
          <w:t xml:space="preserve">https://arxiv.org/abs/2510.11358</w:t>
        </w:r>
      </w:hyperlink>
      <w:r>
        <w:t xml:space="preserve">.</w:t>
      </w:r>
    </w:p>
    <w:bookmarkEnd w:id="272"/>
    <w:bookmarkStart w:id="274"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3">
        <w:r>
          <w:rPr>
            <w:rStyle w:val="Hyperlink"/>
          </w:rPr>
          <w:t xml:space="preserve">https://arxiv.org/abs/2604.08920</w:t>
        </w:r>
      </w:hyperlink>
      <w:r>
        <w:t xml:space="preserve">.</w:t>
      </w:r>
    </w:p>
    <w:bookmarkEnd w:id="274"/>
    <w:bookmarkStart w:id="276"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5">
        <w:r>
          <w:rPr>
            <w:rStyle w:val="Hyperlink"/>
          </w:rPr>
          <w:t xml:space="preserve">https://arxiv.org/abs/2605.06028</w:t>
        </w:r>
      </w:hyperlink>
      <w:r>
        <w:t xml:space="preserve">.</w:t>
      </w:r>
    </w:p>
    <w:bookmarkEnd w:id="276"/>
    <w:bookmarkStart w:id="277"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77"/>
    <w:bookmarkStart w:id="279"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78">
        <w:r>
          <w:rPr>
            <w:rStyle w:val="Hyperlink"/>
          </w:rPr>
          <w:t xml:space="preserve">https://arxiv.org/abs/2405.18253</w:t>
        </w:r>
      </w:hyperlink>
      <w:r>
        <w:t xml:space="preserve">.</w:t>
      </w:r>
    </w:p>
    <w:bookmarkEnd w:id="279"/>
    <w:bookmarkStart w:id="281"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0">
        <w:r>
          <w:rPr>
            <w:rStyle w:val="Hyperlink"/>
          </w:rPr>
          <w:t xml:space="preserve">https://doi.org/10.1145/3802111</w:t>
        </w:r>
      </w:hyperlink>
      <w:r>
        <w:t xml:space="preserve">.</w:t>
      </w:r>
    </w:p>
    <w:bookmarkEnd w:id="281"/>
    <w:bookmarkStart w:id="283"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2">
        <w:r>
          <w:rPr>
            <w:rStyle w:val="Hyperlink"/>
          </w:rPr>
          <w:t xml:space="preserve">https://doi.org/10.1007/978-3-642-12275-0_32</w:t>
        </w:r>
      </w:hyperlink>
      <w:r>
        <w:t xml:space="preserve">.</w:t>
      </w:r>
    </w:p>
    <w:bookmarkEnd w:id="283"/>
    <w:bookmarkEnd w:id="284"/>
    <w:bookmarkEnd w:id="285"/>
    <w:bookmarkEnd w:id="2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4" Target="http://www.vldb.org/pvldb/vol6/p37-dong.pdf" TargetMode="External" /><Relationship Type="http://schemas.openxmlformats.org/officeDocument/2006/relationships/hyperlink" Id="rId207"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47" Target="https://arxiv.org/abs/1402.4884" TargetMode="External" /><Relationship Type="http://schemas.openxmlformats.org/officeDocument/2006/relationships/hyperlink" Id="rId249" Target="https://arxiv.org/abs/2302.00093" TargetMode="External" /><Relationship Type="http://schemas.openxmlformats.org/officeDocument/2006/relationships/hyperlink" Id="rId265" Target="https://arxiv.org/abs/2302.05698" TargetMode="External" /><Relationship Type="http://schemas.openxmlformats.org/officeDocument/2006/relationships/hyperlink" Id="rId209" Target="https://arxiv.org/abs/2304.04576" TargetMode="External" /><Relationship Type="http://schemas.openxmlformats.org/officeDocument/2006/relationships/hyperlink" Id="rId251" Target="https://arxiv.org/abs/2304.09542" TargetMode="External" /><Relationship Type="http://schemas.openxmlformats.org/officeDocument/2006/relationships/hyperlink" Id="rId235"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55" Target="https://arxiv.org/abs/2402.11750" TargetMode="External" /><Relationship Type="http://schemas.openxmlformats.org/officeDocument/2006/relationships/hyperlink" Id="rId263" Target="https://arxiv.org/abs/2403.08319" TargetMode="External" /><Relationship Type="http://schemas.openxmlformats.org/officeDocument/2006/relationships/hyperlink" Id="rId278" Target="https://arxiv.org/abs/2405.18253" TargetMode="External" /><Relationship Type="http://schemas.openxmlformats.org/officeDocument/2006/relationships/hyperlink" Id="rId267" Target="https://arxiv.org/abs/2407.02485" TargetMode="External" /><Relationship Type="http://schemas.openxmlformats.org/officeDocument/2006/relationships/hyperlink" Id="rId219" Target="https://arxiv.org/abs/2410.05983" TargetMode="External" /><Relationship Type="http://schemas.openxmlformats.org/officeDocument/2006/relationships/hyperlink" Id="rId261"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37"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1" Target="https://arxiv.org/abs/2411.06037" TargetMode="External" /><Relationship Type="http://schemas.openxmlformats.org/officeDocument/2006/relationships/hyperlink" Id="rId205"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1"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29" Target="https://arxiv.org/abs/2504.07104" TargetMode="External" /><Relationship Type="http://schemas.openxmlformats.org/officeDocument/2006/relationships/hyperlink" Id="rId269"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3"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1"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5"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7"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57" Target="https://arxiv.org/abs/2602.08294" TargetMode="External" /><Relationship Type="http://schemas.openxmlformats.org/officeDocument/2006/relationships/hyperlink" Id="rId241" Target="https://arxiv.org/abs/2604.06621" TargetMode="External" /><Relationship Type="http://schemas.openxmlformats.org/officeDocument/2006/relationships/hyperlink" Id="rId273" Target="https://arxiv.org/abs/2604.08920" TargetMode="External" /><Relationship Type="http://schemas.openxmlformats.org/officeDocument/2006/relationships/hyperlink" Id="rId243" Target="https://arxiv.org/abs/2605.03534" TargetMode="External" /><Relationship Type="http://schemas.openxmlformats.org/officeDocument/2006/relationships/hyperlink" Id="rId233" Target="https://arxiv.org/abs/2605.05716" TargetMode="External" /><Relationship Type="http://schemas.openxmlformats.org/officeDocument/2006/relationships/hyperlink" Id="rId275"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27" Target="https://doi.org/10.1007/978-1-4612-4946-7" TargetMode="External" /><Relationship Type="http://schemas.openxmlformats.org/officeDocument/2006/relationships/hyperlink" Id="rId239" Target="https://doi.org/10.1007/978-3-032-19099-4_23" TargetMode="External" /><Relationship Type="http://schemas.openxmlformats.org/officeDocument/2006/relationships/hyperlink" Id="rId282"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3" Target="https://doi.org/10.1016/j.econlet.2024.112146" TargetMode="External" /><Relationship Type="http://schemas.openxmlformats.org/officeDocument/2006/relationships/hyperlink" Id="rId253"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5"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59"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80" Target="https://doi.org/10.1145/3802111" TargetMode="External" /><Relationship Type="http://schemas.openxmlformats.org/officeDocument/2006/relationships/hyperlink" Id="rId225"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3" Target="https://github.com/abilous-ti/blackwell-llm-context" TargetMode="External" /><Relationship Type="http://schemas.openxmlformats.org/officeDocument/2006/relationships/hyperlink" Id="rId211"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4" Target="http://www.vldb.org/pvldb/vol6/p37-dong.pdf" TargetMode="External" /><Relationship Type="http://schemas.openxmlformats.org/officeDocument/2006/relationships/hyperlink" Id="rId207"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47" Target="https://arxiv.org/abs/1402.4884" TargetMode="External" /><Relationship Type="http://schemas.openxmlformats.org/officeDocument/2006/relationships/hyperlink" Id="rId249" Target="https://arxiv.org/abs/2302.00093" TargetMode="External" /><Relationship Type="http://schemas.openxmlformats.org/officeDocument/2006/relationships/hyperlink" Id="rId265" Target="https://arxiv.org/abs/2302.05698" TargetMode="External" /><Relationship Type="http://schemas.openxmlformats.org/officeDocument/2006/relationships/hyperlink" Id="rId209" Target="https://arxiv.org/abs/2304.04576" TargetMode="External" /><Relationship Type="http://schemas.openxmlformats.org/officeDocument/2006/relationships/hyperlink" Id="rId251" Target="https://arxiv.org/abs/2304.09542" TargetMode="External" /><Relationship Type="http://schemas.openxmlformats.org/officeDocument/2006/relationships/hyperlink" Id="rId235"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55" Target="https://arxiv.org/abs/2402.11750" TargetMode="External" /><Relationship Type="http://schemas.openxmlformats.org/officeDocument/2006/relationships/hyperlink" Id="rId263" Target="https://arxiv.org/abs/2403.08319" TargetMode="External" /><Relationship Type="http://schemas.openxmlformats.org/officeDocument/2006/relationships/hyperlink" Id="rId278" Target="https://arxiv.org/abs/2405.18253" TargetMode="External" /><Relationship Type="http://schemas.openxmlformats.org/officeDocument/2006/relationships/hyperlink" Id="rId267" Target="https://arxiv.org/abs/2407.02485" TargetMode="External" /><Relationship Type="http://schemas.openxmlformats.org/officeDocument/2006/relationships/hyperlink" Id="rId219" Target="https://arxiv.org/abs/2410.05983" TargetMode="External" /><Relationship Type="http://schemas.openxmlformats.org/officeDocument/2006/relationships/hyperlink" Id="rId261"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37"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1" Target="https://arxiv.org/abs/2411.06037" TargetMode="External" /><Relationship Type="http://schemas.openxmlformats.org/officeDocument/2006/relationships/hyperlink" Id="rId205"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1"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29" Target="https://arxiv.org/abs/2504.07104" TargetMode="External" /><Relationship Type="http://schemas.openxmlformats.org/officeDocument/2006/relationships/hyperlink" Id="rId269"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3"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1"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5"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7"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57" Target="https://arxiv.org/abs/2602.08294" TargetMode="External" /><Relationship Type="http://schemas.openxmlformats.org/officeDocument/2006/relationships/hyperlink" Id="rId241" Target="https://arxiv.org/abs/2604.06621" TargetMode="External" /><Relationship Type="http://schemas.openxmlformats.org/officeDocument/2006/relationships/hyperlink" Id="rId273" Target="https://arxiv.org/abs/2604.08920" TargetMode="External" /><Relationship Type="http://schemas.openxmlformats.org/officeDocument/2006/relationships/hyperlink" Id="rId243" Target="https://arxiv.org/abs/2605.03534" TargetMode="External" /><Relationship Type="http://schemas.openxmlformats.org/officeDocument/2006/relationships/hyperlink" Id="rId233" Target="https://arxiv.org/abs/2605.05716" TargetMode="External" /><Relationship Type="http://schemas.openxmlformats.org/officeDocument/2006/relationships/hyperlink" Id="rId275"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27" Target="https://doi.org/10.1007/978-1-4612-4946-7" TargetMode="External" /><Relationship Type="http://schemas.openxmlformats.org/officeDocument/2006/relationships/hyperlink" Id="rId239" Target="https://doi.org/10.1007/978-3-032-19099-4_23" TargetMode="External" /><Relationship Type="http://schemas.openxmlformats.org/officeDocument/2006/relationships/hyperlink" Id="rId282"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3" Target="https://doi.org/10.1016/j.econlet.2024.112146" TargetMode="External" /><Relationship Type="http://schemas.openxmlformats.org/officeDocument/2006/relationships/hyperlink" Id="rId253"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5"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59"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80" Target="https://doi.org/10.1145/3802111" TargetMode="External" /><Relationship Type="http://schemas.openxmlformats.org/officeDocument/2006/relationships/hyperlink" Id="rId225"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3" Target="https://github.com/abilous-ti/blackwell-llm-context" TargetMode="External" /><Relationship Type="http://schemas.openxmlformats.org/officeDocument/2006/relationships/hyperlink" Id="rId211"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 Vasyl Lytvyn ^{1}, Petro Pukach ^{2,\ast}, Zoriana Rybchak ^{1} ^{1} Department of Information Systems and Networks, Institute of Computer Science and Information Technologies, Lviv Polytechnic National University, S. Bandery St. 12, 79013 Lviv, Ukraine; andriy.bilous@uitware.com (A.B.); vasyl.v.lytvyn@lpnu.ua (V.L.); zoriana.l.rybchak@lpnu.ua (Z.R.) ^{2} Institute of Applied Mathematics and Fundamental Sciences, Lviv Polytechnic National University, S. Bandery St. 12, 79013 Lviv, Ukraine ^{\ast} Correspondence: petro.y.pukach@lpnu.ua</dc:creator>
  <cp:keywords/>
  <dcterms:created xsi:type="dcterms:W3CDTF">2026-09-09T09:28:23Z</dcterms:created>
  <dcterms:modified xsi:type="dcterms:W3CDTF">2026-09-09T09:28:23Z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goes into a language model’s prompt is usually chosen by scoring each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On six models from four vendors we verify (\geq 90\% confidence, both directions) that two hand-built sources are incomparable. On a designed trap, a lexical score, two dense retrievers and a cross-encoder prefer the wrong source, while a listwise LLM reranker that reads the deciding detail gets it right. Adding a larger source can also hurt: a strict superset verifiably lowers pass rates on eleven of twelve cells, falling as far as 100\% to 0\%; on one model, a length-matched padding control and a reversed-order control leave the collapse unexplained by either. Treat context selection as a partial order and compare sources by a verified pass-rate test, not a relevance number. Scaling the implied rule to large corpora is the main open problem.</vt:lpwstr>
  </property>
  <property fmtid="{D5CDD505-2E9C-101B-9397-08002B2CF9AE}" pid="3" name="bibliography">
    <vt:lpwstr>blackwell-paper.bib</vt:lpwstr>
  </property>
  <property fmtid="{D5CDD505-2E9C-101B-9397-08002B2CF9AE}" pid="4" name="date">
    <vt:lpwstr/>
  </property>
</Properties>
</file>