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sup>
        </m:sSup>
      </m:oMath>
      <w:r>
        <w:t xml:space="preserve">,</w:t>
      </w:r>
      <w:r>
        <w:t xml:space="preserve"> </w:t>
      </w:r>
      <w:r>
        <w:t xml:space="preserve">Vasyl Lytvyn </w:t>
      </w:r>
      <m:oMath>
        <m:sSup>
          <m:e>
            <m:r>
              <m:t>​</m:t>
            </m:r>
          </m:e>
          <m:sup>
            <m:r>
              <m:t>1</m:t>
            </m:r>
          </m:sup>
        </m:sSup>
      </m:oMath>
      <w:r>
        <w:t xml:space="preserve">,</w:t>
      </w:r>
      <w:r>
        <w:br/>
      </w:r>
      <w:r>
        <w:t xml:space="preserve">Petro Pukach </w:t>
      </w:r>
      <m:oMath>
        <m:sSup>
          <m:e>
            <m:r>
              <m:t>​</m:t>
            </m:r>
          </m:e>
          <m:sup>
            <m:r>
              <m:t>2</m:t>
            </m:r>
            <m:r>
              <m:rPr>
                <m:sty m:val="p"/>
              </m:rPr>
              <m:t>,</m:t>
            </m:r>
            <m:r>
              <m:rPr>
                <m:sty m:val="p"/>
              </m:rPr>
              <m:t>*</m:t>
            </m:r>
          </m:sup>
        </m:sSup>
      </m:oMath>
      <w:r>
        <w:t xml:space="preserve">,</w:t>
      </w:r>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w:t>
      </w:r>
      <w:r>
        <w:br/>
      </w:r>
      <w:r>
        <w:t xml:space="preserve">Institute of Computer Science and Information Technologies,</w:t>
      </w:r>
      <w:r>
        <w:br/>
      </w:r>
      <w:r>
        <w:t xml:space="preserve">Lviv Polytechnic National University, S. Bandery St. 12, 79013 Lviv, Ukraine;</w:t>
      </w:r>
      <w:r>
        <w:br/>
      </w:r>
      <w:r>
        <w:rPr>
          <w:rStyle w:val="VerbatimChar"/>
        </w:rPr>
        <w:t xml:space="preserve">andriy.bilous@uitware.com</w:t>
      </w:r>
      <w:r>
        <w:t xml:space="preserve"> </w:t>
      </w:r>
      <w:r>
        <w:t xml:space="preserve">(A.B.);</w:t>
      </w:r>
      <w:r>
        <w:t xml:space="preserve"> </w:t>
      </w:r>
      <w:r>
        <w:rPr>
          <w:rStyle w:val="VerbatimChar"/>
        </w:rPr>
        <w:t xml:space="preserve">vasyl.v.lytvyn@lpnu.ua</w:t>
      </w:r>
      <w:r>
        <w:t xml:space="preserve"> </w:t>
      </w:r>
      <w:r>
        <w:t xml:space="preserve">(V.L.);</w:t>
      </w:r>
      <w:r>
        <w:br/>
      </w:r>
      <w:r>
        <w:rPr>
          <w:rStyle w:val="VerbatimChar"/>
        </w:rPr>
        <w:t xml:space="preserve">zoriana.l.rybchak@lpnu.ua</w:t>
      </w:r>
      <w:r>
        <w:t xml:space="preserve"> </w:t>
      </w:r>
      <w:r>
        <w:t xml:space="preserve">(Z.R.)</w:t>
      </w:r>
      <w:r>
        <w:br/>
      </w:r>
      <m:oMath>
        <m:sSup>
          <m:e>
            <m:r>
              <m:t>​</m:t>
            </m:r>
          </m:e>
          <m:sup>
            <m:r>
              <m:t>2</m:t>
            </m:r>
          </m:sup>
        </m:sSup>
      </m:oMath>
      <w:r>
        <w:t xml:space="preserve"> Institute of Applied Mathematics and Fundamental Sciences,</w:t>
      </w:r>
      <w:r>
        <w:br/>
      </w:r>
      <w:r>
        <w:t xml:space="preserve">Lviv Polytechnic National University, S. Bandery St. 12, 79013 Lviv, Ukraine</w:t>
      </w:r>
      <w:r>
        <w:br/>
      </w:r>
      <m:oMath>
        <m:sSup>
          <m:e>
            <m:r>
              <m:t>​</m:t>
            </m:r>
          </m:e>
          <m:sup>
            <m:r>
              <m:rPr>
                <m:sty m:val="p"/>
              </m:rPr>
              <m:t>*</m:t>
            </m:r>
          </m:sup>
        </m:sSup>
      </m:oMath>
      <w:r>
        <w:t xml:space="preserve"> Correspondence:</w:t>
      </w:r>
      <w:r>
        <w:t xml:space="preserve"> </w:t>
      </w:r>
      <w:r>
        <w:rPr>
          <w:rStyle w:val="VerbatimChar"/>
        </w:rPr>
        <w:t xml:space="preserve">petro.y.pukach@lpnu.ua</w:t>
      </w:r>
    </w:p>
    <w:p>
      <w:pPr>
        <w:pStyle w:val="AbstractTitle"/>
      </w:pPr>
      <w:r>
        <w:t xml:space="preserve">Abstract</w:t>
      </w:r>
    </w:p>
    <w:p>
      <w:pPr>
        <w:pStyle w:val="Abstract"/>
      </w:pPr>
      <w:r>
        <w:t xml:space="preserve">What goes into a language model’s prompt is usually chosen by scoring each source with one number</w:t>
      </w:r>
      <w:r>
        <w:t xml:space="preserve"> </w:t>
      </w:r>
      <w:r>
        <w:t xml:space="preserve">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On six</w:t>
      </w:r>
      <w:r>
        <w:t xml:space="preserve"> </w:t>
      </w:r>
      <w:r>
        <w:t xml:space="preserve">models from four vendors we verify (</w:t>
      </w:r>
      <m:oMath>
        <m:r>
          <m:rPr>
            <m:sty m:val="p"/>
          </m:rPr>
          <m:t>≥</m:t>
        </m:r>
        <m:r>
          <m:t>90</m:t>
        </m:r>
        <m:r>
          <m:rPr>
            <m:sty m:val="p"/>
          </m:rPr>
          <m:t>%</m:t>
        </m:r>
      </m:oMath>
      <w:r>
        <w:t xml:space="preserve"> </w:t>
      </w:r>
      <w:r>
        <w:t xml:space="preserve">confidence, both directions) that two hand-built</w:t>
      </w:r>
      <w:r>
        <w:t xml:space="preserve"> </w:t>
      </w:r>
      <w:r>
        <w:t xml:space="preserve">sources are incomparable. On a designed trap, a</w:t>
      </w:r>
      <w:r>
        <w:t xml:space="preserve"> </w:t>
      </w:r>
      <w:r>
        <w:t xml:space="preserve">lexical score, two dense retrievers and a cross-encoder prefer the wrong source, while a listwise</w:t>
      </w:r>
      <w:r>
        <w:t xml:space="preserve"> </w:t>
      </w:r>
      <w:r>
        <w:t xml:space="preserve">LLM reranker that reads the deciding detail gets it right. Adding</w:t>
      </w:r>
      <w:r>
        <w:t xml:space="preserve"> </w:t>
      </w:r>
      <w:r>
        <w:t xml:space="preserve">a larger source can also hurt: a strict superset verifiably lowers pass rates on eleven of twelve</w:t>
      </w:r>
      <w:r>
        <w:t xml:space="preserve"> </w:t>
      </w:r>
      <w:r>
        <w:t xml:space="preserve">cells, falling as far as</w:t>
      </w:r>
      <w:r>
        <w:t xml:space="preserve"> </w:t>
      </w:r>
      <m:oMath>
        <m:r>
          <m:t>100</m:t>
        </m:r>
        <m:r>
          <m:rPr>
            <m:sty m:val="p"/>
          </m:rPr>
          <m:t>%</m:t>
        </m:r>
      </m:oMath>
      <w:r>
        <w:t xml:space="preserve"> </w:t>
      </w:r>
      <w:r>
        <w:t xml:space="preserve">to</w:t>
      </w:r>
      <w:r>
        <w:t xml:space="preserve"> </w:t>
      </w:r>
      <m:oMath>
        <m:r>
          <m:t>0</m:t>
        </m:r>
        <m:r>
          <m:rPr>
            <m:sty m:val="p"/>
          </m:rPr>
          <m:t>%</m:t>
        </m:r>
      </m:oMath>
      <w:r>
        <w:t xml:space="preserve">; on one model, a length-matched padding control and a</w:t>
      </w:r>
      <w:r>
        <w:t xml:space="preserve"> </w:t>
      </w:r>
      <w:r>
        <w:t xml:space="preserve">reversed-order control leave the collapse unexplained by either. Treat context selection as a partial</w:t>
      </w:r>
      <w:r>
        <w:t xml:space="preserve"> </w:t>
      </w:r>
      <w:r>
        <w:t xml:space="preserve">order and compare sources by a verified pass-rate test, not a relevance number. Scaling the</w:t>
      </w:r>
      <w:r>
        <w:t xml:space="preserve"> </w:t>
      </w:r>
      <w:r>
        <w:t xml:space="preserve">implied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3"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Nie,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and position confounds controlled, with the effect of an</w:t>
      </w:r>
      <w:r>
        <w:t xml:space="preserve"> </w:t>
      </w:r>
      <w:r>
        <w:t xml:space="preserve">explicit routing instruction measured rather than assumed away (§2).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9"/>
    <w:bookmarkStart w:id="10"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1"/>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1"/>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The selection multiplicity is paid explicitly rather than absorbed</w:t>
      </w:r>
      <w:r>
        <w:t xml:space="preserve"> </w:t>
      </w:r>
      <w:r>
        <w:t xml:space="preserve">into a single-sample sup inequality </w:t>
      </w:r>
      <w:r>
        <w:t xml:space="preserve">(Dvoretzky et al. 1956)</w:t>
      </w:r>
      <w:r>
        <w:t xml:space="preserve">, which does not cover an argmax over</w:t>
      </w:r>
      <w:r>
        <w:t xml:space="preserve"> </w:t>
      </w:r>
      <w:r>
        <w:t xml:space="preserve">distinct cells; the matching interference verification follows. This is the instrument that makes the</w:t>
      </w:r>
      <w:r>
        <w:t xml:space="preserve"> </w:t>
      </w:r>
      <w:r>
        <w:t xml:space="preserve">partial order testable on a real model behind a real verifier.</w:t>
      </w:r>
    </w:p>
    <w:p>
      <w:pPr>
        <w:numPr>
          <w:ilvl w:val="0"/>
          <w:numId w:val="1001"/>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0"/>
    <w:bookmarkStart w:id="12" w:name="how-to-read-the-formal-terms."/>
    <w:p>
      <w:pPr>
        <w:pStyle w:val="Heading4"/>
      </w:pPr>
      <w:r>
        <w:t xml:space="preserve">How to read the formal terms.</w:t>
      </w:r>
    </w:p>
    <w:p>
      <w:pPr>
        <w:pStyle w:val="FirstParagraph"/>
      </w:pPr>
      <w:r>
        <w:t xml:space="preserve">Table 1 gives the engineering reading of each recurring term, and a reader who</w:t>
      </w:r>
      <w:r>
        <w:t xml:space="preserve"> </w:t>
      </w:r>
      <w:r>
        <w:t xml:space="preserve">wants the measured result first can go straight to §7; every proof is in</w:t>
      </w:r>
      <w:r>
        <w:t xml:space="preserve"> </w:t>
      </w:r>
      <w:r>
        <w:t xml:space="preserve">Appendix A.</w:t>
      </w:r>
    </w:p>
    <w:bookmarkStart w:id="11"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under the per-cell Bernoulli sampling model of Assumption 2</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r>
                <m:t>W</m:t>
              </m:r>
            </m:oMath>
            <w:r>
              <w:t xml:space="preserve"> </w:t>
            </w:r>
            <w:r>
              <w:t xml:space="preserve">in place of</w:t>
            </w:r>
            <w:r>
              <w:t xml:space="preserve"> </w:t>
            </w:r>
            <m:oMath>
              <m:sSup>
                <m:e>
                  <m:r>
                    <m:t>W</m:t>
                  </m:r>
                </m:e>
                <m:sup>
                  <m:r>
                    <m:rPr>
                      <m:sty m:val="p"/>
                    </m:rPr>
                    <m:t>′</m:t>
                  </m:r>
                </m:sup>
              </m:sSup>
            </m:oMath>
            <w:r>
              <w:t xml:space="preserve"> </w:t>
            </w:r>
            <w:r>
              <w:t xml:space="preserve">on the task family</w:t>
            </w:r>
          </w:p>
        </w:tc>
      </w:tr>
    </w:tbl>
    <w:bookmarkEnd w:id="11"/>
    <w:bookmarkEnd w:id="12"/>
    <w:bookmarkEnd w:id="13"/>
    <w:bookmarkStart w:id="21" w:name="sec:related"/>
    <w:p>
      <w:pPr>
        <w:pStyle w:val="Heading1"/>
      </w:pPr>
      <w:r>
        <w:t xml:space="preserve">Related Work</w:t>
      </w:r>
    </w:p>
    <w:bookmarkStart w:id="15" w:name="sec:related-scalar"/>
    <w:p>
      <w:pPr>
        <w:pStyle w:val="Heading2"/>
      </w:pPr>
      <w:r>
        <w:t xml:space="preserve">Scalar selection and its limits in information retrieval</w:t>
      </w:r>
    </w:p>
    <w:p>
      <w:pPr>
        <w:pStyle w:val="FirstParagraph"/>
      </w:pPr>
      <w:bookmarkStart w:id="14" w:name="sec:related-ir"/>
      <w:bookmarkEnd w:id="14"/>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for mutual</w:t>
      </w:r>
      <w:r>
        <w:t xml:space="preserve"> </w:t>
      </w:r>
      <w:r>
        <w:t xml:space="preserve">information and fixed-prior EIG it is immediate from data processing, and for a fixed decoder’s</w:t>
      </w:r>
      <w:r>
        <w:t xml:space="preserve"> </w:t>
      </w:r>
      <w:r>
        <w:t xml:space="preserve">perplexity-gap we claim nothing, Remark 4).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when it meets that proposition’s hypotheses. Reading the</w:t>
      </w:r>
      <w:r>
        <w:t xml:space="preserve"> </w:t>
      </w:r>
      <w:r>
        <w:t xml:space="preserve">decisive coordinate is one way out, which is the listwise boundary; reading public task metadata</w:t>
      </w:r>
      <w:r>
        <w:t xml:space="preserve"> </w:t>
      </w:r>
      <w:r>
        <w:t xml:space="preserve">is another (Remark 5).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the partial order calls for,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15"/>
    <w:bookmarkStart w:id="16"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survives length, position and formatting controls and is consistent with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6"/>
    <w:bookmarkStart w:id="19" w:name="sec:related-deficiency"/>
    <w:p>
      <w:pPr>
        <w:pStyle w:val="Heading2"/>
      </w:pPr>
      <w:r>
        <w:t xml:space="preserve">The comparison of experiments in machine learning</w:t>
      </w:r>
    </w:p>
    <w:p>
      <w:pPr>
        <w:pStyle w:val="FirstParagraph"/>
      </w:pPr>
      <w:bookmarkStart w:id="17" w:name="sec:related-llmrep"/>
      <w:bookmarkEnd w:id="17"/>
      <w:bookmarkStart w:id="18" w:name="sec:related-foundations"/>
      <w:bookmarkEnd w:id="18"/>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the mutual information between the curated and the</w:t>
      </w:r>
      <w:r>
        <w:t xml:space="preserve"> </w:t>
      </w:r>
      <w:r>
        <w:t xml:space="preserve">test data is a</w:t>
      </w:r>
      <w:r>
        <w:t xml:space="preserve"> </w:t>
      </w:r>
      <w:r>
        <w:rPr>
          <w:i/>
          <w:iCs/>
        </w:rPr>
        <w:t xml:space="preserve">strategy-proof</w:t>
      </w:r>
      <w:r>
        <w:t xml:space="preserve"> </w:t>
      </w:r>
      <w:r>
        <w:t xml:space="preserve">score: a curation step that garbles the data, so that</w:t>
      </w:r>
      <w:r>
        <w:t xml:space="preserve"> </w:t>
      </w:r>
      <m:oMath>
        <m:r>
          <m:t>θ</m:t>
        </m:r>
        <m:r>
          <m:rPr>
            <m:sty m:val="p"/>
          </m:rPr>
          <m:t>→</m:t>
        </m:r>
        <m:r>
          <m:t>D</m:t>
        </m:r>
        <m:r>
          <m:rPr>
            <m:sty m:val="p"/>
          </m:rPr>
          <m:t>→</m:t>
        </m:r>
        <m:r>
          <m:t>f</m:t>
        </m:r>
        <m:r>
          <m:rPr>
            <m:sty m:val="p"/>
          </m:rPr>
          <m:t>(</m:t>
        </m:r>
        <m:r>
          <m:t>D</m:t>
        </m:r>
        <m:r>
          <m:rPr>
            <m:sty m:val="p"/>
          </m:rPr>
          <m:t>)</m:t>
        </m:r>
      </m:oMath>
      <w:r>
        <w:t xml:space="preserve"> </w:t>
      </w:r>
      <w:r>
        <w:t xml:space="preserve">is a Markov chain, cannot raise it. That is the data-processing</w:t>
      </w:r>
      <w:r>
        <w:t xml:space="preserve"> </w:t>
      </w:r>
      <w:r>
        <w:t xml:space="preserve">direction, and it is one-directional; a scalar can be monotone along the order without</w:t>
      </w:r>
      <w:r>
        <w:t xml:space="preserve"> </w:t>
      </w:r>
      <w:r>
        <w:t xml:space="preserve">representing it, so their result is compatible with ours rather than opposed to it. Their</w:t>
      </w:r>
      <w:r>
        <w:t xml:space="preserve"> </w:t>
      </w:r>
      <w:r>
        <w:t xml:space="preserve">comparison is also taken against the Bayes-optimal user of the data, ours against a fixed model</w:t>
      </w:r>
      <w:r>
        <w:t xml:space="preserve"> </w:t>
      </w:r>
      <w:r>
        <w:t xml:space="preserve">rule on a task family. What Theorem 2 adds is the converse question, whether</w:t>
      </w:r>
      <w:r>
        <w:t xml:space="preserve"> </w:t>
      </w:r>
      <w:r>
        <w:t xml:space="preserve">any query-independent scalar can be</w:t>
      </w:r>
      <w:r>
        <w:t xml:space="preserve"> </w:t>
      </w:r>
      <w:r>
        <w:rPr>
          <w:i/>
          <w:iCs/>
        </w:rPr>
        <w:t xml:space="preserve">faithful</w:t>
      </w:r>
      <w:r>
        <w:t xml:space="preserve"> </w:t>
      </w:r>
      <w:r>
        <w:t xml:space="preserve">to the order, which a monotone score need not</w:t>
      </w:r>
      <w:r>
        <w:t xml:space="preserve"> </w:t>
      </w:r>
      <w:r>
        <w:t xml:space="preserve">be once the order is partial.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p>
    <w:bookmarkEnd w:id="19"/>
    <w:bookmarkStart w:id="20" w:name="sec:related-designspace"/>
    <w:p>
      <w:pPr>
        <w:pStyle w:val="Heading2"/>
      </w:pPr>
      <w:r>
        <w:t xml:space="preserve">The design space: which selectors the two results reach</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End w:id="20"/>
    <w:bookmarkEnd w:id="21"/>
    <w:bookmarkStart w:id="29"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5"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2"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2"/>
    <w:bookmarkStart w:id="23"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t>S</m:t>
        </m:r>
        <m:r>
          <m:rPr>
            <m:sty m:val="p"/>
          </m:rPr>
          <m:t>)</m:t>
        </m:r>
        <m:r>
          <m:rPr>
            <m:sty m:val="p"/>
          </m:rPr>
          <m:t>∈</m:t>
        </m:r>
        <m:r>
          <m:rPr>
            <m:sty m:val="p"/>
          </m:rPr>
          <m:t>{</m:t>
        </m:r>
        <m:r>
          <m:t>0</m:t>
        </m:r>
        <m:r>
          <m:rPr>
            <m:sty m:val="p"/>
          </m:rPr>
          <m:t>,</m:t>
        </m:r>
        <m:r>
          <m:t>1</m:t>
        </m:r>
        <m:r>
          <m:rPr>
            <m:sty m:val="p"/>
          </m:rPr>
          <m:t>}</m:t>
        </m:r>
      </m:oMath>
      <w:r>
        <w:t xml:space="preserve">, which scores the candidate against the convention in force: the same answer</w:t>
      </w:r>
      <w:r>
        <w:t xml:space="preserve"> </w:t>
      </w:r>
      <w:r>
        <w:t xml:space="preserve">passes under one convention and fails under another, which is why the second argument cannot be</w:t>
      </w:r>
      <w:r>
        <w:t xml:space="preserve"> </w:t>
      </w:r>
      <w:r>
        <w:t xml:space="preserve">dropped. Two decision rules matter:</w:t>
      </w:r>
    </w:p>
    <w:p>
      <w:pPr>
        <w:numPr>
          <w:ilvl w:val="0"/>
          <w:numId w:val="1002"/>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p>
      <w:pPr>
        <w:numPr>
          <w:ilvl w:val="0"/>
          <w:numId w:val="1000"/>
        </w:numPr>
      </w:pPr>
      <w:r>
        <w:t xml:space="preserve">written</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sSub>
          <m:e>
            <m:r>
              <m:t>S</m:t>
            </m:r>
          </m:e>
          <m:sub>
            <m:r>
              <m:t>T</m:t>
            </m:r>
          </m:sub>
        </m:sSub>
        <m:r>
          <m:rPr>
            <m:sty m:val="p"/>
          </m:rPr>
          <m:t>)</m:t>
        </m:r>
      </m:oMath>
      <w:r>
        <w:t xml:space="preserve"> </w:t>
      </w:r>
      <w:r>
        <w:t xml:space="preserve">at the single realized convention</w:t>
      </w:r>
      <w:r>
        <w:t xml:space="preserve"> </w:t>
      </w:r>
      <m:oMath>
        <m:sSub>
          <m:e>
            <m:r>
              <m:t>S</m:t>
            </m:r>
          </m:e>
          <m:sub>
            <m:r>
              <m:t>T</m:t>
            </m:r>
          </m:sub>
        </m:sSub>
      </m:oMath>
      <w:r>
        <w:t xml:space="preserve">, which is</w:t>
      </w:r>
      <w:r>
        <w:t xml:space="preserve"> </w:t>
      </w:r>
      <w:r>
        <w:t xml:space="preserve">the quantity every measurement in this paper reports;</w:t>
      </w:r>
    </w:p>
    <w:p>
      <w:pPr>
        <w:numPr>
          <w:ilvl w:val="0"/>
          <w:numId w:val="1002"/>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3"/>
    <w:bookmarkStart w:id="24"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and the measured pass rates enter as its falsifiable signature, not as a bound on a</w:t>
      </w:r>
      <w:r>
        <w:t xml:space="preserve"> </w:t>
      </w:r>
      <w:r>
        <w:t xml:space="preserve">Bayes value.</w:t>
      </w:r>
    </w:p>
    <w:bookmarkEnd w:id="24"/>
    <w:p>
      <w:pPr>
        <w:pStyle w:val="BodyText"/>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25"/>
    <w:bookmarkStart w:id="27"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26"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6"/>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27"/>
    <w:bookmarkStart w:id="28"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the model’s no-context pass rate, for the part of a private convention</w:t>
      </w:r>
      <w:r>
        <w:t xml:space="preserve"> </w:t>
      </w:r>
      <w:r>
        <w:t xml:space="preserve">that</w:t>
      </w:r>
      <w:r>
        <w:t xml:space="preserve"> </w:t>
      </w:r>
      <m:oMath>
        <m:r>
          <m:t>θ</m:t>
        </m:r>
      </m:oMath>
      <w:r>
        <w:t xml:space="preserve"> </w:t>
      </w:r>
      <w:r>
        <w:t xml:space="preserve">already encodes; the value of a source is model-relative through it. When</w:t>
      </w:r>
      <w:r>
        <w:t xml:space="preserve"> </w:t>
      </w:r>
      <m:oMath>
        <m:r>
          <m:t>θ</m:t>
        </m:r>
      </m:oMath>
      <w:r>
        <w:t xml:space="preserve"> </w:t>
      </w:r>
      <w:r>
        <w:t xml:space="preserve">already</w:t>
      </w:r>
      <w:r>
        <w:t xml:space="preserve"> </w:t>
      </w:r>
      <w:r>
        <w:t xml:space="preserve">“knows”</w:t>
      </w:r>
      <w:r>
        <w:t xml:space="preserve"> </w:t>
      </w:r>
      <w:r>
        <w:t xml:space="preserve">a convention (the model can guess it without the source), that baseline is high</w:t>
      </w:r>
      <w:r>
        <w:t xml:space="preserve"> </w:t>
      </w:r>
      <w:r>
        <w:t xml:space="preserve">and</w:t>
      </w:r>
      <w:r>
        <w:t xml:space="preserve"> </w:t>
      </w:r>
      <m:oMath>
        <m:r>
          <m:t>W</m:t>
        </m:r>
      </m:oMath>
      <w:r>
        <w:t xml:space="preserve">’s marginal contribution collapses; when the convention is genuinely unknown to</w:t>
      </w:r>
      <w:r>
        <w:t xml:space="preserve"> </w:t>
      </w:r>
      <m:oMath>
        <m:r>
          <m:t>θ</m:t>
        </m:r>
      </m:oMath>
      <w:r>
        <w:t xml:space="preserve">,</w:t>
      </w:r>
      <w:r>
        <w:t xml:space="preserve"> </w:t>
      </w:r>
      <w:r>
        <w:t xml:space="preserve">the baseline floors and the source has to carry the cell. We deliberately do</w:t>
      </w:r>
      <w:r>
        <w:t xml:space="preserve"> </w:t>
      </w:r>
      <w:r>
        <w:rPr>
          <w:i/>
          <w:iCs/>
        </w:rPr>
        <w:t xml:space="preserve">not</w:t>
      </w:r>
      <w:r>
        <w:t xml:space="preserve"> </w:t>
      </w:r>
      <w:r>
        <w:t xml:space="preserve">write this</w:t>
      </w:r>
      <w:r>
        <w:t xml:space="preserve"> </w:t>
      </w:r>
      <w:r>
        <w:t xml:space="preserve">as a conditional mutual information</w:t>
      </w:r>
      <w:r>
        <w:t xml:space="preserve"> </w:t>
      </w:r>
      <m:oMath>
        <m:r>
          <m:t>I</m:t>
        </m:r>
        <m:r>
          <m:rPr>
            <m:sty m:val="p"/>
          </m:rPr>
          <m:t>(</m:t>
        </m:r>
        <m:r>
          <m:t>S</m:t>
        </m:r>
        <m:r>
          <m:rPr>
            <m:sty m:val="p"/>
          </m:rPr>
          <m:t>;</m:t>
        </m:r>
        <m:r>
          <m:t>W</m:t>
        </m:r>
        <m:r>
          <m:rPr>
            <m:sty m:val="p"/>
          </m:rPr>
          <m:t>∣</m:t>
        </m:r>
        <m:r>
          <m:t>θ</m:t>
        </m:r>
        <m:r>
          <m:rPr>
            <m:sty m:val="p"/>
          </m:rPr>
          <m:t>)</m:t>
        </m:r>
      </m:oMath>
      <w:r>
        <w:t xml:space="preserve">: under Definitions 1</w:t>
      </w:r>
      <w:r>
        <w:t xml:space="preserve"> </w:t>
      </w:r>
      <w:r>
        <w:t xml:space="preserve">and 2 the law of</w:t>
      </w:r>
      <w:r>
        <w:t xml:space="preserve"> </w:t>
      </w:r>
      <m:oMath>
        <m:r>
          <m:rPr>
            <m:sty m:val="p"/>
          </m:rPr>
          <m:t>(</m:t>
        </m:r>
        <m:r>
          <m:t>S</m:t>
        </m:r>
        <m:r>
          <m:rPr>
            <m:sty m:val="p"/>
          </m:rPr>
          <m:t>,</m:t>
        </m:r>
        <m:r>
          <m:t>W</m:t>
        </m:r>
        <m:r>
          <m:rPr>
            <m:sty m:val="p"/>
          </m:rPr>
          <m:t>)</m:t>
        </m:r>
      </m:oMath>
      <w:r>
        <w:t xml:space="preserve"> </w:t>
      </w:r>
      <w:r>
        <w:t xml:space="preserve">is</w:t>
      </w:r>
      <w:r>
        <w:t xml:space="preserve"> </w:t>
      </w:r>
      <m:oMath>
        <m:sSub>
          <m:e>
            <m:r>
              <m:t>μ</m:t>
            </m:r>
          </m:e>
          <m:sub>
            <m:r>
              <m:t>T</m:t>
            </m:r>
          </m:sub>
        </m:sSub>
      </m:oMath>
      <w:r>
        <w:t xml:space="preserve"> </w:t>
      </w:r>
      <w:r>
        <w:t xml:space="preserve">followed by</w:t>
      </w:r>
      <w:r>
        <w:t xml:space="preserve"> </w:t>
      </w:r>
      <m:oMath>
        <m:sSub>
          <m:e>
            <m:r>
              <m:t>κ</m:t>
            </m:r>
          </m:e>
          <m:sub>
            <m:r>
              <m:t>W</m:t>
            </m:r>
          </m:sub>
        </m:sSub>
      </m:oMath>
      <w:r>
        <w:t xml:space="preserve"> </w:t>
      </w:r>
      <w:r>
        <w:t xml:space="preserve">and carries no</w:t>
      </w:r>
      <w:r>
        <w:t xml:space="preserve"> </w:t>
      </w:r>
      <m:oMath>
        <m:r>
          <m:t>θ</m:t>
        </m:r>
      </m:oMath>
      <w:r>
        <w:t xml:space="preserve">, so conditioning on a fixed model index would leave the mutual information unchanged and</w:t>
      </w:r>
      <w:r>
        <w:t xml:space="preserve"> </w:t>
      </w:r>
      <w:r>
        <w:t xml:space="preserve">model-</w:t>
      </w:r>
      <w:r>
        <w:rPr>
          <w:i/>
          <w:iCs/>
        </w:rPr>
        <w:t xml:space="preserve">in</w:t>
      </w:r>
      <w:r>
        <w:t xml:space="preserve">dependent, the opposite of what is measured here; a genuinely model-relative</w:t>
      </w:r>
      <w:r>
        <w:t xml:space="preserve"> </w:t>
      </w:r>
      <w:r>
        <w:t xml:space="preserve">information quantity would need a subjective prior we neither define nor measure.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28"/>
    <w:bookmarkEnd w:id="29"/>
    <w:bookmarkStart w:id="41"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4" w:name="the-order-and-its-two-registers"/>
    <w:p>
      <w:pPr>
        <w:pStyle w:val="Heading2"/>
      </w:pPr>
      <w:r>
        <w:t xml:space="preserve">The order and its two registers</w:t>
      </w:r>
    </w:p>
    <w:bookmarkStart w:id="30"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0"/>
    <w:p>
      <w:pPr>
        <w:pStyle w:val="BodyText"/>
      </w:pPr>
      <w:r>
        <w:t xml:space="preserve">The classical content of the order is the Blackwell–Sherman–Stein theorem, which we state with</w:t>
      </w:r>
      <w:r>
        <w:t xml:space="preserve"> </w:t>
      </w:r>
      <w:r>
        <w:t xml:space="preserve">hypotheses for a self-contained treatment.</w:t>
      </w:r>
    </w:p>
    <w:bookmarkStart w:id="31"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w:t>
      </w:r>
      <w:r>
        <w:rPr>
          <w:i/>
          <w:iCs/>
        </w:rPr>
        <w:t xml:space="preserve"> </w:t>
      </w:r>
      <w:r>
        <w:rPr>
          <w:i/>
          <w:i/>
          <w:iCs/>
          <w:iCs/>
        </w:rPr>
        <w:t xml:space="preserve">finite</w:t>
      </w:r>
      <w:r>
        <w:rPr>
          <w:i/>
          <w:iCs/>
        </w:rPr>
        <w:t xml:space="preserve"> </w:t>
      </w:r>
      <w:r>
        <w:rPr>
          <w:i/>
          <w:iCs/>
        </w:rPr>
        <w:t xml:space="preserve">parameter space</w:t>
      </w:r>
      <w:r>
        <w:rPr>
          <w:i/>
          <w:iCs/>
        </w:rPr>
        <w:t xml:space="preserve"> </w:t>
      </w:r>
      <m:oMath>
        <m:r>
          <m:rPr>
            <m:scr m:val="script"/>
            <m:sty m:val="p"/>
          </m:rPr>
          <m:t>S</m:t>
        </m:r>
      </m:oMath>
      <w:r>
        <w:rPr>
          <w:i/>
          <w:iCs/>
        </w:rPr>
        <w:t xml:space="preserve"> </w:t>
      </w:r>
      <w:r>
        <w:rPr>
          <w:i/>
          <w:iCs/>
        </w:rPr>
        <w:t xml:space="preserve">with standard</w:t>
      </w:r>
      <w:r>
        <w:rPr>
          <w:i/>
          <w:iCs/>
        </w:rPr>
        <w:t xml:space="preserve"> </w:t>
      </w:r>
      <w:r>
        <w:rPr>
          <w:i/>
          <w:iCs/>
        </w:rPr>
        <w:t xml:space="preserve">Borel signal spaces. The following are equivalent (the implication</w:t>
      </w:r>
      <w:r>
        <w:rPr>
          <w:i/>
          <w:iCs/>
        </w:rPr>
        <w:t xml:space="preserve"> </w:t>
      </w:r>
      <w:r>
        <w:rPr>
          <w:i/>
          <w:iCs/>
        </w:rPr>
        <w:t xml:space="preserve">(i)</w:t>
      </w:r>
      <m:oMath>
        <m:r>
          <m:rPr>
            <m:sty m:val="p"/>
          </m:rPr>
          <m:t>⇒</m:t>
        </m:r>
      </m:oMath>
      <w:r>
        <w:rPr>
          <w:i/>
          <w:iCs/>
        </w:rPr>
        <w:t xml:space="preserve">(ii)</w:t>
      </w:r>
      <w:r>
        <w:rPr>
          <w:i/>
          <w:iCs/>
        </w:rPr>
        <w:t xml:space="preserve"> </w:t>
      </w:r>
      <w:r>
        <w:rPr>
          <w:i/>
          <w:iCs/>
        </w:rPr>
        <w:t xml:space="preserve">needs neither finiteness nor further regularity, and is the</w:t>
      </w:r>
      <w:r>
        <w:rPr>
          <w:i/>
          <w:iCs/>
        </w:rPr>
        <w:t xml:space="preserve"> </w:t>
      </w:r>
      <w:r>
        <w:rPr>
          <w:i/>
          <w:iCs/>
        </w:rPr>
        <w:t xml:space="preserve">only direction Corollary 1 and Lemma 2 use):</w:t>
      </w:r>
    </w:p>
    <w:p>
      <w:pPr>
        <w:numPr>
          <w:ilvl w:val="0"/>
          <w:numId w:val="1003"/>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3"/>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1"/>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two directions are not on the same footing and we separate them.</w:t>
      </w:r>
      <w:r>
        <w:t xml:space="preserve"> </w:t>
      </w:r>
      <w:r>
        <w:t xml:space="preserve">(i)</w:t>
      </w:r>
      <m:oMath>
        <m:r>
          <m:rPr>
            <m:sty m:val="p"/>
          </m:rPr>
          <m:t>⇒</m:t>
        </m:r>
      </m:oMath>
      <w:r>
        <w:t xml:space="preserve">(ii)</w:t>
      </w:r>
      <w:r>
        <w:t xml:space="preserve"> </w:t>
      </w:r>
      <w:r>
        <w:t xml:space="preserve">holds for arbitrary</w:t>
      </w:r>
      <w:r>
        <w:t xml:space="preserve"> </w:t>
      </w:r>
      <m:oMath>
        <m:r>
          <m:rPr>
            <m:scr m:val="script"/>
            <m:sty m:val="p"/>
          </m:rPr>
          <m:t>S</m:t>
        </m:r>
      </m:oMath>
      <w:r>
        <w:t xml:space="preserve"> </w:t>
      </w:r>
      <w:r>
        <w:t xml:space="preserve">with no further regularity, by</w:t>
      </w:r>
      <w:r>
        <w:t xml:space="preserve"> </w:t>
      </w:r>
      <w:r>
        <w:t xml:space="preserve">simulating the garbling, and it is the only direction Corollary 1 and</w:t>
      </w:r>
      <w:r>
        <w:t xml:space="preserve"> </w:t>
      </w:r>
      <w:r>
        <w:t xml:space="preserve">Lemma 2 use. We invoke the converse</w:t>
      </w:r>
      <w:r>
        <w:t xml:space="preserve"> </w:t>
      </w:r>
      <w:r>
        <w:t xml:space="preserve">(ii)</w:t>
      </w:r>
      <m:oMath>
        <m:r>
          <m:rPr>
            <m:sty m:val="p"/>
          </m:rPr>
          <m:t>⇒</m:t>
        </m:r>
      </m:oMath>
      <w:r>
        <w:t xml:space="preserve">(i)</w:t>
      </w:r>
      <w:r>
        <w:t xml:space="preserve"> </w:t>
      </w:r>
      <w:r>
        <w:t xml:space="preserve">once</w:t>
      </w:r>
      <w:r>
        <w:t xml:space="preserve"> </w:t>
      </w:r>
      <w:r>
        <w:t xml:space="preserve">only, in Theorem 2, and there for a finite state space: that is the case</w:t>
      </w:r>
      <w:r>
        <w:t xml:space="preserve"> </w:t>
      </w:r>
      <w:r>
        <w:t xml:space="preserve">Blackwell (1953)</w:t>
      </w:r>
      <w:r>
        <w:t xml:space="preserve"> </w:t>
      </w:r>
      <w:r>
        <w:t xml:space="preserve">proves and the case our coordinate construction realizes. On a general state</w:t>
      </w:r>
      <w:r>
        <w:t xml:space="preserve"> </w:t>
      </w:r>
      <w:r>
        <w:t xml:space="preserve">space the converse needs the convex closure taken in the definition of more-informativeness, which</w:t>
      </w:r>
      <w:r>
        <w:t xml:space="preserve"> </w:t>
      </w:r>
      <w:r>
        <w:t xml:space="preserve">is where the careful statement lives </w:t>
      </w:r>
      <w:r>
        <w:t xml:space="preserve">(Khan et al. 2025)</w:t>
      </w:r>
      <w:r>
        <w:t xml:space="preserve">.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2"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2"/>
    <w:bookmarkStart w:id="33" w:name="rem:partial"/>
    <w:p>
      <w:pPr>
        <w:pStyle w:val="BodyText"/>
      </w:pPr>
      <w:r>
        <w:rPr>
          <w:i/>
          <w:iCs/>
        </w:rPr>
        <w:t xml:space="preserve">Remark 2</w:t>
      </w:r>
      <w:r>
        <w:t xml:space="preserve"> </w:t>
      </w:r>
      <w:r>
        <w:t xml:space="preserve">(Preorder on kernels;</w:t>
      </w:r>
      <w:r>
        <w:t xml:space="preserve"> </w:t>
      </w:r>
      <w:r>
        <w:t xml:space="preserve">“partial”</w:t>
      </w:r>
      <w:r>
        <w:t xml:space="preserve"> </w:t>
      </w:r>
      <w:r>
        <w:t xml:space="preserve">means not total).</w:t>
      </w:r>
      <w:r>
        <w:t xml:space="preserve"> </w:t>
      </w:r>
      <w:r>
        <w:t xml:space="preserve"> </w:t>
      </w:r>
      <w:r>
        <w:t xml:space="preserve">On the class of all experiments</w:t>
      </w:r>
      <w:r>
        <w:t xml:space="preserve"> </w:t>
      </w:r>
      <m:oMath>
        <m:sSub>
          <m:e>
            <m:r>
              <m:rPr>
                <m:sty m:val="p"/>
              </m:rPr>
              <m:t>≽</m:t>
            </m:r>
          </m:e>
          <m:sub>
            <m:r>
              <m:t>B</m:t>
            </m:r>
          </m:sub>
        </m:sSub>
      </m:oMath>
      <w:r>
        <w:t xml:space="preserve"> </w:t>
      </w:r>
      <w:r>
        <w:t xml:space="preserve">is reflexive and transitive but not antisymmetric, since</w:t>
      </w:r>
      <w:r>
        <w:t xml:space="preserve"> </w:t>
      </w:r>
      <w:r>
        <w:t xml:space="preserve">two experiments can garble each other without being equal, so it is a</w:t>
      </w:r>
      <w:r>
        <w:t xml:space="preserve"> </w:t>
      </w:r>
      <w:r>
        <w:rPr>
          <w:i/>
          <w:iCs/>
        </w:rPr>
        <w:t xml:space="preserve">preorder</w:t>
      </w:r>
      <w:r>
        <w:t xml:space="preserve"> </w:t>
      </w:r>
      <w:r>
        <w:t xml:space="preserve">and the</w:t>
      </w:r>
      <w:r>
        <w:t xml:space="preserve"> </w:t>
      </w:r>
      <w:r>
        <w:t xml:space="preserve">induced partial order lives on Blackwell-equivalence classes </w:t>
      </w:r>
      <w:r>
        <w:t xml:space="preserve">(Blackwell 1953)</w:t>
      </w:r>
      <w:r>
        <w:t xml:space="preserve">. Throughout,</w:t>
      </w:r>
      <w:r>
        <w:t xml:space="preserve"> </w:t>
      </w:r>
      <w:r>
        <w:t xml:space="preserve">“partial”</w:t>
      </w:r>
      <w:r>
        <w:t xml:space="preserve"> </w:t>
      </w:r>
      <w:r>
        <w:t xml:space="preserve">means</w:t>
      </w:r>
      <w:r>
        <w:t xml:space="preserve"> </w:t>
      </w:r>
      <w:r>
        <w:rPr>
          <w:i/>
          <w:iCs/>
        </w:rPr>
        <w:t xml:space="preserve">not total</w:t>
      </w:r>
      <w:r>
        <w:t xml:space="preserve">: there exist experiments</w:t>
      </w:r>
      <w:r>
        <w:t xml:space="preserve"> </w:t>
      </w:r>
      <m:oMath>
        <m:r>
          <m:t>V</m:t>
        </m:r>
        <m:r>
          <m:rPr>
            <m:sty m:val="p"/>
          </m:rPr>
          <m:t>,</m:t>
        </m:r>
        <m:sSup>
          <m:e>
            <m:r>
              <m:t>V</m:t>
            </m:r>
          </m:e>
          <m:sup>
            <m:r>
              <m:rPr>
                <m:sty m:val="p"/>
              </m:rPr>
              <m:t>′</m:t>
            </m:r>
          </m:sup>
        </m:sSup>
      </m:oMath>
      <w:r>
        <w:t xml:space="preserve"> </w:t>
      </w:r>
      <w:r>
        <w:t xml:space="preserve">with neither</w:t>
      </w:r>
      <w:r>
        <w:t xml:space="preserve"> </w:t>
      </w:r>
      <m:oMath>
        <m:r>
          <m:t>V</m:t>
        </m:r>
        <m:sSub>
          <m:e>
            <m:r>
              <m:rPr>
                <m:sty m:val="p"/>
              </m:rPr>
              <m:t>≽</m:t>
            </m:r>
          </m:e>
          <m:sub>
            <m:r>
              <m:t>B</m:t>
            </m:r>
          </m:sub>
        </m:sSub>
        <m:sSup>
          <m:e>
            <m:r>
              <m:t>V</m:t>
            </m:r>
          </m:e>
          <m:sup>
            <m:r>
              <m:rPr>
                <m:sty m:val="p"/>
              </m:rPr>
              <m:t>′</m:t>
            </m:r>
          </m:sup>
        </m:sSup>
      </m:oMath>
      <w:r>
        <w:t xml:space="preserve"> </w:t>
      </w:r>
      <w:r>
        <w:t xml:space="preserve">nor</w:t>
      </w:r>
      <w:r>
        <w:t xml:space="preserve"> </w:t>
      </w:r>
      <m:oMath>
        <m:sSup>
          <m:e>
            <m:r>
              <m:t>V</m:t>
            </m:r>
          </m:e>
          <m:sup>
            <m:r>
              <m:rPr>
                <m:sty m:val="p"/>
              </m:rPr>
              <m:t>′</m:t>
            </m:r>
          </m:sup>
        </m:sSup>
        <m:sSub>
          <m:e>
            <m:r>
              <m:rPr>
                <m:sty m:val="p"/>
              </m:rPr>
              <m:t>≽</m:t>
            </m:r>
          </m:e>
          <m:sub>
            <m:r>
              <m:t>B</m:t>
            </m:r>
          </m:sub>
        </m:sSub>
        <m:r>
          <m:t>V</m:t>
        </m:r>
      </m:oMath>
      <w:r>
        <w:t xml:space="preserve">, and on that class the order is not even a</w:t>
      </w:r>
      <w:r>
        <w:t xml:space="preserve"> </w:t>
      </w:r>
      <w:r>
        <w:t xml:space="preserve">lattice </w:t>
      </w:r>
      <w:r>
        <w:t xml:space="preserve">(Bertschinger and Rauh 2014; Torgersen 1991)</w:t>
      </w:r>
      <w:r>
        <w:t xml:space="preserve">. (The bound variables here are not the</w:t>
      </w:r>
      <w:r>
        <w:t xml:space="preserve"> </w:t>
      </w:r>
      <w:r>
        <w:t xml:space="preserve">paper’s named sources: our own projection family is better behaved, and the next subsection shows</w:t>
      </w:r>
      <w:r>
        <w:t xml:space="preserve"> </w:t>
      </w:r>
      <m:oMath>
        <m:sSub>
          <m:e>
            <m:r>
              <m:rPr>
                <m:sty m:val="p"/>
              </m:rPr>
              <m:t>≽</m:t>
            </m:r>
          </m:e>
          <m:sub>
            <m:r>
              <m:t>B</m:t>
            </m:r>
          </m:sub>
        </m:sSub>
      </m:oMath>
      <w:r>
        <w:t xml:space="preserve"> </w:t>
      </w:r>
      <w:r>
        <w:t xml:space="preserve">is antisymmetric on it with the induced order the Boolean lattice on coordinate sets,</w:t>
      </w:r>
      <w:r>
        <w:t xml:space="preserve"> </w:t>
      </w:r>
      <w:r>
        <w:t xml:space="preserve">Lemma 1(a).) Incomparability survives on that family and is exactly the regime our</w:t>
      </w:r>
      <w:r>
        <w:t xml:space="preserve"> </w:t>
      </w:r>
      <w:r>
        <w:t xml:space="preserve">experiments target. One caution for what follows:</w:t>
      </w:r>
      <w:r>
        <w:t xml:space="preserve"> </w:t>
      </w:r>
      <m:oMath>
        <m:sSub>
          <m:e>
            <m:r>
              <m:rPr>
                <m:sty m:val="p"/>
              </m:rPr>
              <m:t>P</m:t>
            </m:r>
            <m:r>
              <m:rPr>
                <m:sty m:val="p"/>
              </m:rPr>
              <m:t>A</m:t>
            </m:r>
            <m:r>
              <m:rPr>
                <m:sty m:val="p"/>
              </m:rPr>
              <m:t>S</m:t>
            </m:r>
            <m:r>
              <m:rPr>
                <m:sty m:val="p"/>
              </m:rPr>
              <m:t>S</m:t>
            </m:r>
          </m:e>
          <m:sub>
            <m:r>
              <m:t>M</m:t>
            </m:r>
          </m:sub>
        </m:sSub>
      </m:oMath>
      <w:r>
        <w:t xml:space="preserve"> </w:t>
      </w:r>
      <w:r>
        <w:t xml:space="preserve">is</w:t>
      </w:r>
      <w:r>
        <w:t xml:space="preserve"> </w:t>
      </w:r>
      <w:r>
        <w:rPr>
          <w:i/>
          <w:iCs/>
        </w:rPr>
        <w:t xml:space="preserve">not</w:t>
      </w:r>
      <w:r>
        <w:t xml:space="preserve"> </w:t>
      </w:r>
      <w:r>
        <w:t xml:space="preserve">an invariant of a</w:t>
      </w:r>
      <w:r>
        <w:t xml:space="preserve"> </w:t>
      </w:r>
      <w:r>
        <w:t xml:space="preserve">Blackwell-equivalence class, and it need not be: a rule keyed to surface form can prefer</w:t>
      </w:r>
      <w:r>
        <w:t xml:space="preserve"> </w:t>
      </w:r>
      <w:r>
        <w:t xml:space="preserve">differently between two experiments that garble each other. The padding arm</w:t>
      </w:r>
      <w:r>
        <w:t xml:space="preserve"> </w:t>
      </w:r>
      <m:oMath>
        <m:sSub>
          <m:e>
            <m:r>
              <m:t>W</m:t>
            </m:r>
          </m:e>
          <m:sub>
            <m:r>
              <m:rPr>
                <m:sty m:val="p"/>
              </m:rPr>
              <m:t>p</m:t>
            </m:r>
            <m:r>
              <m:rPr>
                <m:sty m:val="p"/>
              </m:rPr>
              <m:t>a</m:t>
            </m:r>
            <m:r>
              <m:rPr>
                <m:sty m:val="p"/>
              </m:rPr>
              <m:t>d</m:t>
            </m:r>
          </m:sub>
        </m:sSub>
      </m:oMath>
      <w:r>
        <w:t xml:space="preserve"> </w:t>
      </w:r>
      <w:r>
        <w:t xml:space="preserve">of Appendix B reveals no coordinate any verifier checks, so it</w:t>
      </w:r>
      <w:r>
        <w:t xml:space="preserve"> </w:t>
      </w:r>
      <w:r>
        <w:t xml:space="preserve">is Blackwell-equivalent to</w:t>
      </w:r>
      <w:r>
        <w:t xml:space="preserve"> </w:t>
      </w:r>
      <m:oMath>
        <m:sSub>
          <m:e>
            <m:r>
              <m:t>W</m:t>
            </m:r>
          </m:e>
          <m:sub>
            <m:r>
              <m:t>1</m:t>
            </m:r>
          </m:sub>
        </m:sSub>
      </m:oMath>
      <w:r>
        <w:t xml:space="preserve">, and the two score</w:t>
      </w:r>
      <w:r>
        <w:t xml:space="preserve"> </w:t>
      </w:r>
      <m:oMath>
        <m:r>
          <m:t>65</m:t>
        </m:r>
        <m:r>
          <m:rPr>
            <m:sty m:val="p"/>
          </m:rPr>
          <m:t>%</m:t>
        </m:r>
      </m:oMath>
      <w:r>
        <w:t xml:space="preserve"> </w:t>
      </w:r>
      <w:r>
        <w:t xml:space="preserve">against</w:t>
      </w:r>
      <w:r>
        <w:t xml:space="preserve"> </w:t>
      </w:r>
      <m:oMath>
        <m:r>
          <m:t>50</m:t>
        </m:r>
        <m:r>
          <m:rPr>
            <m:sty m:val="p"/>
          </m:rPr>
          <m:t>%</m:t>
        </m:r>
      </m:oMath>
      <w:r>
        <w:t xml:space="preserve"> </w:t>
      </w:r>
      <w:r>
        <w:t xml:space="preserve">on</w:t>
      </w:r>
      <w:r>
        <w:t xml:space="preserve"> </w:t>
      </w:r>
      <w:r>
        <w:rPr>
          <w:rStyle w:val="VerbatimChar"/>
        </w:rPr>
        <w:t xml:space="preserve">api_post_ok</w:t>
      </w:r>
      <w:r>
        <w:t xml:space="preserve">. That gap is a point estimate, not a verified separation: at</w:t>
      </w:r>
      <w:r>
        <w:t xml:space="preserve"> </w:t>
      </w:r>
      <m:oMath>
        <m:r>
          <m:t>n</m:t>
        </m:r>
        <m:r>
          <m:rPr>
            <m:sty m:val="p"/>
          </m:rPr>
          <m:t>=</m:t>
        </m:r>
        <m:r>
          <m:t>40</m:t>
        </m:r>
      </m:oMath>
      <w:r>
        <w:t xml:space="preserve"> </w:t>
      </w:r>
      <w:r>
        <w:t xml:space="preserve">the</w:t>
      </w:r>
      <w:r>
        <w:t xml:space="preserve"> </w:t>
      </w:r>
      <w:r>
        <w:t xml:space="preserve">exact</w:t>
      </w:r>
      <w:r>
        <w:t xml:space="preserve"> </w:t>
      </w:r>
      <m:oMath>
        <m:r>
          <m:t>95</m:t>
        </m:r>
        <m:r>
          <m:rPr>
            <m:sty m:val="p"/>
          </m:rPr>
          <m:t>%</m:t>
        </m:r>
      </m:oMath>
      <w:r>
        <w:t xml:space="preserve"> </w:t>
      </w:r>
      <w:r>
        <w:t xml:space="preserve">intervals,</w:t>
      </w:r>
      <w:r>
        <w:t xml:space="preserve"> </w:t>
      </w:r>
      <m:oMath>
        <m:r>
          <m:rPr>
            <m:sty m:val="p"/>
          </m:rPr>
          <m:t>[</m:t>
        </m:r>
        <m:r>
          <m:t>0.48</m:t>
        </m:r>
        <m:r>
          <m:rPr>
            <m:sty m:val="p"/>
          </m:rPr>
          <m:t>,</m:t>
        </m:r>
        <m:r>
          <m:t>0.79</m:t>
        </m:r>
        <m:r>
          <m:rPr>
            <m:sty m:val="p"/>
          </m:rPr>
          <m:t>]</m:t>
        </m:r>
      </m:oMath>
      <w:r>
        <w:t xml:space="preserve"> </w:t>
      </w:r>
      <w:r>
        <w:t xml:space="preserve">and</w:t>
      </w:r>
      <w:r>
        <w:t xml:space="preserve"> </w:t>
      </w:r>
      <m:oMath>
        <m:r>
          <m:rPr>
            <m:sty m:val="p"/>
          </m:rPr>
          <m:t>[</m:t>
        </m:r>
        <m:r>
          <m:t>0.34</m:t>
        </m:r>
        <m:r>
          <m:rPr>
            <m:sty m:val="p"/>
          </m:rPr>
          <m:t>,</m:t>
        </m:r>
        <m:r>
          <m:t>0.66</m:t>
        </m:r>
        <m:r>
          <m:rPr>
            <m:sty m:val="p"/>
          </m:rPr>
          <m:t>]</m:t>
        </m:r>
      </m:oMath>
      <w:r>
        <w:t xml:space="preserve">, overlap. The pair illustrates the</w:t>
      </w:r>
      <w:r>
        <w:t xml:space="preserve"> </w:t>
      </w:r>
      <w:r>
        <w:t xml:space="preserve">possibility rather than certifying an instance of it. Either way the</w:t>
      </w:r>
      <w:r>
        <w:t xml:space="preserve"> </w:t>
      </w:r>
      <m:oMath>
        <m:sSub>
          <m:e>
            <m:r>
              <m:t>δ</m:t>
            </m:r>
          </m:e>
          <m:sub>
            <m:r>
              <m:t>M</m:t>
            </m:r>
          </m:sub>
        </m:sSub>
      </m:oMath>
      <w:r>
        <w:t xml:space="preserve">-restricted order of §4.3 is not read on the quotient.</w:t>
      </w:r>
    </w:p>
    <w:bookmarkEnd w:id="33"/>
    <w:bookmarkEnd w:id="34"/>
    <w:bookmarkStart w:id="36"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5"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4"/>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4"/>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5"/>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36"/>
    <w:bookmarkStart w:id="40"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37"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37"/>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38"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5"/>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w:t>
      </w:r>
      <w:r>
        <w:rPr>
          <w:i/>
          <w:i/>
          <w:iCs/>
          <w:iCs/>
        </w:rPr>
        <w:t xml:space="preserve">sufficiency of the informed source</w:t>
      </w:r>
      <w:r>
        <w:rPr>
          <w:i/>
          <w:iCs/>
        </w:rPr>
        <w:t xml:space="preserv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measured crossover</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w:t>
      </w:r>
      <w:r>
        <w:rPr>
          <w:i/>
          <w:iCs/>
        </w:rPr>
        <w:t xml:space="preserve">is the falsifiable signature of that separation and is what</w:t>
      </w:r>
      <w:r>
        <w:rPr>
          <w:i/>
          <w:iCs/>
        </w:rPr>
        <w:t xml:space="preserve"> </w:t>
      </w:r>
      <w:r>
        <w:rPr>
          <w:i/>
          <w:iCs/>
        </w:rPr>
        <w:t xml:space="preserve">§7 verifies per cell;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it is evidence for the hypothesis rather than a bound on</w:t>
      </w:r>
      <w:r>
        <w:rPr>
          <w:i/>
          <w:iCs/>
        </w:rPr>
        <w:t xml:space="preserve"> </w:t>
      </w:r>
      <m:oMath>
        <m:sSup>
          <m:e>
            <m:r>
              <m:t>V</m:t>
            </m:r>
          </m:e>
          <m:sup>
            <m:r>
              <m:rPr>
                <m:sty m:val="p"/>
              </m:rPr>
              <m:t>⋆</m:t>
            </m:r>
          </m:sup>
        </m:sSup>
      </m:oMath>
      <w:r>
        <w:rPr>
          <w:i/>
          <w:iCs/>
        </w:rPr>
        <w:t xml:space="preserve"> </w:t>
      </w:r>
      <w:r>
        <w:rPr>
          <w:i/>
          <w:iCs/>
        </w:rPr>
        <w:t xml:space="preserve">(Remark 1).</w:t>
      </w:r>
    </w:p>
    <w:p>
      <w:pPr>
        <w:numPr>
          <w:ilvl w:val="0"/>
          <w:numId w:val="1005"/>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Neither hypothesis of</w:t>
      </w:r>
      <w:r>
        <w:rPr>
          <w:i/>
          <w:iCs/>
        </w:rPr>
        <w:t xml:space="preserve"> </w:t>
      </w:r>
      <w:r>
        <w:rPr>
          <w:i/>
          <w:iCs/>
        </w:rPr>
        <w:t xml:space="preserve">(a)</w:t>
      </w:r>
      <w:r>
        <w:rPr>
          <w:i/>
          <w:iCs/>
        </w:rPr>
        <w:t xml:space="preserve">, separation or the caps, can be dropped</w:t>
      </w:r>
      <w:r>
        <w:rPr>
          <w:i/>
          <w:iCs/>
        </w:rPr>
        <w:t xml:space="preserve"> </w:t>
      </w:r>
      <w:r>
        <w:rPr>
          <w:i/>
          <w:i/>
          <w:iCs/>
          <w:iCs/>
        </w:rPr>
        <w:t xml:space="preserve">from this</w:t>
      </w:r>
      <w:r>
        <w:rPr>
          <w:i/>
          <w:i/>
          <w:iCs/>
          <w:iCs/>
        </w:rPr>
        <w:t xml:space="preserve"> </w:t>
      </w:r>
      <w:r>
        <w:rPr>
          <w:i/>
          <w:i/>
          <w:iCs/>
          <w:iCs/>
        </w:rPr>
        <w:t xml:space="preserve">criterion</w:t>
      </w:r>
      <w:r>
        <w:rPr>
          <w:i/>
          <w:iCs/>
        </w:rPr>
        <w:t xml:space="preserve">. They are not preconditions of structural incomparability as such: for the sources</w:t>
      </w:r>
      <w:r>
        <w:rPr>
          <w:i/>
          <w:iCs/>
        </w:rPr>
        <w:t xml:space="preserve"> </w:t>
      </w:r>
      <w:r>
        <w:rPr>
          <w:i/>
          <w:iCs/>
        </w:rPr>
        <w:t xml:space="preserve">this paper measures, Lemma 1 already separates</w:t>
      </w:r>
      <w:r>
        <w:rPr>
          <w:i/>
          <w:iCs/>
        </w:rPr>
        <w:t xml:space="preserve"> </w:t>
      </w:r>
      <m:oMath>
        <m:sSub>
          <m:e>
            <m:r>
              <m:t>W</m:t>
            </m:r>
          </m:e>
          <m:sub>
            <m:r>
              <m:t>1</m:t>
            </m:r>
          </m:sub>
        </m:sSub>
      </m:oMath>
      <w:r>
        <w:rPr>
          <w:i/>
          <w:iCs/>
        </w:rPr>
        <w:t xml:space="preserve"> </w:t>
      </w:r>
      <w:r>
        <w:rPr>
          <w:i/>
          <w:iCs/>
        </w:rPr>
        <w:t xml:space="preserve">from</w:t>
      </w:r>
      <w:r>
        <w:rPr>
          <w:i/>
          <w:iCs/>
        </w:rPr>
        <w:t xml:space="preserve"> </w:t>
      </w:r>
      <m:oMath>
        <m:sSub>
          <m:e>
            <m:r>
              <m:t>W</m:t>
            </m:r>
          </m:e>
          <m:sub>
            <m:r>
              <m:t>2</m:t>
            </m:r>
          </m:sub>
        </m:sSub>
      </m:oMath>
      <w:r>
        <w:rPr>
          <w:i/>
          <w:iCs/>
        </w:rPr>
        <w:t xml:space="preserve"> </w:t>
      </w:r>
      <w:r>
        <w:rPr>
          <w:i/>
          <w:iCs/>
        </w:rPr>
        <w:t xml:space="preserve">by coordinate</w:t>
      </w:r>
      <w:r>
        <w:rPr>
          <w:i/>
          <w:iCs/>
        </w:rPr>
        <w:t xml:space="preserve"> </w:t>
      </w:r>
      <w:r>
        <w:rPr>
          <w:i/>
          <w:iCs/>
        </w:rPr>
        <w:t xml:space="preserve">non-refinement, with no caps at all. Lemma 2</w:t>
      </w:r>
      <w:r>
        <w:rPr>
          <w:i/>
          <w:iCs/>
        </w:rPr>
        <w:t xml:space="preserve">(a)</w:t>
      </w:r>
      <w:r>
        <w:rPr>
          <w:i/>
          <w:iCs/>
        </w:rPr>
        <w:t xml:space="preserve"> </w:t>
      </w:r>
      <w:r>
        <w:rPr>
          <w:i/>
          <w:iCs/>
        </w:rPr>
        <w:t xml:space="preserve">is a different route to</w:t>
      </w:r>
      <w:r>
        <w:rPr>
          <w:i/>
          <w:iCs/>
        </w:rPr>
        <w:t xml:space="preserve"> </w:t>
      </w:r>
      <w:r>
        <w:rPr>
          <w:i/>
          <w:iCs/>
        </w:rPr>
        <w:t xml:space="preserve">the same conclusion</w:t>
      </w:r>
      <w:r>
        <w:rPr>
          <w:i/>
          <w:iCs/>
        </w:rPr>
        <w:t xml:space="preserve"> </w:t>
      </w:r>
      <w:r>
        <w:rPr>
          <w:i/>
          <w:i/>
          <w:iCs/>
          <w:iCs/>
        </w:rPr>
        <w:t xml:space="preserve">within the same projection setting</w:t>
      </w:r>
      <w:r>
        <w:rPr>
          <w:i/>
          <w:iCs/>
        </w:rPr>
        <w:t xml:space="preserve">: it argues from Bayes values rather</w:t>
      </w:r>
      <w:r>
        <w:rPr>
          <w:i/>
          <w:iCs/>
        </w:rPr>
        <w:t xml:space="preserve"> </w:t>
      </w:r>
      <w:r>
        <w:rPr>
          <w:i/>
          <w:iCs/>
        </w:rPr>
        <w:t xml:space="preserve">than from</w:t>
      </w:r>
      <w:r>
        <w:rPr>
          <w:i/>
          <w:iCs/>
        </w:rPr>
        <w:t xml:space="preserve"> </w:t>
      </w:r>
      <m:oMath>
        <m:r>
          <m:t>σ</m:t>
        </m:r>
      </m:oMath>
      <w:r>
        <w:rPr>
          <w:i/>
          <w:iCs/>
        </w:rPr>
        <w:t xml:space="preserve">-algebras, and the caps are what that argument costs. It is not a generalization</w:t>
      </w:r>
      <w:r>
        <w:rPr>
          <w:i/>
          <w:iCs/>
        </w:rPr>
        <w:t xml:space="preserve"> </w:t>
      </w:r>
      <w:r>
        <w:rPr>
          <w:i/>
          <w:iCs/>
        </w:rPr>
        <w:t xml:space="preserve">to arbitrary sources; a criterion for those would be a separate statement we do not prove. What the caps do here is show why a</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alone proves nothing:</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 cells,</w:t>
      </w:r>
      <w:r>
        <w:rPr>
          <w:i/>
          <w:iCs/>
        </w:rPr>
        <w:t xml:space="preserve"> </w:t>
      </w:r>
      <m:oMath>
        <m:sSub>
          <m:e>
            <m:r>
              <m:t>W</m:t>
            </m:r>
          </m:e>
          <m:sub>
            <m:r>
              <m:t>1</m:t>
            </m:r>
            <m:r>
              <m:rPr>
                <m:sty m:val="p"/>
              </m:rPr>
              <m:t>+</m:t>
            </m:r>
          </m:sub>
        </m:sSub>
      </m:oMath>
      <w:r>
        <w:rPr>
          <w:i/>
          <w:iCs/>
        </w:rPr>
        <w:t xml:space="preserve"> </w:t>
      </w:r>
      <w:r>
        <w:rPr>
          <w:i/>
          <w:iCs/>
        </w:rPr>
        <w:t xml:space="preserve">the encoding cell) yet strictly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the superset revealing one further independent non-degenerate coordinate),</w:t>
      </w:r>
      <w:r>
        <w:rPr>
          <w:i/>
          <w:iCs/>
        </w:rPr>
        <w:t xml:space="preserve"> </w:t>
      </w:r>
      <w:r>
        <w:rPr>
          <w:i/>
          <w:iCs/>
        </w:rPr>
        <w:t xml:space="preserve">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w:t>
      </w:r>
      <w:r>
        <w:rPr>
          <w:i/>
          <w:iCs/>
        </w:rPr>
        <w:t xml:space="preserve"> </w:t>
      </w:r>
      <w:r>
        <w:rPr>
          <w:i/>
          <w:iCs/>
        </w:rPr>
        <w:t xml:space="preserve">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 neither</w:t>
      </w:r>
      <w:r>
        <w:rPr>
          <w:i/>
          <w:iCs/>
        </w:rPr>
        <w:t xml:space="preserve"> </w:t>
      </w:r>
      <w:r>
        <w:rPr>
          <w:i/>
          <w:iCs/>
        </w:rPr>
        <w:t xml:space="preserve">premise verified, certifies nothing structural in</w:t>
      </w:r>
      <w:r>
        <w:rPr>
          <w:i/>
          <w:iCs/>
        </w:rPr>
        <w:t xml:space="preserve"> </w:t>
      </w:r>
      <w:r>
        <w:rPr>
          <w:i/>
          <w:i/>
          <w:iCs/>
          <w:iCs/>
        </w:rPr>
        <w:t xml:space="preserve">either</w:t>
      </w:r>
      <w:r>
        <w:rPr>
          <w:i/>
          <w:iCs/>
        </w:rPr>
        <w:t xml:space="preserve"> </w:t>
      </w:r>
      <w:r>
        <w:rPr>
          <w:i/>
          <w:iCs/>
        </w:rPr>
        <w:t xml:space="preserve">direction. It is equally</w:t>
      </w:r>
      <w:r>
        <w:rPr>
          <w:i/>
          <w:iCs/>
        </w:rPr>
        <w:t xml:space="preserve"> </w:t>
      </w:r>
      <w:r>
        <w:rPr>
          <w:i/>
          <w:iCs/>
        </w:rPr>
        <w:t xml:space="preserve">consistent with genuine incomparability under optimal play (two sources revealing independent</w:t>
      </w:r>
      <w:r>
        <w:rPr>
          <w:i/>
          <w:iCs/>
        </w:rPr>
        <w:t xml:space="preserve"> </w:t>
      </w:r>
      <w:r>
        <w:rPr>
          <w:i/>
          <w:iCs/>
        </w:rPr>
        <w:t xml:space="preserve">coordinates cross even when each side plays optimally) and with a merely incoherent rule</w:t>
      </w:r>
      <w:r>
        <w:rPr>
          <w:i/>
          <w:iCs/>
        </w:rPr>
        <w:t xml:space="preserve"> </w:t>
      </w:r>
      <w:r>
        <w:rPr>
          <w:i/>
          <w:iCs/>
        </w:rPr>
        <w:t xml:space="preserve">(Theorem 3). The two cases should not be run together.</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 a</w:t>
      </w:r>
      <w:r>
        <w:rPr>
          <w:i/>
          <w:iCs/>
        </w:rPr>
        <w:t xml:space="preserve"> </w:t>
      </w:r>
      <w:r>
        <w:rPr>
          <w:i/>
          <w:i/>
          <w:iCs/>
          <w:iCs/>
        </w:rPr>
        <w:t xml:space="preserve">strict comparability</w:t>
      </w:r>
      <w:r>
        <w:rPr>
          <w:i/>
          <w:iCs/>
        </w:rPr>
        <w:t xml:space="preserve"> </w:t>
      </w:r>
      <w:r>
        <w:rPr>
          <w:i/>
          <w:iCs/>
        </w:rPr>
        <w:t xml:space="preserve">whose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preferences nonetheless oppose; the distinct</w:t>
      </w:r>
      <w:r>
        <w:rPr>
          <w:i/>
          <w:iCs/>
        </w:rPr>
        <w:t xml:space="preserve"> </w:t>
      </w:r>
      <w:r>
        <w:rPr>
          <w:i/>
          <w:iCs/>
        </w:rPr>
        <w:t xml:space="preserve">phenomenon of a rule preferring differently between two</w:t>
      </w:r>
      <w:r>
        <w:rPr>
          <w:i/>
          <w:iCs/>
        </w:rPr>
        <w:t xml:space="preserve"> </w:t>
      </w:r>
      <w:r>
        <w:rPr>
          <w:i/>
          <w:i/>
          <w:iCs/>
          <w:iCs/>
        </w:rPr>
        <w:t xml:space="preserve">equivalent</w:t>
      </w:r>
      <w:r>
        <w:rPr>
          <w:i/>
          <w:iCs/>
        </w:rPr>
        <w:t xml:space="preserve"> </w:t>
      </w:r>
      <w:r>
        <w:rPr>
          <w:i/>
          <w:iCs/>
        </w:rPr>
        <w:t xml:space="preserve">experiments is</w:t>
      </w:r>
      <w:r>
        <w:rPr>
          <w:i/>
          <w:iCs/>
        </w:rPr>
        <w:t xml:space="preserve"> </w:t>
      </w:r>
      <w:r>
        <w:rPr>
          <w:i/>
          <w:iCs/>
        </w:rPr>
        <w:t xml:space="preserve">illustrated by the padding pair</w:t>
      </w:r>
      <w:r>
        <w:rPr>
          <w:i/>
          <w:iCs/>
        </w:rP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rPr>
          <w:i/>
          <w:iCs/>
        </w:rPr>
        <w:t xml:space="preserve">, where the added block carries no</w:t>
      </w:r>
      <w:r>
        <w:rPr>
          <w:i/>
          <w:iCs/>
        </w:rPr>
        <w:t xml:space="preserve"> </w:t>
      </w:r>
      <w:r>
        <w:rPr>
          <w:i/>
          <w:iCs/>
        </w:rPr>
        <w:t xml:space="preserve">coordinate any verifier reads (Remark 2). That a representation-sensitive decoder</w:t>
      </w:r>
      <w:r>
        <w:rPr>
          <w:i/>
          <w:iCs/>
        </w:rPr>
        <w:t xml:space="preserve"> </w:t>
      </w:r>
      <w:r>
        <w:rPr>
          <w:i/>
          <w:i/>
          <w:iCs/>
          <w:iCs/>
        </w:rPr>
        <w:t xml:space="preserve">can</w:t>
      </w:r>
      <w:r>
        <w:rPr>
          <w:i/>
          <w:iCs/>
        </w:rPr>
        <w:t xml:space="preserve"> </w:t>
      </w:r>
      <w:r>
        <w:rPr>
          <w:i/>
          <w:iCs/>
        </w:rPr>
        <w:t xml:space="preserve">do this in general is a structural observation, not something our single measured</w:t>
      </w:r>
      <w:r>
        <w:rPr>
          <w:i/>
          <w:iCs/>
        </w:rPr>
        <w:t xml:space="preserve"> </w:t>
      </w:r>
      <w:r>
        <w:rPr>
          <w:i/>
          <w:iCs/>
        </w:rPr>
        <w:t xml:space="preserve">difference certifies. Nor is the projection construction</w:t>
      </w:r>
      <w:r>
        <w:rPr>
          <w:i/>
          <w:iCs/>
        </w:rPr>
        <w:t xml:space="preserve"> </w:t>
      </w:r>
      <w:r>
        <w:rPr>
          <w:i/>
          <w:i/>
          <w:iCs/>
          <w:iCs/>
        </w:rPr>
        <w:t xml:space="preserve">necessary</w:t>
      </w:r>
      <w:r>
        <w:rPr>
          <w:i/>
          <w:iCs/>
        </w:rPr>
        <w:t xml:space="preserve"> </w:t>
      </w:r>
      <w:r>
        <w:rPr>
          <w:i/>
          <w:iCs/>
        </w:rPr>
        <w:t xml:space="preserve">for</w:t>
      </w:r>
      <w:r>
        <w:rPr>
          <w:i/>
          <w:iCs/>
        </w:rPr>
        <w:t xml:space="preserve"> </w:t>
      </w:r>
      <w:r>
        <w:rPr>
          <w:i/>
          <w:iCs/>
        </w:rPr>
        <w:t xml:space="preserve">incomparability: it is the cleanest sufficient condition we know, and the one our sources</w:t>
      </w:r>
      <w:r>
        <w:rPr>
          <w:i/>
          <w:iCs/>
        </w:rPr>
        <w:t xml:space="preserve"> </w:t>
      </w:r>
      <w:r>
        <w:rPr>
          <w:i/>
          <w:iCs/>
        </w:rPr>
        <w:t xml:space="preserve">realize.</w:t>
      </w:r>
    </w:p>
    <w:bookmarkEnd w:id="38"/>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39" w:name="ass:attain"/>
    <w:p>
      <w:pPr>
        <w:pStyle w:val="BodyText"/>
      </w:pPr>
      <w:r>
        <w:rPr>
          <w:b/>
          <w:bCs/>
        </w:rPr>
        <w:t xml:space="preserve">Assumption 1</w:t>
      </w:r>
      <w:r>
        <w:t xml:space="preserve"> </w:t>
      </w:r>
      <w:r>
        <w:t xml:space="preserve">(Realized cross-advantage on the witnessing task pair).</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Despite the historical name we keep for</w:t>
      </w:r>
      <w:r>
        <w:t xml:space="preserve"> </w:t>
      </w:r>
      <w:r>
        <w:t xml:space="preserve">the label, the condition is a statement about</w:t>
      </w:r>
      <w:r>
        <w:t xml:space="preserve"> </w:t>
      </w:r>
      <w:r>
        <w:rPr>
          <w:i/>
          <w:iCs/>
        </w:rPr>
        <w:t xml:space="preserve">realized</w:t>
      </w:r>
      <w:r>
        <w:t xml:space="preserve"> </w:t>
      </w:r>
      <w:r>
        <w:t xml:space="preserve">pass rates only: it asserts nothing</w:t>
      </w:r>
      <w:r>
        <w:t xml:space="preserve"> </w:t>
      </w:r>
      <w:r>
        <w:t xml:space="preserve">about the supremum in (3) being attained, and no design can compel a model to satisfy</w:t>
      </w:r>
      <w:r>
        <w:t xml:space="preserve"> </w:t>
      </w:r>
      <w:r>
        <w:t xml:space="preserve">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39"/>
    <w:p>
      <w:pPr>
        <w:pStyle w:val="BodyText"/>
      </w:pPr>
      <w:r>
        <w:t xml:space="preserve">It is worth fixing what each formal object does, since they are easy to run together.</w:t>
      </w:r>
      <w:r>
        <w:t xml:space="preserve"> </w:t>
      </w:r>
      <w:r>
        <w:t xml:space="preserve">Lemma 1 establishes structural incomparability for the specified projection</w:t>
      </w:r>
      <w:r>
        <w:t xml:space="preserve"> </w:t>
      </w:r>
      <w:r>
        <w:t xml:space="preserve">sources, and needs no prior, no caps and no measurement. Lemma 2 gives a</w:t>
      </w:r>
      <w:r>
        <w:t xml:space="preserve"> </w:t>
      </w:r>
      <w:r>
        <w:rPr>
          <w:i/>
          <w:iCs/>
        </w:rPr>
        <w:t xml:space="preserve">conditional</w:t>
      </w:r>
      <w:r>
        <w:t xml:space="preserve"> </w:t>
      </w:r>
      <w:r>
        <w:t xml:space="preserve">Bayes-value separation criterion for a pair not handed to us that way, and</w:t>
      </w:r>
      <w:r>
        <w:t xml:space="preserve"> </w:t>
      </w:r>
      <w:r>
        <w:t xml:space="preserve">clarifies why a fixed-decoder crossover alone is insufficient; its guessing caps are assumptions,</w:t>
      </w:r>
      <w:r>
        <w:t xml:space="preserve"> </w:t>
      </w:r>
      <w:r>
        <w:t xml:space="preserve">never estimates recovered from the observed state-conditional</w:t>
      </w:r>
      <w:r>
        <w:t xml:space="preserve"> </w:t>
      </w:r>
      <m:oMath>
        <m:sSub>
          <m:e>
            <m:r>
              <m:rPr>
                <m:sty m:val="p"/>
              </m:rPr>
              <m:t>P</m:t>
            </m:r>
            <m:r>
              <m:rPr>
                <m:sty m:val="p"/>
              </m:rPr>
              <m:t>A</m:t>
            </m:r>
            <m:r>
              <m:rPr>
                <m:sty m:val="p"/>
              </m:rPr>
              <m:t>S</m:t>
            </m:r>
            <m:r>
              <m:rPr>
                <m:sty m:val="p"/>
              </m:rPr>
              <m:t>S</m:t>
            </m:r>
          </m:e>
          <m:sub>
            <m:r>
              <m:t>M</m:t>
            </m:r>
          </m:sub>
        </m:sSub>
      </m:oMath>
      <w:r>
        <w:t xml:space="preserve"> </w:t>
      </w:r>
      <w:r>
        <w:t xml:space="preserve">rates.</w:t>
      </w:r>
      <w:r>
        <w:t xml:space="preserve"> </w:t>
      </w:r>
      <w:r>
        <w:t xml:space="preserve">Assumption 1 is a different kind of statement again: it concerns the decoder’s</w:t>
      </w:r>
      <w:r>
        <w:t xml:space="preserve"> </w:t>
      </w:r>
      <w:r>
        <w:t xml:space="preserve">realized cross-advantage on named tasks, which the experiments assess directly. Of the two</w:t>
      </w:r>
      <w:r>
        <w:t xml:space="preserve"> </w:t>
      </w:r>
      <w:r>
        <w:t xml:space="preserve">controls, the superset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 Blackwell-comparable despite opposing</w:t>
      </w:r>
      <w:r>
        <w:t xml:space="preserve"> </w:t>
      </w:r>
      <m:oMath>
        <m:sSub>
          <m:e>
            <m:r>
              <m:rPr>
                <m:sty m:val="p"/>
              </m:rPr>
              <m:t>P</m:t>
            </m:r>
            <m:r>
              <m:rPr>
                <m:sty m:val="p"/>
              </m:rPr>
              <m:t>A</m:t>
            </m:r>
            <m:r>
              <m:rPr>
                <m:sty m:val="p"/>
              </m:rPr>
              <m:t>S</m:t>
            </m:r>
            <m:r>
              <m:rPr>
                <m:sty m:val="p"/>
              </m:rPr>
              <m:t>S</m:t>
            </m:r>
          </m:e>
          <m:sub>
            <m:r>
              <m:t>M</m:t>
            </m:r>
          </m:sub>
        </m:sSub>
      </m:oMath>
      <w:r>
        <w:t xml:space="preserve"> </w:t>
      </w:r>
      <w:r>
        <w:t xml:space="preserve">preferences, while the padding pair</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t>
      </w:r>
      <w:r>
        <w:t xml:space="preserve">illustrates the separate matter of</w:t>
      </w:r>
      <w:r>
        <w:t xml:space="preserve"> </w:t>
      </w:r>
      <w:r>
        <w:t xml:space="preserve">representation dependence</w:t>
      </w:r>
      <w:r>
        <w:t xml:space="preserve"> </w:t>
      </w:r>
      <w:r>
        <w:rPr>
          <w:i/>
          <w:iCs/>
        </w:rPr>
        <w:t xml:space="preserve">within</w:t>
      </w:r>
      <w:r>
        <w:t xml:space="preserve"> </w:t>
      </w:r>
      <w:r>
        <w:t xml:space="preserve">an equivalence class.</w:t>
      </w:r>
    </w:p>
    <w:bookmarkEnd w:id="40"/>
    <w:bookmarkEnd w:id="41"/>
    <w:bookmarkStart w:id="51"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46" w:name="query-independent-scores-the-theorem"/>
    <w:p>
      <w:pPr>
        <w:pStyle w:val="Heading2"/>
      </w:pPr>
      <w:r>
        <w:t xml:space="preserve">Query-independent scores: the theorem</w:t>
      </w:r>
    </w:p>
    <w:bookmarkStart w:id="42"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r>
          <m:rPr>
            <m:scr m:val="script"/>
            <m:sty m:val="p"/>
          </m:rPr>
          <m:t>S</m:t>
        </m:r>
      </m:oMath>
      <w:r>
        <w:rPr>
          <w:i/>
          <w:iCs/>
        </w:rPr>
        <w:t xml:space="preserve"> </w:t>
      </w:r>
      <w:r>
        <w:rPr>
          <w:i/>
          <w:iCs/>
        </w:rPr>
        <w:t xml:space="preserve">be finite and 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(Finiteness is used only to</w:t>
      </w:r>
      <w:r>
        <w:rPr>
          <w:i/>
          <w:iCs/>
        </w:rPr>
        <w:t xml:space="preserve"> </w:t>
      </w:r>
      <w:r>
        <w:rPr>
          <w:i/>
          <w:iCs/>
        </w:rPr>
        <w:t xml:space="preserve">invoke the converse direction of Theorem 1, which turns incomparability into the</w:t>
      </w:r>
      <w:r>
        <w:rPr>
          <w:i/>
          <w:iCs/>
        </w:rPr>
        <w:t xml:space="preserve"> </w:t>
      </w:r>
      <w:r>
        <w:rPr>
          <w:i/>
          <w:iCs/>
        </w:rPr>
        <w:t xml:space="preserve">existence of the witness tasks; it holds for our coordinate construction, and for projection</w:t>
      </w:r>
      <w:r>
        <w:rPr>
          <w:i/>
          <w:iCs/>
        </w:rPr>
        <w:t xml:space="preserve"> </w:t>
      </w:r>
      <w:r>
        <w:rPr>
          <w:i/>
          <w:iCs/>
        </w:rPr>
        <w:t xml:space="preserve">sources the witnesses are exhibited directly in the proof of Lemma 2, so no</w:t>
      </w:r>
      <w:r>
        <w:rPr>
          <w:i/>
          <w:iCs/>
        </w:rPr>
        <w:t xml:space="preserve"> </w:t>
      </w:r>
      <w:r>
        <w:rPr>
          <w:i/>
          <w:iCs/>
        </w:rPr>
        <w:t xml:space="preserve">converse is needed there.)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If</w:t>
      </w:r>
      <w:r>
        <w:rPr>
          <w:i/>
          <w:iCs/>
        </w:rPr>
        <w:t xml:space="preserve"> </w:t>
      </w:r>
      <w:r>
        <w:rPr>
          <w:i/>
          <w:iCs/>
        </w:rPr>
        <w:t xml:space="preserve">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 the</w:t>
      </w:r>
      <w:r>
        <w:rPr>
          <w:i/>
          <w:iCs/>
        </w:rPr>
        <w:t xml:space="preserve"> </w:t>
      </w:r>
      <m:oMath>
        <m:r>
          <m:t>φ</m:t>
        </m:r>
      </m:oMath>
      <w:r>
        <w:rPr>
          <w:i/>
          <w:iCs/>
        </w:rPr>
        <w:t xml:space="preserve">-induced ranking also disagrees with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2"/>
    <w:bookmarkStart w:id="43" w:name="rem:c2scope"/>
    <w:p>
      <w:pPr>
        <w:pStyle w:val="BodyText"/>
      </w:pPr>
      <w:r>
        <w:rPr>
          <w:i/>
          <w:iCs/>
        </w:rPr>
        <w:t xml:space="preserve">Remark 3</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3"/>
    <w:bookmarkStart w:id="44"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4"/>
    <w:bookmarkStart w:id="45"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For mutual information and</w:t>
      </w:r>
      <w:r>
        <w:t xml:space="preserve"> </w:t>
      </w:r>
      <w:r>
        <w:t xml:space="preserve">fixed-prior EIG the analogue is not a conjecture but immediate from data processing, the direction</w:t>
      </w:r>
      <w:r>
        <w:t xml:space="preserve"> </w:t>
      </w:r>
      <w:r>
        <w:t xml:space="preserve">Zheng et al. (2024)</w:t>
      </w:r>
      <w:r>
        <w:t xml:space="preserve"> </w:t>
      </w:r>
      <w:r>
        <w:t xml:space="preserve">use (§2). A</w:t>
      </w:r>
      <w:r>
        <w:t xml:space="preserve"> </w:t>
      </w:r>
      <w:r>
        <w:rPr>
          <w:i/>
          <w:iCs/>
        </w:rPr>
        <w:t xml:space="preserve">fixed</w:t>
      </w:r>
      <w:r>
        <w:t xml:space="preserve"> </w:t>
      </w:r>
      <w:r>
        <w:t xml:space="preserve">decoder’s perplexity-gap is the</w:t>
      </w:r>
      <w:r>
        <w:t xml:space="preserve"> </w:t>
      </w:r>
      <w:r>
        <w:t xml:space="preserve">singleton-family case the previous sentence excludes, so we claim nothing for it.</w:t>
      </w:r>
      <w:r>
        <w:t xml:space="preserve"> </w:t>
      </w:r>
      <w:r>
        <w:t xml:space="preserve">Theorem 2 excludes all of them as per-source scalars regardless, which is the</w:t>
      </w:r>
      <w:r>
        <w:t xml:space="preserve"> </w:t>
      </w:r>
      <w:r>
        <w:t xml:space="preserve">only property this paper needs.</w:t>
      </w:r>
    </w:p>
    <w:bookmarkEnd w:id="45"/>
    <w:bookmarkEnd w:id="46"/>
    <w:bookmarkStart w:id="50"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47"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They are not exhaustive of the topical class, and the conclusion below is stated only</w:t>
      </w:r>
      <w:r>
        <w:rPr>
          <w:i/>
          <w:iCs/>
        </w:rPr>
        <w:t xml:space="preserve"> </w:t>
      </w:r>
      <w:r>
        <w:rPr>
          <w:i/>
          <w:iCs/>
        </w:rPr>
        <w:t xml:space="preserve">for scores meeting one of them.</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no</w:t>
      </w:r>
      <w:r>
        <w:rPr>
          <w:i/>
          <w:iCs/>
        </w:rPr>
        <w:t xml:space="preserve"> </w:t>
      </w:r>
      <w:r>
        <w:rPr>
          <w:i/>
          <w:iCs/>
        </w:rPr>
        <w:t xml:space="preserve">topical score satisfying</w:t>
      </w:r>
      <w:r>
        <w:rPr>
          <w:i/>
          <w:iCs/>
        </w:rPr>
        <w:t xml:space="preserve"> </w:t>
      </w:r>
      <w:r>
        <w:rPr>
          <w:i/>
          <w:iCs/>
        </w:rPr>
        <w:t xml:space="preserve">(a)</w:t>
      </w:r>
      <w:r>
        <w:rPr>
          <w:i/>
          <w:iCs/>
        </w:rPr>
        <w:t xml:space="preserve"> </w:t>
      </w:r>
      <w:r>
        <w:rPr>
          <w:i/>
          <w:iCs/>
        </w:rPr>
        <w:t xml:space="preserve">or</w:t>
      </w:r>
      <w:r>
        <w:rPr>
          <w:i/>
          <w:iCs/>
        </w:rPr>
        <w:t xml:space="preserve"> </w:t>
      </w:r>
      <w:r>
        <w:rPr>
          <w:i/>
          <w:iCs/>
        </w:rPr>
        <w:t xml:space="preserve">(b)</w:t>
      </w:r>
      <w:r>
        <w:rPr>
          <w:i/>
          <w:iCs/>
        </w:rPr>
        <w:t xml:space="preserve"> </w:t>
      </w:r>
      <w:r>
        <w:rPr>
          <w:i/>
          <w:iCs/>
        </w:rPr>
        <w:t xml:space="preserve">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47"/>
    <w:bookmarkStart w:id="48" w:name="rem:trapscope"/>
    <w:p>
      <w:pPr>
        <w:pStyle w:val="BodyText"/>
      </w:pPr>
      <w:r>
        <w:rPr>
          <w:i/>
          <w:iCs/>
        </w:rPr>
        <w:t xml:space="preserve">Remark 5</w:t>
      </w:r>
      <w:r>
        <w:t xml:space="preserve"> </w:t>
      </w:r>
      <w:r>
        <w:t xml:space="preserve">(What Proposition 2 does not exclude).</w:t>
      </w:r>
      <w:r>
        <w:t xml:space="preserve"> </w:t>
      </w:r>
      <w:r>
        <w:t xml:space="preserve"> </w:t>
      </w:r>
      <w:r>
        <w:t xml:space="preserve">Invariance to the decisive coordinate’s</w:t>
      </w:r>
      <w:r>
        <w:t xml:space="preserve"> </w:t>
      </w:r>
      <w:r>
        <w:rPr>
          <w:i/>
          <w:iCs/>
        </w:rPr>
        <w:t xml:space="preserve">value</w:t>
      </w:r>
      <w:r>
        <w:t xml:space="preserve"> </w:t>
      </w:r>
      <w:r>
        <w:t xml:space="preserve">is a weak hypothesis, and hypotheses</w:t>
      </w:r>
      <w:r>
        <w:t xml:space="preserve"> </w:t>
      </w:r>
      <w:r>
        <w:t xml:space="preserve">(a)</w:t>
      </w:r>
      <w:r>
        <w:t xml:space="preserve"> </w:t>
      </w:r>
      <w:r>
        <w:t xml:space="preserve">and</w:t>
      </w:r>
      <w:r>
        <w:t xml:space="preserve"> </w:t>
      </w:r>
      <w:r>
        <w:t xml:space="preserve">(b)</w:t>
      </w:r>
      <w:r>
        <w:t xml:space="preserve"> </w:t>
      </w:r>
      <w:r>
        <w:t xml:space="preserve">do not cover every score satisfying it. A rule reading public</w:t>
      </w:r>
      <w:r>
        <w:t xml:space="preserve"> </w:t>
      </w:r>
      <w:r>
        <w:t xml:space="preserve">metadata can escape while never touching a private value. Let</w:t>
      </w:r>
      <w:r>
        <w:t xml:space="preserve"> </w:t>
      </w:r>
      <m:oMath>
        <m:r>
          <m:t>S</m:t>
        </m:r>
        <m:r>
          <m:rPr>
            <m:sty m:val="p"/>
          </m:rPr>
          <m:t>=</m:t>
        </m:r>
        <m:r>
          <m:rPr>
            <m:sty m:val="p"/>
          </m:rPr>
          <m:t>(</m:t>
        </m:r>
        <m:r>
          <m:t>X</m:t>
        </m:r>
        <m:r>
          <m:rPr>
            <m:sty m:val="p"/>
          </m:rPr>
          <m:t>,</m:t>
        </m:r>
        <m:r>
          <m:t>Y</m:t>
        </m:r>
        <m:r>
          <m:rPr>
            <m:sty m:val="p"/>
          </m:rPr>
          <m:t>)</m:t>
        </m:r>
      </m:oMath>
      <w:r>
        <w:t xml:space="preserve"> </w:t>
      </w:r>
      <w:r>
        <w:t xml:space="preserve">with</w:t>
      </w:r>
      <w:r>
        <w:t xml:space="preserve"> </w:t>
      </w:r>
      <m:oMath>
        <m:r>
          <m:t>X</m:t>
        </m:r>
        <m:r>
          <m:rPr>
            <m:sty m:val="p"/>
          </m:rPr>
          <m:t>,</m:t>
        </m:r>
        <m:r>
          <m:t>Y</m:t>
        </m:r>
      </m:oMath>
      <w:r>
        <w:t xml:space="preserve"> </w:t>
      </w:r>
      <w:r>
        <w:t xml:space="preserve">independent,</w:t>
      </w:r>
      <w:r>
        <w:t xml:space="preserve"> </w:t>
      </w:r>
      <w:r>
        <w:t xml:space="preserve">let</w:t>
      </w:r>
      <w:r>
        <w:t xml:space="preserve"> </w:t>
      </w:r>
      <m:oMath>
        <m:sSub>
          <m:e>
            <m:r>
              <m:t>W</m:t>
            </m:r>
          </m:e>
          <m:sub>
            <m:r>
              <m:rPr>
                <m:sty m:val="p"/>
              </m:rPr>
              <m:t>a</m:t>
            </m:r>
            <m:r>
              <m:rPr>
                <m:sty m:val="p"/>
              </m:rPr>
              <m:t>p</m:t>
            </m:r>
            <m:r>
              <m:rPr>
                <m:sty m:val="p"/>
              </m:rPr>
              <m:t>i</m:t>
            </m:r>
          </m:sub>
        </m:sSub>
      </m:oMath>
      <w:r>
        <w:t xml:space="preserve"> </w:t>
      </w:r>
      <w:r>
        <w:t xml:space="preserve">carry the public label</w:t>
      </w:r>
      <w:r>
        <w:t xml:space="preserve"> </w:t>
      </w:r>
      <w:r>
        <w:rPr>
          <w:rStyle w:val="VerbatimChar"/>
        </w:rPr>
        <w:t xml:space="preserve">api</w:t>
      </w:r>
      <w:r>
        <w:t xml:space="preserve"> </w:t>
      </w:r>
      <w:r>
        <w:t xml:space="preserve">and reveal</w:t>
      </w:r>
      <w:r>
        <w:t xml:space="preserve"> </w:t>
      </w:r>
      <m:oMath>
        <m:r>
          <m:t>X</m:t>
        </m:r>
      </m:oMath>
      <w:r>
        <w:t xml:space="preserve">, let</w:t>
      </w:r>
      <w:r>
        <w:t xml:space="preserve"> </w:t>
      </w:r>
      <m:oMath>
        <m:sSub>
          <m:e>
            <m:r>
              <m:t>W</m:t>
            </m:r>
          </m:e>
          <m:sub>
            <m:r>
              <m:rPr>
                <m:sty m:val="p"/>
              </m:rPr>
              <m:t>w</m:t>
            </m:r>
            <m:r>
              <m:rPr>
                <m:sty m:val="p"/>
              </m:rPr>
              <m:t>i</m:t>
            </m:r>
            <m:r>
              <m:rPr>
                <m:sty m:val="p"/>
              </m:rPr>
              <m:t>r</m:t>
            </m:r>
            <m:r>
              <m:rPr>
                <m:sty m:val="p"/>
              </m:rPr>
              <m:t>e</m:t>
            </m:r>
          </m:sub>
        </m:sSub>
      </m:oMath>
      <w:r>
        <w:t xml:space="preserve"> </w:t>
      </w:r>
      <w:r>
        <w:t xml:space="preserve">carry the public label</w:t>
      </w:r>
      <w:r>
        <w:t xml:space="preserve"> </w:t>
      </w:r>
      <w:r>
        <w:rPr>
          <w:rStyle w:val="VerbatimChar"/>
        </w:rPr>
        <w:t xml:space="preserve">wire</w:t>
      </w:r>
      <w:r>
        <w:t xml:space="preserve"> </w:t>
      </w:r>
      <w:r>
        <w:t xml:space="preserve">and reveal</w:t>
      </w:r>
      <w:r>
        <w:t xml:space="preserve"> </w:t>
      </w:r>
      <m:oMath>
        <m:r>
          <m:t>Y</m:t>
        </m:r>
      </m:oMath>
      <w:r>
        <w:t xml:space="preserve">, and let</w:t>
      </w:r>
      <w:r>
        <w:t xml:space="preserve"> </w:t>
      </w:r>
      <m:oMath>
        <m:sSub>
          <m:e>
            <m:r>
              <m:t>T</m:t>
            </m:r>
          </m:e>
          <m:sub>
            <m:r>
              <m:rPr>
                <m:sty m:val="p"/>
              </m:rPr>
              <m:t>a</m:t>
            </m:r>
            <m:r>
              <m:rPr>
                <m:sty m:val="p"/>
              </m:rPr>
              <m:t>p</m:t>
            </m:r>
            <m:r>
              <m:rPr>
                <m:sty m:val="p"/>
              </m:rPr>
              <m:t>i</m:t>
            </m:r>
          </m:sub>
        </m:sSub>
      </m:oMath>
      <w:r>
        <w:t xml:space="preserve"> </w:t>
      </w:r>
      <w:r>
        <w:t xml:space="preserve">and</w:t>
      </w:r>
      <w:r>
        <w:t xml:space="preserve"> </w:t>
      </w:r>
      <m:oMath>
        <m:sSub>
          <m:e>
            <m:r>
              <m:t>T</m:t>
            </m:r>
          </m:e>
          <m:sub>
            <m:r>
              <m:rPr>
                <m:sty m:val="p"/>
              </m:rPr>
              <m:t>w</m:t>
            </m:r>
            <m:r>
              <m:rPr>
                <m:sty m:val="p"/>
              </m:rPr>
              <m:t>i</m:t>
            </m:r>
            <m:r>
              <m:rPr>
                <m:sty m:val="p"/>
              </m:rPr>
              <m:t>r</m:t>
            </m:r>
            <m:r>
              <m:rPr>
                <m:sty m:val="p"/>
              </m:rPr>
              <m:t>e</m:t>
            </m:r>
          </m:sub>
        </m:sSub>
      </m:oMath>
      <w:r>
        <w:t xml:space="preserve"> </w:t>
      </w:r>
      <w:r>
        <w:t xml:space="preserve">need</w:t>
      </w:r>
      <w:r>
        <w:t xml:space="preserve"> </w:t>
      </w:r>
      <m:oMath>
        <m:r>
          <m:t>X</m:t>
        </m:r>
      </m:oMath>
      <w:r>
        <w:t xml:space="preserve"> </w:t>
      </w:r>
      <w:r>
        <w:t xml:space="preserve">and</w:t>
      </w:r>
      <w:r>
        <w:t xml:space="preserve"> </w:t>
      </w:r>
      <m:oMath>
        <m:r>
          <m:t>Y</m:t>
        </m:r>
      </m:oMath>
      <w:r>
        <w:t xml:space="preserve">. The score</w:t>
      </w:r>
      <w:r>
        <w:t xml:space="preserve"> </w:t>
      </w:r>
      <m:oMath>
        <m:r>
          <m:t>φ</m:t>
        </m:r>
        <m:r>
          <m:rPr>
            <m:sty m:val="p"/>
          </m:rPr>
          <m:t>(</m:t>
        </m:r>
        <m:r>
          <m:t>W</m:t>
        </m:r>
        <m:r>
          <m:rPr>
            <m:sty m:val="p"/>
          </m:rPr>
          <m:t>,</m:t>
        </m:r>
        <m:r>
          <m:t>T</m:t>
        </m:r>
        <m:r>
          <m:rPr>
            <m:sty m:val="p"/>
          </m:rPr>
          <m:t>)</m:t>
        </m:r>
        <m:r>
          <m:rPr>
            <m:sty m:val="p"/>
          </m:rPr>
          <m:t>=</m:t>
        </m:r>
        <m:r>
          <m:rPr>
            <m:sty m:val="b"/>
          </m:rPr>
          <m:t>1</m:t>
        </m:r>
        <m:r>
          <m:rPr>
            <m:sty m:val="p"/>
          </m:rPr>
          <m:t>[</m:t>
        </m:r>
        <m:r>
          <m:t> </m:t>
        </m:r>
        <m:r>
          <m:rPr>
            <m:nor/>
            <m:sty m:val="p"/>
          </m:rPr>
          <m:t>label</m:t>
        </m:r>
        <m:r>
          <m:rPr>
            <m:sty m:val="p"/>
          </m:rPr>
          <m:t>(</m:t>
        </m:r>
        <m:r>
          <m:t>W</m:t>
        </m:r>
        <m:r>
          <m:rPr>
            <m:sty m:val="p"/>
          </m:rPr>
          <m:t>)</m:t>
        </m:r>
        <m:r>
          <m:rPr>
            <m:sty m:val="p"/>
          </m:rPr>
          <m:t>=</m:t>
        </m:r>
        <m:r>
          <m:rPr>
            <m:nor/>
            <m:sty m:val="p"/>
          </m:rPr>
          <m:t>family</m:t>
        </m:r>
        <m:r>
          <m:rPr>
            <m:sty m:val="p"/>
          </m:rPr>
          <m:t>(</m:t>
        </m:r>
        <m:r>
          <m:t>T</m:t>
        </m:r>
        <m:r>
          <m:rPr>
            <m:sty m:val="p"/>
          </m:rPr>
          <m:t>)</m:t>
        </m:r>
        <m:r>
          <m:t> </m:t>
        </m:r>
        <m:r>
          <m:rPr>
            <m:sty m:val="p"/>
          </m:rPr>
          <m:t>]</m:t>
        </m:r>
      </m:oMath>
      <w:r>
        <w:t xml:space="preserve"> </w:t>
      </w:r>
      <w:r>
        <w:t xml:space="preserve">then ranks correctly on both tasks in every state, and it satisfies neither</w:t>
      </w:r>
      <w:r>
        <w:t xml:space="preserve"> </w:t>
      </w:r>
      <w:r>
        <w:t xml:space="preserve">(a)</w:t>
      </w:r>
      <w:r>
        <w:t xml:space="preserve"> </w:t>
      </w:r>
      <w:r>
        <w:t xml:space="preserve">(the labels differ, so no tie) nor</w:t>
      </w:r>
      <w:r>
        <w:t xml:space="preserve"> </w:t>
      </w:r>
      <w:r>
        <w:t xml:space="preserve">(b)</w:t>
      </w:r>
      <w:r>
        <w:t xml:space="preserve"> </w:t>
      </w:r>
      <w:r>
        <w:t xml:space="preserve">(it is not an increasing function of</w:t>
      </w:r>
      <w:r>
        <w:t xml:space="preserve"> </w:t>
      </w:r>
      <w:r>
        <w:t xml:space="preserve">lexical overlap). So the proposition constrains the two named mechanisms, not the whole</w:t>
      </w:r>
      <w:r>
        <w:t xml:space="preserve"> </w:t>
      </w:r>
      <w:r>
        <w:t xml:space="preserve">query-conditioned class, and in particular it says nothing against routers built on public task</w:t>
      </w:r>
      <w:r>
        <w:t xml:space="preserve"> </w:t>
      </w:r>
      <w:r>
        <w:t xml:space="preserve">metadata. Theorem 2, which concerns one fixed number per source for all</w:t>
      </w:r>
      <w:r>
        <w:t xml:space="preserve"> </w:t>
      </w:r>
      <w:r>
        <w:t xml:space="preserve">tasks, is unaffected: a router of this kind is not a per-source scalar. What the trap shows</w:t>
      </w:r>
      <w:r>
        <w:t xml:space="preserve"> </w:t>
      </w:r>
      <w:r>
        <w:t xml:space="preserve">empirically is that the scorers deployed in practice, which read text rather than labels, do fall</w:t>
      </w:r>
      <w:r>
        <w:t xml:space="preserve"> </w:t>
      </w:r>
      <w:r>
        <w:t xml:space="preserve">into the constrained class on it (§7.4.2).</w:t>
      </w:r>
    </w:p>
    <w:bookmarkEnd w:id="48"/>
    <w:bookmarkStart w:id="49" w:name="rem:overlaponly"/>
    <w:p>
      <w:pPr>
        <w:pStyle w:val="BodyText"/>
      </w:pPr>
      <w:r>
        <w:rPr>
          <w:i/>
          <w:iCs/>
        </w:rPr>
        <w:t xml:space="preserve">Remark 6</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49"/>
    <w:p>
      <w:pPr>
        <w:pStyle w:val="BodyText"/>
      </w:pPr>
      <w:r>
        <w:t xml:space="preserve">Proposition 2 is deliberately narrow. It constrains a query-conditioned</w:t>
      </w:r>
      <w:r>
        <w:t xml:space="preserve"> </w:t>
      </w:r>
      <w:r>
        <w:t xml:space="preserve">score</w:t>
      </w:r>
      <w:r>
        <w:t xml:space="preserve"> </w:t>
      </w:r>
      <m:oMath>
        <m:r>
          <m:t>φ</m:t>
        </m:r>
        <m:r>
          <m:rPr>
            <m:sty m:val="p"/>
          </m:rPr>
          <m:t>(</m:t>
        </m:r>
        <m:r>
          <m:t>W</m:t>
        </m:r>
        <m:r>
          <m:rPr>
            <m:sty m:val="p"/>
          </m:rPr>
          <m:t>,</m:t>
        </m:r>
        <m:r>
          <m:t>T</m:t>
        </m:r>
        <m:r>
          <m:rPr>
            <m:sty m:val="p"/>
          </m:rPr>
          <m:t>)</m:t>
        </m:r>
      </m:oMath>
      <w:r>
        <w:t xml:space="preserve"> </w:t>
      </w:r>
      <w:r>
        <w:t xml:space="preserve">only when that score meets hypothesis</w:t>
      </w:r>
      <w:r>
        <w:t xml:space="preserve"> </w:t>
      </w:r>
      <w:r>
        <w:t xml:space="preserve">(a)</w:t>
      </w:r>
      <w:r>
        <w:t xml:space="preserve"> </w:t>
      </w:r>
      <w:r>
        <w:t xml:space="preserve">or</w:t>
      </w:r>
      <w:r>
        <w:t xml:space="preserve"> </w:t>
      </w:r>
      <w:r>
        <w:t xml:space="preserve">(b)</w:t>
      </w:r>
      <w:r>
        <w:t xml:space="preserve">; it does</w:t>
      </w:r>
      <w:r>
        <w:t xml:space="preserve"> </w:t>
      </w:r>
      <w:r>
        <w:t xml:space="preserve">not cover the topical class as a whole, and it says nothing about an arbitrary learned reranker,</w:t>
      </w:r>
      <w:r>
        <w:t xml:space="preserve"> </w:t>
      </w:r>
      <w:r>
        <w:t xml:space="preserve">which might read the private coordinate, or about a router over public task metadata</w:t>
      </w:r>
      <w:r>
        <w:t xml:space="preserve"> </w:t>
      </w:r>
      <w:r>
        <w:t xml:space="preserve">(Remark 5). Note also that it is a statement about</w:t>
      </w:r>
      <w:r>
        <w:t xml:space="preserve"> </w:t>
      </w:r>
      <m:oMath>
        <m:r>
          <m:t>φ</m:t>
        </m:r>
        <m:r>
          <m:rPr>
            <m:sty m:val="p"/>
          </m:rPr>
          <m:t>(</m:t>
        </m:r>
        <m:r>
          <m:t>W</m:t>
        </m:r>
        <m:r>
          <m:rPr>
            <m:sty m:val="p"/>
          </m:rPr>
          <m:t>,</m:t>
        </m:r>
        <m:r>
          <m:t>T</m:t>
        </m:r>
        <m:r>
          <m:rPr>
            <m:sty m:val="p"/>
          </m:rPr>
          <m:t>)</m:t>
        </m:r>
      </m:oMath>
      <w:r>
        <w:t xml:space="preserve">, a score that</w:t>
      </w:r>
      <w:r>
        <w:t xml:space="preserve"> </w:t>
      </w:r>
      <w:r>
        <w:t xml:space="preserve">may vary with the task; Theorem 2 is the separate statement about</w:t>
      </w:r>
      <w:r>
        <w:t xml:space="preserve"> </w:t>
      </w:r>
      <m:oMath>
        <m:r>
          <m:t>φ</m:t>
        </m:r>
        <m:r>
          <m:rPr>
            <m:sty m:val="p"/>
          </m:rPr>
          <m:t>(</m:t>
        </m:r>
        <m:r>
          <m:t>W</m:t>
        </m:r>
        <m:r>
          <m:rPr>
            <m:sty m:val="p"/>
          </m:rPr>
          <m:t>)</m:t>
        </m:r>
      </m:oMath>
      <w:r>
        <w:t xml:space="preserve">, one number per source fixed across all tasks. We therefore treat the defeat of</w:t>
      </w:r>
      <w:r>
        <w:t xml:space="preserve"> </w:t>
      </w:r>
      <w:r>
        <w:t xml:space="preserve">query-conditioned relevance as an</w:t>
      </w:r>
      <w:r>
        <w:t xml:space="preserve"> </w:t>
      </w:r>
      <w:r>
        <w:rPr>
          <w:i/>
          <w:iCs/>
        </w:rPr>
        <w:t xml:space="preserve">empirical</w:t>
      </w:r>
      <w:r>
        <w:t xml:space="preserve"> </w:t>
      </w:r>
      <w:r>
        <w:t xml:space="preserve">result, demonstrated for the concrete</w:t>
      </w:r>
      <w:r>
        <w:t xml:space="preserve"> </w:t>
      </w:r>
      <w:r>
        <w:t xml:space="preserve">lexical-cosine score practitioners use and for the checkpoints of</w:t>
      </w:r>
      <w:r>
        <w:t xml:space="preserve"> </w:t>
      </w:r>
      <w:r>
        <w:t xml:space="preserve">§7.4.2.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90</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on every one of the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Nie, et al. 2025)</w:t>
      </w:r>
      <w:r>
        <w:t xml:space="preserve">, the last of these a corpus of real retrieved contexts</w:t>
      </w:r>
      <w:r>
        <w:t xml:space="preserve"> </w:t>
      </w:r>
      <w:r>
        <w:t xml:space="preserve">built precisely to check whether synthetic benchmarks overstate context</w:t>
      </w:r>
      <w:r>
        <w:t xml:space="preserve"> </w:t>
      </w:r>
      <w:r>
        <w:t xml:space="preserve">utilisation </w:t>
      </w:r>
      <w:r>
        <w:t xml:space="preserve">(Hagström, Marjanović,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permits rather than predicts: its hypothesis</w:t>
      </w:r>
      <w:r>
        <w:t xml:space="preserve"> </w:t>
      </w:r>
      <w:r>
        <w:t xml:space="preserve">is topicality (invariance to the verifier-decisive coordinate), and a ranker that reads the</w:t>
      </w:r>
      <w:r>
        <w:t xml:space="preserve"> </w:t>
      </w:r>
      <w:r>
        <w:t xml:space="preserve">coordinate is simply outside the constrained class, so the proposition allows it to succeed</w:t>
      </w:r>
      <w:r>
        <w:t xml:space="preserve"> </w:t>
      </w:r>
      <w:r>
        <w:t xml:space="preserve">without implying that it must.</w:t>
      </w:r>
    </w:p>
    <w:bookmarkEnd w:id="50"/>
    <w:bookmarkEnd w:id="51"/>
    <w:bookmarkStart w:id="63"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3"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2" w:name="rem:notlecam"/>
    <w:p>
      <w:pPr>
        <w:pStyle w:val="BodyText"/>
      </w:pPr>
      <w:r>
        <w:rPr>
          <w:i/>
          <w:iCs/>
        </w:rPr>
        <w:t xml:space="preserve">Remark 7</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2"/>
    <w:bookmarkEnd w:id="53"/>
    <w:bookmarkStart w:id="56"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4"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4"/>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5"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which is what makes the binomial model of Assumption 2 reasonable rather than proved;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5"/>
    <w:bookmarkEnd w:id="56"/>
    <w:bookmarkStart w:id="59"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8).</w:t>
      </w:r>
    </w:p>
    <w:bookmarkStart w:id="57"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57"/>
    <w:bookmarkStart w:id="58" w:name="rem:psinotharm"/>
    <w:p>
      <w:pPr>
        <w:pStyle w:val="FirstParagraph"/>
      </w:pPr>
      <w:r>
        <w:rPr>
          <w:i/>
          <w:iCs/>
        </w:rPr>
        <w:t xml:space="preserve">Remark 8</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58"/>
    <w:bookmarkEnd w:id="59"/>
    <w:bookmarkStart w:id="61"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0"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Call a rule</w:t>
      </w:r>
      <w:r>
        <w:rPr>
          <w:i/>
          <w:iCs/>
        </w:rPr>
        <w:t xml:space="preserve"> </w:t>
      </w:r>
      <m:oMath>
        <m:r>
          <m:t>δ</m:t>
        </m:r>
      </m:oMath>
      <w:r>
        <w:rPr>
          <w:i/>
          <w:iCs/>
        </w:rPr>
        <w:t xml:space="preserve"> </w:t>
      </w:r>
      <w:r>
        <w:rPr>
          <w:i/>
          <w:i/>
          <w:iCs/>
          <w:iCs/>
        </w:rPr>
        <w:t xml:space="preserve">Blackwell-coherent on</w:t>
      </w:r>
      <w:r>
        <w:rPr>
          <w:i/>
          <w:i/>
          <w:iCs/>
          <w:iCs/>
        </w:rPr>
        <w:t xml:space="preserve"> </w:t>
      </w:r>
      <m:oMath>
        <m:r>
          <m:t>T</m:t>
        </m:r>
      </m:oMath>
      <w:r>
        <w:rPr>
          <w:i/>
          <w:iCs/>
        </w:rPr>
        <w:t xml:space="preserve"> </w:t>
      </w:r>
      <w:r>
        <w:rPr>
          <w:i/>
          <w:iCs/>
        </w:rPr>
        <w:t xml:space="preserve">if its realized</w:t>
      </w:r>
      <w:r>
        <w:rPr>
          <w:i/>
          <w:iCs/>
        </w:rPr>
        <w:t xml:space="preserve"> </w:t>
      </w:r>
      <w:r>
        <w:rPr>
          <w:i/>
          <w:iCs/>
        </w:rPr>
        <w:t xml:space="preserve">pass rate does not fall when it is handed the dominating source, that is</w:t>
      </w:r>
      <w:r>
        <w:rPr>
          <w:i/>
          <w:iCs/>
        </w:rPr>
        <w:t xml:space="preserve"> </w:t>
      </w:r>
      <m:oMath>
        <m:sSub>
          <m:e>
            <m:r>
              <m:rPr>
                <m:sty m:val="p"/>
              </m:rPr>
              <m:t>P</m:t>
            </m:r>
            <m:r>
              <m:rPr>
                <m:sty m:val="p"/>
              </m:rPr>
              <m:t>A</m:t>
            </m:r>
            <m:r>
              <m:rPr>
                <m:sty m:val="p"/>
              </m:rPr>
              <m:t>S</m:t>
            </m:r>
            <m:r>
              <m:rPr>
                <m:sty m:val="p"/>
              </m:rPr>
              <m:t>S</m:t>
            </m:r>
          </m:e>
          <m:sub>
            <m:r>
              <m:t>δ</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δ</m:t>
            </m:r>
          </m:sub>
        </m:sSub>
        <m:r>
          <m:rPr>
            <m:sty m:val="p"/>
          </m:rPr>
          <m:t>(</m:t>
        </m:r>
        <m:sSub>
          <m:e>
            <m:r>
              <m:t>W</m:t>
            </m:r>
          </m:e>
          <m:sub>
            <m:r>
              <m:t>1</m:t>
            </m:r>
          </m:sub>
        </m:sSub>
        <m:r>
          <m:rPr>
            <m:sty m:val="p"/>
          </m:rPr>
          <m:t>,</m:t>
        </m:r>
        <m:r>
          <m:t>T</m:t>
        </m:r>
        <m:r>
          <m:rPr>
            <m:sty m:val="p"/>
          </m:rPr>
          <m:t>)</m:t>
        </m:r>
      </m:oMath>
      <w:r>
        <w:rPr>
          <w:i/>
          <w:iCs/>
        </w:rPr>
        <w:t xml:space="preserve"> </w:t>
      </w:r>
      <w:r>
        <w:rPr>
          <w:i/>
          <w:iCs/>
        </w:rPr>
        <w:t xml:space="preserve">at the realized state</w:t>
      </w:r>
      <w:r>
        <w:rPr>
          <w:i/>
          <w:iCs/>
        </w:rPr>
        <w:t xml:space="preserve"> </w:t>
      </w:r>
      <m:oMath>
        <m:sSub>
          <m:e>
            <m:r>
              <m:t>S</m:t>
            </m:r>
          </m:e>
          <m:sub>
            <m:r>
              <m:t>T</m:t>
            </m:r>
          </m:sub>
        </m:sSub>
      </m:oMath>
      <w:r>
        <w:rPr>
          <w:i/>
          <w:iCs/>
        </w:rPr>
        <w:t xml:space="preserve">. Coherence in this</w:t>
      </w:r>
      <w:r>
        <w:rPr>
          <w:i/>
          <w:iCs/>
        </w:rPr>
        <w:t xml:space="preserve"> </w:t>
      </w:r>
      <w:r>
        <w:rPr>
          <w:i/>
          <w:iCs/>
        </w:rPr>
        <w:t xml:space="preserve">sense costs no information, and a coherent rule exists on every task: the pruning rule</w:t>
      </w:r>
      <w:r>
        <w:rPr>
          <w:i/>
          <w:iCs/>
        </w:rPr>
        <w:t xml:space="preserve"> </w:t>
      </w:r>
      <m:oMath>
        <m:sSub>
          <m:e>
            <m:r>
              <m:t>δ</m:t>
            </m:r>
          </m:e>
          <m:sub>
            <m:r>
              <m:t>M</m:t>
            </m:r>
          </m:sub>
        </m:sSub>
        <m:r>
          <m:rPr>
            <m:sty m:val="p"/>
          </m:rPr>
          <m:t>∘</m:t>
        </m:r>
        <m:r>
          <m:t>G</m:t>
        </m:r>
      </m:oMath>
      <w:r>
        <w:rPr>
          <w:i/>
          <w:iCs/>
        </w:rPr>
        <w:t xml:space="preserve">, where</w:t>
      </w:r>
      <w:r>
        <w:rPr>
          <w:i/>
          <w:iCs/>
        </w:rPr>
        <w:t xml:space="preserve"> </w:t>
      </w:r>
      <m:oMath>
        <m:r>
          <m:t>G</m:t>
        </m:r>
      </m:oMath>
      <w:r>
        <w:rPr>
          <w:i/>
          <w:iCs/>
        </w:rPr>
        <w:t xml:space="preserve"> </w:t>
      </w:r>
      <w:r>
        <w:rPr>
          <w:i/>
          <w:iCs/>
        </w:rPr>
        <w:t xml:space="preserve">deletes</w:t>
      </w:r>
      <w:r>
        <w:rPr>
          <w:i/>
          <w:iCs/>
        </w:rPr>
        <w:t xml:space="preserve"> </w:t>
      </w:r>
      <m:oMath>
        <m:sSub>
          <m:e>
            <m:r>
              <m:t>W</m:t>
            </m:r>
          </m:e>
          <m:sub>
            <m:r>
              <m:t>2</m:t>
            </m:r>
          </m:sub>
        </m:sSub>
      </m:oMath>
      <w:r>
        <w:rPr>
          <w:i/>
          <w:iCs/>
        </w:rPr>
        <w:t xml:space="preserve">’s block from</w:t>
      </w:r>
      <w:r>
        <w:rPr>
          <w:i/>
          <w:iCs/>
        </w:rPr>
        <w:t xml:space="preserve"> </w:t>
      </w:r>
      <m:oMath>
        <m:sSub>
          <m:e>
            <m:r>
              <m:t>W</m:t>
            </m:r>
          </m:e>
          <m:sub>
            <m:r>
              <m:t>1</m:t>
            </m:r>
            <m:r>
              <m:rPr>
                <m:sty m:val="p"/>
              </m:rPr>
              <m:t>+</m:t>
            </m:r>
          </m:sub>
        </m:sSub>
      </m:oMath>
      <w:r>
        <w:rPr>
          <w:i/>
          <w:iCs/>
        </w:rPr>
        <w:t xml:space="preserve">’s signal and acts as the identity</w:t>
      </w:r>
      <w:r>
        <w:rPr>
          <w:i/>
          <w:iCs/>
        </w:rPr>
        <w:t xml:space="preserve"> </w:t>
      </w:r>
      <w:r>
        <w:rPr>
          <w:i/>
          <w:iCs/>
        </w:rPr>
        <w:t xml:space="preserve">on</w:t>
      </w:r>
      <w:r>
        <w:rPr>
          <w:i/>
          <w:iCs/>
        </w:rPr>
        <w:t xml:space="preserve"> </w:t>
      </w:r>
      <m:oMath>
        <m:sSub>
          <m:e>
            <m:r>
              <m:t>W</m:t>
            </m:r>
          </m:e>
          <m:sub>
            <m:r>
              <m:t>1</m:t>
            </m:r>
          </m:sub>
        </m:sSub>
      </m:oMath>
      <w:r>
        <w:rPr>
          <w:i/>
          <w:iCs/>
        </w:rPr>
        <w:t xml:space="preserve">’s, so that the one rule is defined on both inputs, satisfies</w:t>
      </w:r>
      <w:r>
        <w:rPr>
          <w:i/>
          <w:iCs/>
        </w:rPr>
        <w:t xml:space="preserve"> </w:t>
      </w:r>
      <m:oMath>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rPr>
          <w:i/>
          <w:iCs/>
        </w:rPr>
        <w:t xml:space="preserve"> </w:t>
      </w:r>
      <w:r>
        <w:rPr>
          <w:i/>
          <w:iCs/>
        </w:rPr>
        <w:t xml:space="preserve">at that state,</w:t>
      </w:r>
      <w:r>
        <w:rPr>
          <w:i/>
          <w:iCs/>
        </w:rPr>
        <w:t xml:space="preserve"> </w:t>
      </w:r>
      <w:r>
        <w:rPr>
          <w:i/>
          <w:iCs/>
        </w:rPr>
        <w:t xml:space="preserve">because</w:t>
      </w:r>
      <w:r>
        <w:rPr>
          <w:i/>
          <w:iCs/>
        </w:rP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rPr>
          <w:i/>
          <w:iCs/>
        </w:rPr>
        <w:t xml:space="preserve"> </w:t>
      </w:r>
      <w:r>
        <w:rPr>
          <w:i/>
          <w:iCs/>
        </w:rPr>
        <w:t xml:space="preserve">for every</w:t>
      </w:r>
      <w:r>
        <w:rPr>
          <w:i/>
          <w:iCs/>
        </w:rPr>
        <w:t xml:space="preserve"> </w:t>
      </w:r>
      <m:oMath>
        <m:r>
          <m:t>s</m:t>
        </m:r>
      </m:oMath>
      <w:r>
        <w:rPr>
          <w:i/>
          <w:iCs/>
        </w:rPr>
        <w:t xml:space="preserve">; no prior and</w:t>
      </w:r>
      <w:r>
        <w:rPr>
          <w:i/>
          <w:iCs/>
        </w:rPr>
        <w:t xml:space="preserve"> </w:t>
      </w:r>
      <w:r>
        <w:rPr>
          <w:i/>
          <w:iCs/>
        </w:rPr>
        <w:t xml:space="preserve">no averaging enter. The Bayes rule</w:t>
      </w:r>
      <w:r>
        <w:rPr>
          <w:i/>
          <w:iCs/>
        </w:rPr>
        <w:t xml:space="preserve"> </w:t>
      </w:r>
      <m:oMath>
        <m:sSup>
          <m:e>
            <m:r>
              <m:t>δ</m:t>
            </m:r>
          </m:e>
          <m:sup>
            <m:r>
              <m:rPr>
                <m:sty m:val="p"/>
              </m:rPr>
              <m:t>⋆</m:t>
            </m:r>
          </m:sup>
        </m:sSup>
      </m:oMath>
      <w:r>
        <w:rPr>
          <w:i/>
          <w:iCs/>
        </w:rPr>
        <w:t xml:space="preserve"> </w:t>
      </w:r>
      <w:r>
        <w:rPr>
          <w:i/>
          <w:iCs/>
        </w:rPr>
        <w:t xml:space="preserve">is deliberately</w:t>
      </w:r>
      <w:r>
        <w:rPr>
          <w:i/>
          <w:iCs/>
        </w:rPr>
        <w:t xml:space="preserve"> </w:t>
      </w:r>
      <w:r>
        <w:rPr>
          <w:i/>
          <w:i/>
          <w:iCs/>
          <w:iCs/>
        </w:rPr>
        <w:t xml:space="preserve">not</w:t>
      </w:r>
      <w:r>
        <w:rPr>
          <w:i/>
          <w:iCs/>
        </w:rPr>
        <w:t xml:space="preserve"> </w:t>
      </w:r>
      <w:r>
        <w:rPr>
          <w:i/>
          <w:iCs/>
        </w:rPr>
        <w:t xml:space="preserve">the exemplar here:</w:t>
      </w:r>
      <w:r>
        <w:rPr>
          <w:i/>
          <w:iCs/>
        </w:rPr>
        <w:t xml:space="preserve"> </w:t>
      </w:r>
      <w:r>
        <w:rPr>
          <w:i/>
          <w:iCs/>
        </w:rPr>
        <w:t xml:space="preserve">its value is monotone in the</w:t>
      </w:r>
      <w:r>
        <w:rPr>
          <w:i/>
          <w:iCs/>
        </w:rPr>
        <w:t xml:space="preserve"> </w:t>
      </w:r>
      <m:oMath>
        <m:sSub>
          <m:e>
            <m:r>
              <m:t>μ</m:t>
            </m:r>
          </m:e>
          <m:sub>
            <m:r>
              <m:t>T</m:t>
            </m:r>
          </m:sub>
        </m:sSub>
      </m:oMath>
      <w:r>
        <w:rPr>
          <w:i/>
          <w:iCs/>
        </w:rPr>
        <w:t xml:space="preserve">-averaged register only, and monotonicity there is consistent</w:t>
      </w:r>
      <w:r>
        <w:rPr>
          <w:i/>
          <w:iCs/>
        </w:rPr>
        <w:t xml:space="preserve"> </w:t>
      </w:r>
      <w:r>
        <w:rPr>
          <w:i/>
          <w:iCs/>
        </w:rPr>
        <w:t xml:space="preserve">with a fall at a single state (Remark 1).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0"/>
    <w:p>
      <w:pPr>
        <w:pStyle w:val="BodyText"/>
      </w:pPr>
      <w:r>
        <w:t xml:space="preserve">Theorem 3 converts the empirical collapse into a structural statement: the harm is</w:t>
      </w:r>
      <w:r>
        <w:t xml:space="preserve"> </w:t>
      </w:r>
      <w:r>
        <w:t xml:space="preserve">not noise but a witness that real LLM decision rules are not Blackwell-coherent in the PASS</w:t>
      </w:r>
      <w:r>
        <w:t xml:space="preserve"> </w:t>
      </w:r>
      <w:r>
        <w:t xml:space="preserve">register, and the comparison is like-for-like:</w:t>
      </w:r>
      <w:r>
        <w:t xml:space="preserve"> </w:t>
      </w:r>
      <m:oMath>
        <m:sSub>
          <m:e>
            <m:r>
              <m:t>δ</m:t>
            </m:r>
          </m:e>
          <m:sub>
            <m:r>
              <m:t>M</m:t>
            </m:r>
          </m:sub>
        </m:sSub>
      </m:oMath>
      <w:r>
        <w:t xml:space="preserve"> </w:t>
      </w:r>
      <w:r>
        <w:t xml:space="preserve">is beaten, at the same state and on the</w:t>
      </w:r>
      <w:r>
        <w:t xml:space="preserve"> </w:t>
      </w:r>
      <w:r>
        <w:t xml:space="preserve">same input, by its own pruned version</w:t>
      </w:r>
      <w:r>
        <w:t xml:space="preserve"> </w:t>
      </w:r>
      <m:oMath>
        <m:sSub>
          <m:e>
            <m:r>
              <m:t>δ</m:t>
            </m:r>
          </m:e>
          <m:sub>
            <m:r>
              <m:t>M</m:t>
            </m:r>
          </m:sub>
        </m:sSub>
        <m:r>
          <m:rPr>
            <m:sty m:val="p"/>
          </m:rPr>
          <m:t>∘</m:t>
        </m:r>
        <m:r>
          <m:t>G</m:t>
        </m:r>
      </m:oMath>
      <w:r>
        <w:t xml:space="preserve">. The deficiency</w:t>
      </w:r>
      <w:r>
        <w:t xml:space="preserve"> </w:t>
      </w:r>
      <w:r>
        <w:t xml:space="preserve">surrogate detects this reversal because it tracks realized PASS, whereas every monotone scalar must</w:t>
      </w:r>
      <w:r>
        <w:t xml:space="preserve"> </w:t>
      </w:r>
      <w:r>
        <w:t xml:space="preserve">miss it by construction.</w:t>
      </w:r>
    </w:p>
    <w:bookmarkEnd w:id="61"/>
    <w:bookmarkStart w:id="62"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m:oMath>
        <m:sSub>
          <m:e>
            <m:r>
              <m:t>W</m:t>
            </m:r>
          </m:e>
          <m:sub>
            <m:r>
              <m:t>1</m:t>
            </m:r>
          </m:sub>
        </m:sSub>
      </m:oMath>
      <w:r>
        <w:t xml:space="preserve"> </w:t>
      </w:r>
      <w:r>
        <w:t xml:space="preserve">arms at</w:t>
      </w:r>
      <w:r>
        <w:t xml:space="preserve"> </w:t>
      </w:r>
      <m:oMath>
        <m:r>
          <m:t>α</m:t>
        </m:r>
        <m:r>
          <m:rPr>
            <m:sty m:val="p"/>
          </m:rPr>
          <m:t>=</m:t>
        </m:r>
        <m:r>
          <m:t>η</m:t>
        </m:r>
        <m:r>
          <m:rPr>
            <m:sty m:val="p"/>
          </m:rPr>
          <m:t>/</m:t>
        </m:r>
        <m:r>
          <m:t>2</m:t>
        </m:r>
      </m:oMath>
      <w:r>
        <w:t xml:space="preserve"> </w:t>
      </w:r>
      <w:r>
        <w:t xml:space="preserve">per endpoint, and the</w:t>
      </w:r>
      <w:r>
        <w:t xml:space="preserve"> </w:t>
      </w:r>
      <m:oMath>
        <m:sSub>
          <m:e>
            <m:r>
              <m:t>W</m:t>
            </m:r>
          </m:e>
          <m:sub>
            <m:r>
              <m:t>1</m:t>
            </m:r>
            <m:r>
              <m:rPr>
                <m:sty m:val="p"/>
              </m:rPr>
              <m:t>+</m:t>
            </m:r>
          </m:sub>
        </m:sSub>
      </m:oMath>
      <w:r>
        <w:t xml:space="preserve"> </w:t>
      </w:r>
      <w:r>
        <w:t xml:space="preserve">intervals are not in the</w:t>
      </w:r>
      <w:r>
        <w:t xml:space="preserve"> </w:t>
      </w:r>
      <m:oMath>
        <m:sSub>
          <m:e>
            <m:r>
              <m:t>W</m:t>
            </m:r>
          </m:e>
          <m:sub>
            <m:r>
              <m:t>1</m:t>
            </m:r>
          </m:sub>
        </m:sSub>
      </m:oMath>
      <w:r>
        <w:t xml:space="preserve">/</w:t>
      </w:r>
      <m:oMath>
        <m:sSub>
          <m:e>
            <m:r>
              <m:t>W</m:t>
            </m:r>
          </m:e>
          <m:sub>
            <m:r>
              <m:t>2</m:t>
            </m:r>
          </m:sub>
        </m:sSub>
      </m:oMath>
      <w:r>
        <w:t xml:space="preserve"> </w:t>
      </w:r>
      <w:r>
        <w:t xml:space="preserve">event at all;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2"/>
    <w:bookmarkEnd w:id="63"/>
    <w:bookmarkStart w:id="100"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66"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4"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4"/>
    <w:bookmarkStart w:id="65"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w:t>
      </w:r>
      <w:r>
        <w:t xml:space="preserve"> </w:t>
      </w:r>
      <w:r>
        <w:rPr>
          <w:rStyle w:val="VerbatimChar"/>
        </w:rPr>
        <w:t xml:space="preserve">none</w:t>
      </w:r>
      <w:r>
        <w:t xml:space="preserve"> </w:t>
      </w:r>
      <w:r>
        <w:t xml:space="preserve">baseline,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A1), we report that leakage explicitly and</w:t>
      </w:r>
      <w:r>
        <w:t xml:space="preserve"> </w:t>
      </w:r>
      <w:r>
        <w:t xml:space="preserve">do not use those cells for claims that require a near-zero baseline.</w:t>
      </w:r>
    </w:p>
    <w:bookmarkEnd w:id="65"/>
    <w:bookmarkEnd w:id="66"/>
    <w:bookmarkStart w:id="69"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67"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67"/>
    <w:bookmarkStart w:id="68"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Proposition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68"/>
    <w:bookmarkEnd w:id="69"/>
    <w:bookmarkStart w:id="79" w:name="sec:methodology"/>
    <w:p>
      <w:pPr>
        <w:pStyle w:val="Heading2"/>
      </w:pPr>
      <w:r>
        <w:t xml:space="preserve">Methodology</w:t>
      </w:r>
    </w:p>
    <w:bookmarkStart w:id="70"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0"/>
    <w:bookmarkStart w:id="72"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1">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2"/>
    <w:bookmarkStart w:id="73"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3"/>
    <w:bookmarkStart w:id="74"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4"/>
    <w:bookmarkStart w:id="75"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8).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At</w:t>
      </w:r>
      <w:r>
        <w:t xml:space="preserve"> </w:t>
      </w:r>
      <m:oMath>
        <m:acc>
          <m:accPr>
            <m:chr m:val="̂"/>
          </m:accPr>
          <m:e>
            <m:r>
              <m:t>p</m:t>
            </m:r>
          </m:e>
        </m:acc>
        <m:r>
          <m:rPr>
            <m:sty m:val="p"/>
          </m:rPr>
          <m:t>=</m:t>
        </m:r>
        <m:r>
          <m:t>0</m:t>
        </m:r>
      </m:oMath>
      <w:r>
        <w:t xml:space="preserve"> </w:t>
      </w:r>
      <w:r>
        <w:t xml:space="preserve">and</w:t>
      </w:r>
      <w:r>
        <w:t xml:space="preserve"> </w:t>
      </w:r>
      <m:oMath>
        <m:acc>
          <m:accPr>
            <m:chr m:val="̂"/>
          </m:accPr>
          <m:e>
            <m:r>
              <m:t>p</m:t>
            </m:r>
          </m:e>
        </m:acc>
        <m:r>
          <m:rPr>
            <m:sty m:val="p"/>
          </m:rPr>
          <m:t>=</m:t>
        </m:r>
        <m:r>
          <m:t>1</m:t>
        </m:r>
      </m:oMath>
      <w:r>
        <w:t xml:space="preserve"> </w:t>
      </w:r>
      <w:r>
        <w:t xml:space="preserve">the</w:t>
      </w:r>
      <w:r>
        <w:t xml:space="preserve"> </w:t>
      </w:r>
      <w:r>
        <w:t xml:space="preserve">interval becomes one-sided but does not degenerate to a point: at</w:t>
      </w:r>
      <w:r>
        <w:t xml:space="preserve"> </w:t>
      </w:r>
      <m:oMath>
        <m:r>
          <m:t>n</m:t>
        </m:r>
        <m:r>
          <m:rPr>
            <m:sty m:val="p"/>
          </m:rPr>
          <m:t>=</m:t>
        </m:r>
        <m:r>
          <m:t>40</m:t>
        </m:r>
      </m:oMath>
      <w:r>
        <w:t xml:space="preserve"> </w:t>
      </w:r>
      <w:r>
        <w:t xml:space="preserve">and the level Figure</w:t>
      </w:r>
      <w:r>
        <w:t xml:space="preserve"> </w:t>
      </w:r>
      <w:r>
        <w:t xml:space="preserve">1 uses,</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0.128</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0.872</m:t>
        </m:r>
        <m:r>
          <m:rPr>
            <m:sty m:val="p"/>
          </m:rPr>
          <m:t>,</m:t>
        </m:r>
        <m:r>
          <m:t> </m:t>
        </m:r>
        <m:r>
          <m:t>1</m:t>
        </m:r>
        <m:r>
          <m:rPr>
            <m:sty m:val="p"/>
          </m:rPr>
          <m:t>]</m:t>
        </m:r>
      </m:oMath>
      <w:r>
        <w:t xml:space="preserve">. It is that</w:t>
      </w:r>
      <w:r>
        <w:t xml:space="preserve"> </w:t>
      </w:r>
      <w:r>
        <w:t xml:space="preserve">residual width the crossing must beat,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 intermediate proportions need a larger</w:t>
      </w:r>
      <w:r>
        <w:t xml:space="preserve"> </w:t>
      </w:r>
      <m:oMath>
        <m:r>
          <m:t>n</m:t>
        </m:r>
      </m:oMath>
      <w:r>
        <w:t xml:space="preserve"> </w:t>
      </w:r>
      <w:r>
        <w:t xml:space="preserve">for the same margin.</w:t>
      </w:r>
    </w:p>
    <w:bookmarkEnd w:id="75"/>
    <w:bookmarkStart w:id="76"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The verified collapses clear it with upper confidence bounds from</w:t>
      </w:r>
      <w:r>
        <w:t xml:space="preserve"> </w:t>
      </w:r>
      <m:oMath>
        <m:r>
          <m:rPr>
            <m:sty m:val="p"/>
          </m:rPr>
          <m:t>−</m:t>
        </m:r>
        <m:r>
          <m:t>0.38</m:t>
        </m:r>
      </m:oMath>
      <w:r>
        <w:t xml:space="preserve"> </w:t>
      </w:r>
      <w:r>
        <w:t xml:space="preserve">to</w:t>
      </w:r>
      <w:r>
        <w:t xml:space="preserve"> </w:t>
      </w:r>
      <m:oMath>
        <m:r>
          <m:rPr>
            <m:sty m:val="p"/>
          </m:rPr>
          <m:t>−</m:t>
        </m:r>
        <m:r>
          <m:t>0.85</m:t>
        </m:r>
      </m:oMath>
      <w:r>
        <w:t xml:space="preserve"> </w:t>
      </w:r>
      <w:r>
        <w:t xml:space="preserve">(Table 5), and the character-matched padding control clears it at</w:t>
      </w:r>
      <w:r>
        <w:t xml:space="preserve"> </w:t>
      </w:r>
      <m:oMath>
        <m:r>
          <m:rPr>
            <m:sty m:val="p"/>
          </m:rPr>
          <m:t>−</m:t>
        </m:r>
        <m:r>
          <m:t>0.67</m:t>
        </m:r>
      </m:oMath>
      <w:r>
        <w:t xml:space="preserve">. One</w:t>
      </w:r>
      <w:r>
        <w:t xml:space="preserve"> </w:t>
      </w:r>
      <w:r>
        <w:t xml:space="preserve">real effect fails it and is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0.11</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0.26</m:t>
        </m:r>
      </m:oMath>
      <w:r>
        <w:t xml:space="preserve"> </w:t>
      </w:r>
      <w:r>
        <w:t xml:space="preserve">once the import is neutralized. A threshold that a genuine effect fails is evidence it was not</w:t>
      </w:r>
      <w:r>
        <w:t xml:space="preserve"> </w:t>
      </w:r>
      <w:r>
        <w:t xml:space="preserve">tuned to pass the data. We note that the second-pair contrast, reported in an earlier version as</w:t>
      </w:r>
      <w:r>
        <w:t xml:space="preserve"> </w:t>
      </w:r>
      <w:r>
        <w:t xml:space="preserve">sign-only, clears the margin at</w:t>
      </w:r>
      <w:r>
        <w:t xml:space="preserve"> </w:t>
      </w:r>
      <m:oMath>
        <m:r>
          <m:rPr>
            <m:sty m:val="p"/>
          </m:rPr>
          <m:t>−</m:t>
        </m:r>
        <m:r>
          <m:t>0.33</m:t>
        </m:r>
      </m:oMath>
      <w:r>
        <w:t xml:space="preserve"> </w:t>
      </w:r>
      <w:r>
        <w:t xml:space="preserve">once the confidence budget is allocated correctly</w:t>
      </w:r>
      <w:r>
        <w:t xml:space="preserve"> </w:t>
      </w:r>
      <w:r>
        <w:t xml:space="preserve">(§7.5); the earlier shortfall was an artifact of spending two-sided</w:t>
      </w:r>
      <w:r>
        <w:t xml:space="preserve"> </w:t>
      </w:r>
      <w:r>
        <w:t xml:space="preserve">intervals on a one-sided bound, not a property of that effect.</w:t>
      </w:r>
    </w:p>
    <w:bookmarkEnd w:id="76"/>
    <w:bookmarkStart w:id="77" w:name="what-the-intervals-do-not-cover."/>
    <w:p>
      <w:pPr>
        <w:pStyle w:val="Heading4"/>
      </w:pPr>
      <w:r>
        <w:t xml:space="preserve">What the intervals do not cover.</w:t>
      </w:r>
    </w:p>
    <w:p>
      <w:pPr>
        <w:pStyle w:val="FirstParagraph"/>
      </w:pPr>
      <w:r>
        <w:t xml:space="preserve">The Clopper–Pearson intervals carry sampling error under Assumption 2, a fixed</w:t>
      </w:r>
      <w:r>
        <w:t xml:space="preserve"> </w:t>
      </w:r>
      <w:r>
        <w:t xml:space="preserve">success probability per cell. They carry nothing else, and two components outside them are larger</w:t>
      </w:r>
      <w:r>
        <w:t xml:space="preserve"> </w:t>
      </w:r>
      <w:r>
        <w:t xml:space="preserve">than they are.</w:t>
      </w:r>
      <w:r>
        <w:t xml:space="preserve"> </w:t>
      </w:r>
      <w:r>
        <w:rPr>
          <w:i/>
          <w:iCs/>
        </w:rPr>
        <w:t xml:space="preserve">Model drift</w:t>
      </w:r>
      <w:r>
        <w:t xml:space="preserve">: the re-measurement of §7.5.2 moved Opus’s</w:t>
      </w:r>
      <w:r>
        <w:t xml:space="preserve"> </w:t>
      </w:r>
      <w:r>
        <w:rPr>
          <w:rStyle w:val="VerbatimChar"/>
        </w:rPr>
        <w:t xml:space="preserve">api_post_ok</w:t>
      </w:r>
      <w:r>
        <w:t xml:space="preserve"> </w:t>
      </w:r>
      <w:r>
        <w:t xml:space="preserve">superset arm from</w:t>
      </w:r>
      <w:r>
        <w:t xml:space="preserve"> </w:t>
      </w:r>
      <m:oMath>
        <m:r>
          <m:t>38</m:t>
        </m:r>
        <m:r>
          <m:rPr>
            <m:sty m:val="p"/>
          </m:rPr>
          <m:t>%</m:t>
        </m:r>
      </m:oMath>
      <w:r>
        <w:t xml:space="preserve"> </w:t>
      </w:r>
      <w:r>
        <w:t xml:space="preserve">to</w:t>
      </w:r>
      <w:r>
        <w:t xml:space="preserve"> </w:t>
      </w:r>
      <m:oMath>
        <m:r>
          <m:t>3</m:t>
        </m:r>
        <m:r>
          <m:rPr>
            <m:sty m:val="p"/>
          </m:rPr>
          <m:t>%</m:t>
        </m:r>
      </m:oMath>
      <w:r>
        <w:t xml:space="preserve"> </w:t>
      </w:r>
      <w:r>
        <w:t xml:space="preserve">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 outside the nominal intervals for those cells, and Sonnet’s failure mode changed</w:t>
      </w:r>
      <w:r>
        <w:t xml:space="preserve"> </w:t>
      </w:r>
      <w:r>
        <w:t xml:space="preserve">category entirely.</w:t>
      </w:r>
      <w:r>
        <w:t xml:space="preserve"> </w:t>
      </w:r>
      <w:r>
        <w:rPr>
          <w:i/>
          <w:iCs/>
        </w:rPr>
        <w:t xml:space="preserve">Prompt wording</w:t>
      </w:r>
      <w:r>
        <w:t xml:space="preserve">: the raw-failure audit traces a</w:t>
      </w:r>
      <w:r>
        <w:t xml:space="preserve"> </w:t>
      </w:r>
      <m:oMath>
        <m:r>
          <m:t>100</m:t>
        </m:r>
        <m:r>
          <m:rPr>
            <m:sty m:val="p"/>
          </m:rPr>
          <m:t>%</m:t>
        </m:r>
        <m:r>
          <m:rPr>
            <m:sty m:val="p"/>
          </m:rPr>
          <m:t>→</m:t>
        </m:r>
        <m:r>
          <m:t>52</m:t>
        </m:r>
        <m:r>
          <m:rPr>
            <m:sty m:val="p"/>
          </m:rPr>
          <m:t>%</m:t>
        </m:r>
      </m:oMath>
      <w:r>
        <w:t xml:space="preserve"> </w:t>
      </w:r>
      <w:r>
        <w:t xml:space="preserve">swing on</w:t>
      </w:r>
      <w:r>
        <w:t xml:space="preserve"> </w:t>
      </w:r>
      <w:r>
        <w:t xml:space="preserve">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w:t>
      </w:r>
      <w:r>
        <w:t xml:space="preserve"> </w:t>
      </w:r>
      <w:r>
        <w:t xml:space="preserve">(model snapshot, prompt, default decoder) triple, indexed by</w:t>
      </w:r>
      <w:r>
        <w:t xml:space="preserve"> </w:t>
      </w:r>
      <m:oMath>
        <m:r>
          <m:t>θ</m:t>
        </m:r>
      </m:oMath>
      <w:r>
        <w:t xml:space="preserve"> </w:t>
      </w:r>
      <w:r>
        <w:t xml:space="preserve">(§3.3), and</w:t>
      </w:r>
      <w:r>
        <w:t xml:space="preserve"> </w:t>
      </w:r>
      <w:r>
        <w:t xml:space="preserve">not a property of a vendor’s model line. We regard this as the honest reading rather than a</w:t>
      </w:r>
      <w:r>
        <w:t xml:space="preserve"> </w:t>
      </w:r>
      <w:r>
        <w:t xml:space="preserve">weakness: the re-measurement bounds the drift component empirically, and the direction of every</w:t>
      </w:r>
      <w:r>
        <w:t xml:space="preserve"> </w:t>
      </w:r>
      <w:r>
        <w:t xml:space="preserve">verdict survived it.</w:t>
      </w:r>
    </w:p>
    <w:bookmarkEnd w:id="77"/>
    <w:bookmarkStart w:id="78"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We report the decoding parameters, seeding</w:t>
      </w:r>
      <w:r>
        <w:t xml:space="preserve"> </w:t>
      </w:r>
      <w:r>
        <w:t xml:space="preserve">policy, and retry policy in Appendix C.</w:t>
      </w:r>
    </w:p>
    <w:bookmarkEnd w:id="78"/>
    <w:bookmarkEnd w:id="79"/>
    <w:bookmarkStart w:id="90"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A1 give the</w:t>
      </w:r>
      <w:r>
        <w:t xml:space="preserve"> </w:t>
      </w:r>
      <w:r>
        <w:t xml:space="preserve">underlying quantities.</w:t>
      </w:r>
    </w:p>
    <w:bookmarkStart w:id="81"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bookmarkStart w:id="80"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w:t>
      </w:r>
      <w:r>
        <w:rPr>
          <w:i/>
          <w:iCs/>
        </w:rPr>
        <w:t xml:space="preserve">interval</w:t>
      </w:r>
      <w:r>
        <w:t xml:space="preserve"> </w:t>
      </w:r>
      <w:r>
        <w:t xml:space="preserve">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which places</w:t>
      </w:r>
      <w:r>
        <w:t xml:space="preserve"> </w:t>
      </w:r>
      <m:oMath>
        <m:r>
          <m:t>η</m:t>
        </m:r>
        <m:r>
          <m:rPr>
            <m:sty m:val="p"/>
          </m:rPr>
          <m:t>/</m:t>
        </m:r>
        <m:r>
          <m:t>96</m:t>
        </m:r>
      </m:oMath>
      <w:r>
        <w:t xml:space="preserve"> </w:t>
      </w:r>
      <w:r>
        <w:t xml:space="preserve">in each tail, every one of the</w:t>
      </w:r>
      <w:r>
        <w:t xml:space="preserve"> </w:t>
      </w:r>
      <w:r>
        <w:t xml:space="preserve">twelve directions remains strictly positive,</w:t>
      </w:r>
      <w:r>
        <w:t xml:space="preserve"> </w:t>
      </w:r>
      <w:r>
        <w:t xml:space="preserve">binding at DeepSeek-V4-Pro’s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0.263</m:t>
        </m:r>
      </m:oMath>
      <w:r>
        <w:t xml:space="preserve"> </w:t>
      </w:r>
      <w:r>
        <w:t xml:space="preserve">and reaching</w:t>
      </w:r>
      <w:r>
        <w:t xml:space="preserve"> </w:t>
      </w:r>
      <m:oMath>
        <m:r>
          <m:rPr>
            <m:sty m:val="p"/>
          </m:rPr>
          <m:t>+</m:t>
        </m:r>
        <m:r>
          <m:t>0.684</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3 reports the per-model bounds;</w:t>
      </w:r>
      <w:r>
        <w:t xml:space="preserve"> </w:t>
      </w:r>
      <w:r>
        <w:t xml:space="preserve">the simultaneous ones are uniformly smaller by</w:t>
      </w:r>
      <w:r>
        <w:t xml:space="preserve"> </w:t>
      </w:r>
      <m:oMath>
        <m:r>
          <m:t>0.077</m:t>
        </m:r>
      </m:oMath>
      <w:r>
        <w:t xml:space="preserve"> </w:t>
      </w:r>
      <w:r>
        <w:t xml:space="preserve">to</w:t>
      </w:r>
      <w:r>
        <w:t xml:space="preserve"> </w:t>
      </w:r>
      <m:oMath>
        <m:r>
          <m:t>0.084</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0"/>
    <w:bookmarkEnd w:id="81"/>
    <w:bookmarkStart w:id="83"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2"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 feature-based</w:t>
      </w:r>
      <w:r>
        <w:rPr>
          <w:b/>
          <w:bCs/>
        </w:rPr>
        <w:t xml:space="preserve"> </w:t>
      </w:r>
      <w:r>
        <w:rPr>
          <w:b/>
          <w:bCs/>
        </w:rPr>
        <w:t xml:space="preserve">ranker we tested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sits on the boundary</w:t>
      </w:r>
      <w:r>
        <w:t xml:space="preserve"> </w:t>
      </w:r>
      <w:r>
        <w:t xml:space="preserve">Proposition 2 draws: its hypothesis is</w:t>
      </w:r>
      <w:r>
        <w:t xml:space="preserve"> </w:t>
      </w:r>
      <w:r>
        <w:rPr>
          <w:i/>
          <w:iCs/>
        </w:rPr>
        <w:t xml:space="preserve">topicality</w:t>
      </w:r>
      <w:r>
        <w:t xml:space="preserve">, invariance to</w:t>
      </w:r>
      <w:r>
        <w:t xml:space="preserve"> </w:t>
      </w:r>
      <w:r>
        <w:t xml:space="preserve">the decisive coordinate, and the trap defeats the lexical, dense and cross-encoder checkpoints we</w:t>
      </w:r>
      <w:r>
        <w:t xml:space="preserve"> </w:t>
      </w:r>
      <w:r>
        <w:t xml:space="preserve">ran while sparing the one ranker that reads content. Two limits on how far this generalizes. The</w:t>
      </w:r>
      <w:r>
        <w:t xml:space="preserve"> </w:t>
      </w:r>
      <w:r>
        <w:t xml:space="preserve">three families are three checkpoints on one trap, so their failure is measured, not proved for the</w:t>
      </w:r>
      <w:r>
        <w:t xml:space="preserve"> </w:t>
      </w:r>
      <w:r>
        <w:t xml:space="preserve">families at large; and the proposition does not establish that a model call per candidate is</w:t>
      </w:r>
      <w:r>
        <w:t xml:space="preserve"> </w:t>
      </w:r>
      <w:r>
        <w:rPr>
          <w:i/>
          <w:iCs/>
        </w:rPr>
        <w:t xml:space="preserve">necessary</w:t>
      </w:r>
      <w:r>
        <w:t xml:space="preserve"> </w:t>
      </w:r>
      <w:r>
        <w:t xml:space="preserve">to escape, since a router reading public task metadata would also escape at no</w:t>
      </w:r>
      <w:r>
        <w:t xml:space="preserve"> </w:t>
      </w:r>
      <w:r>
        <w:t xml:space="preserve">such cost (Remark 5). What the measurement does show is that the scorers</w:t>
      </w:r>
      <w:r>
        <w:t xml:space="preserve"> </w:t>
      </w:r>
      <w:r>
        <w:t xml:space="preserve">actually deployed here, which read text, pay that price.</w:t>
      </w:r>
    </w:p>
    <w:bookmarkEnd w:id="82"/>
    <w:bookmarkEnd w:id="83"/>
    <w:bookmarkStart w:id="88"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Those</w:t>
      </w:r>
      <w:r>
        <w:t xml:space="preserve"> </w:t>
      </w:r>
      <w:r>
        <w:t xml:space="preserve">eleven are</w:t>
      </w:r>
      <w:r>
        <w:t xml:space="preserve"> </w:t>
      </w:r>
      <w:r>
        <w:rPr>
          <w:i/>
          <w:iCs/>
        </w:rPr>
        <w:t xml:space="preserve">marginal</w:t>
      </w:r>
      <w:r>
        <w:t xml:space="preserve"> </w:t>
      </w:r>
      <w:r>
        <w:t xml:space="preserve">verifications, each at</w:t>
      </w:r>
      <w:r>
        <w:t xml:space="preserve"> </w:t>
      </w:r>
      <m:oMath>
        <m:r>
          <m:rPr>
            <m:sty m:val="p"/>
          </m:rPr>
          <m:t>≥</m:t>
        </m:r>
        <m:r>
          <m:t>1</m:t>
        </m:r>
        <m:r>
          <m:rPr>
            <m:sty m:val="p"/>
          </m:rPr>
          <m:t>−</m:t>
        </m:r>
        <m:r>
          <m:t>η</m:t>
        </m:r>
      </m:oMath>
      <w:r>
        <w:t xml:space="preserve"> </w:t>
      </w:r>
      <w:r>
        <w:t xml:space="preserve">for its own cell. The conjunction</w:t>
      </w:r>
      <w:r>
        <w:t xml:space="preserve"> </w:t>
      </w:r>
      <w:r>
        <w:t xml:space="preserve">can be bought from the same records: allocating</w:t>
      </w:r>
      <w:r>
        <w:t xml:space="preserve"> </w:t>
      </w:r>
      <m:oMath>
        <m:r>
          <m:t>η</m:t>
        </m:r>
      </m:oMath>
      <w:r>
        <w:t xml:space="preserve"> </w:t>
      </w:r>
      <w:r>
        <w:t xml:space="preserve">across all twelve contrasts, i.e. a</w:t>
      </w:r>
      <w:r>
        <w:t xml:space="preserve"> </w:t>
      </w:r>
      <w:r>
        <w:t xml:space="preserve">per-interval level of</w:t>
      </w:r>
      <w:r>
        <w:t xml:space="preserve"> </w:t>
      </w:r>
      <m:oMath>
        <m:r>
          <m:t>η</m:t>
        </m:r>
        <m:r>
          <m:rPr>
            <m:sty m:val="p"/>
          </m:rPr>
          <m:t>/</m:t>
        </m:r>
        <m:r>
          <m:t>12</m:t>
        </m:r>
      </m:oMath>
      <w:r>
        <w:t xml:space="preserve"> </w:t>
      </w:r>
      <w:r>
        <w:t xml:space="preserve">over the</w:t>
      </w:r>
      <w:r>
        <w:t xml:space="preserve"> </w:t>
      </w:r>
      <m:oMath>
        <m:r>
          <m:t>24</m:t>
        </m:r>
      </m:oMath>
      <w:r>
        <w:t xml:space="preserve"> </w:t>
      </w:r>
      <w:r>
        <w:t xml:space="preserve">endpoints, ten of the twelve still clear</w:t>
      </w:r>
      <w:r>
        <w:t xml:space="preserve"> </w:t>
      </w:r>
      <m:oMath>
        <m:r>
          <m:rPr>
            <m:sty m:val="p"/>
          </m:rPr>
          <m:t>−</m:t>
        </m:r>
        <m:r>
          <m:t>τ</m:t>
        </m:r>
      </m:oMath>
      <w:r>
        <w:t xml:space="preserve">,</w:t>
      </w:r>
      <w:r>
        <w:t xml:space="preserve"> </w:t>
      </w:r>
      <w:r>
        <w:t xml:space="preserve">and every one of the six models keeps at least one cell that does. The roster-level statement</w:t>
      </w:r>
      <w:r>
        <w:t xml:space="preserve"> </w:t>
      </w:r>
      <w:r>
        <w:t xml:space="preserve">“on each of these six models some strict superset verifiably harms some cell”</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The two cells that drop out</w:t>
      </w:r>
      <w:r>
        <w:t xml:space="preserve"> </w:t>
      </w:r>
      <w:r>
        <w:t xml:space="preserve">under the joint budget are Haiku’s</w:t>
      </w:r>
      <w:r>
        <w:t xml:space="preserve"> </w:t>
      </w:r>
      <w:r>
        <w:rPr>
          <w:rStyle w:val="VerbatimChar"/>
        </w:rPr>
        <w:t xml:space="preserve">api_post_ok</w:t>
      </w:r>
      <w:r>
        <w:t xml:space="preserve"> </w:t>
      </w:r>
      <w:r>
        <w:t xml:space="preserve">(which does not clear marginally</w:t>
      </w:r>
      <w:r>
        <w:t xml:space="preserve"> </w:t>
      </w:r>
      <w:r>
        <w:t xml:space="preserve">either) and DeepSeek’s</w:t>
      </w:r>
      <w:r>
        <w:t xml:space="preserve"> </w:t>
      </w:r>
      <w:r>
        <w:rPr>
          <w:rStyle w:val="VerbatimChar"/>
        </w:rPr>
        <w:t xml:space="preserve">api_argorder</w:t>
      </w:r>
      <w:r>
        <w:t xml:space="preserve">; the mildest verified collapse is DeepSeek’s</w:t>
      </w:r>
      <w:r>
        <w:t xml:space="preserve"> </w:t>
      </w:r>
      <w:r>
        <w:rPr>
          <w:rStyle w:val="VerbatimChar"/>
        </w:rPr>
        <w:t xml:space="preserve">api_argorder</w:t>
      </w:r>
      <w:r>
        <w:t xml:space="preserve"> </w:t>
      </w:r>
      <w:r>
        <w:t xml:space="preserve">at</w:t>
      </w:r>
      <w:r>
        <w:t xml:space="preserve"> </w:t>
      </w:r>
      <m:oMath>
        <m:r>
          <m:t>68</m:t>
        </m:r>
        <m:r>
          <m:rPr>
            <m:sty m:val="p"/>
          </m:rPr>
          <m:t>%</m:t>
        </m:r>
        <m:r>
          <m:rPr>
            <m:sty m:val="p"/>
          </m:rPr>
          <m:t>→</m:t>
        </m:r>
        <m:r>
          <m:t>5</m:t>
        </m:r>
        <m:r>
          <m:rPr>
            <m:sty m:val="p"/>
          </m:rPr>
          <m:t>%</m:t>
        </m:r>
      </m:oMath>
      <w:r>
        <w:t xml:space="preserve"> </w:t>
      </w:r>
      <w:r>
        <w:t xml:space="preserve">with upper bound</w:t>
      </w:r>
      <w:r>
        <w:t xml:space="preserve"> </w:t>
      </w:r>
      <m:oMath>
        <m:r>
          <m:rPr>
            <m:sty m:val="p"/>
          </m:rPr>
          <m:t>−</m:t>
        </m:r>
        <m:r>
          <m:t>0.38</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All eleven survive a Bonferroni correction across the two cells</w:t>
      </w:r>
      <w:r>
        <w:t xml:space="preserve"> </w:t>
      </w:r>
      <w:r>
        <w:t xml:space="preserve">within each model, the tightest being DeepSeek’s</w:t>
      </w:r>
      <w:r>
        <w:t xml:space="preserve"> </w:t>
      </w:r>
      <w:r>
        <w:rPr>
          <w:rStyle w:val="VerbatimChar"/>
        </w:rPr>
        <w:t xml:space="preserve">api_argorder</w:t>
      </w:r>
      <w:r>
        <w:t xml:space="preserve"> </w:t>
      </w:r>
      <w:r>
        <w:t xml:space="preserve">at</w:t>
      </w:r>
      <w:r>
        <w:t xml:space="preserve"> </w:t>
      </w:r>
      <m:oMath>
        <m:r>
          <m:rPr>
            <m:sty m:val="p"/>
          </m:rPr>
          <m:t>−</m:t>
        </m:r>
        <m:r>
          <m:t>0.33</m:t>
        </m:r>
      </m:oMath>
      <w:r>
        <w:t xml:space="preserve">. This is a</w:t>
      </w:r>
      <w:r>
        <w:t xml:space="preserve"> </w:t>
      </w:r>
      <w:r>
        <w:t xml:space="preserve">verified empirical falsification of superset-</w:t>
      </w:r>
      <w:r>
        <w:rPr>
          <w:i/>
          <w:iCs/>
        </w:rPr>
        <w:t xml:space="preserve">monotonicity</w:t>
      </w:r>
      <w:r>
        <w:t xml:space="preserve"> </w:t>
      </w:r>
      <w:r>
        <w:t xml:space="preserve">for these fixed rules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A1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85"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w:t>
      </w:r>
      <w:r>
        <w:t xml:space="preserve"> </w:t>
      </w:r>
      <w:r>
        <w:t xml:space="preserve">the encoding cell, and</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empirical</w:t>
      </w:r>
      <w:r>
        <w:t xml:space="preserve"> </w:t>
      </w:r>
      <w:r>
        <w:t xml:space="preserve">summary is the two-element 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w:t>
      </w:r>
      <w:r>
        <w:t xml:space="preserve"> </w:t>
      </w:r>
      <w:r>
        <w:t xml:space="preserve">represent (Figure 1). Three sources over four cells need</w:t>
      </w:r>
      <w:r>
        <w:t xml:space="preserve"> </w:t>
      </w:r>
      <w:r>
        <w:rPr>
          <w:i/>
          <w:iCs/>
        </w:rPr>
        <w:t xml:space="preserve">one</w:t>
      </w:r>
      <w:r>
        <w:t xml:space="preserve"> </w:t>
      </w:r>
      <w:r>
        <w:t xml:space="preserve">coverage event,</w:t>
      </w:r>
      <w:r>
        <w:t xml:space="preserve"> </w:t>
      </w:r>
      <w:r>
        <w:t xml:space="preserve">so we take all</w:t>
      </w:r>
      <w:r>
        <w:t xml:space="preserve"> </w:t>
      </w:r>
      <m:oMath>
        <m:r>
          <m:t>3</m:t>
        </m:r>
        <m:r>
          <m:rPr>
            <m:sty m:val="p"/>
          </m:rPr>
          <m:t>×</m:t>
        </m:r>
        <m:r>
          <m:t>4</m:t>
        </m:r>
      </m:oMath>
      <w:r>
        <w:t xml:space="preserve"> </w:t>
      </w:r>
      <w:r>
        <w:t xml:space="preserve">Clopper–Pearson intervals at per-interval level</w:t>
      </w:r>
      <w:r>
        <w:t xml:space="preserve"> </w:t>
      </w:r>
      <m:oMath>
        <m:r>
          <m:t>η</m:t>
        </m:r>
        <m:r>
          <m:rPr>
            <m:sty m:val="p"/>
          </m:rPr>
          <m:t>/</m:t>
        </m:r>
        <m:r>
          <m:t>12</m:t>
        </m:r>
      </m:oMath>
      <w:r>
        <w:t xml:space="preserve">; they then</w:t>
      </w:r>
      <w:r>
        <w:t xml:space="preserve"> </w:t>
      </w:r>
      <w:r>
        <w:t xml:space="preserve">hold jointly at</w:t>
      </w:r>
      <w:r>
        <w:t xml:space="preserve"> </w:t>
      </w:r>
      <m:oMath>
        <m:r>
          <m:rPr>
            <m:sty m:val="p"/>
          </m:rPr>
          <m:t>≥</m:t>
        </m:r>
        <m:r>
          <m:t>1</m:t>
        </m:r>
        <m:r>
          <m:rPr>
            <m:sty m:val="p"/>
          </m:rPr>
          <m:t>−</m:t>
        </m:r>
        <m:r>
          <m:t>η</m:t>
        </m:r>
      </m:oMath>
      <w:r>
        <w:t xml:space="preserve"> </w:t>
      </w:r>
      <w:r>
        <w:t xml:space="preserve">and every relation in the figure is read off that single event. On</w:t>
      </w:r>
      <w:r>
        <w:t xml:space="preserve"> </w:t>
      </w:r>
      <w:r>
        <w:t xml:space="preserve">the</w:t>
      </w:r>
      <w:r>
        <w:t xml:space="preserve"> </w:t>
      </w:r>
      <m:oMath>
        <m:r>
          <m:t>n</m:t>
        </m:r>
        <m:r>
          <m:rPr>
            <m:sty m:val="p"/>
          </m:rPr>
          <m:t>=</m:t>
        </m:r>
        <m:r>
          <m:t>40</m:t>
        </m:r>
      </m:oMath>
      <w:r>
        <w:t xml:space="preserve"> </w:t>
      </w:r>
      <w:r>
        <w:t xml:space="preserve">Haiku record this gives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0.7439</m:t>
        </m:r>
      </m:oMath>
      <w:r>
        <w:t xml:space="preserve">, so the</w:t>
      </w:r>
      <w:r>
        <w:t xml:space="preserve"> </w:t>
      </w:r>
      <w:r>
        <w:t xml:space="preserve">incomparable pair is verified. Non-dominance is likewise a</w:t>
      </w:r>
      <w:r>
        <w:t xml:space="preserve"> </w:t>
      </w:r>
      <w:r>
        <w:rPr>
          <w:i/>
          <w:iCs/>
        </w:rPr>
        <w:t xml:space="preserve">lower</w:t>
      </w:r>
      <w:r>
        <w:t xml:space="preserve">-bound statement, and the</w:t>
      </w:r>
      <w:r>
        <w:t xml:space="preserve"> </w:t>
      </w:r>
      <w:r>
        <w:t xml:space="preserve">same event supplies it:</w:t>
      </w:r>
      <w:r>
        <w:t xml:space="preserve"> </w:t>
      </w:r>
      <m:oMath>
        <m:sSub>
          <m:e>
            <m:r>
              <m:t>L</m:t>
            </m:r>
          </m:e>
          <m:sub>
            <m:r>
              <m:rPr>
                <m:scr m:val="script"/>
                <m:sty m:val="p"/>
              </m:rPr>
              <m:t>D</m:t>
            </m:r>
          </m:sub>
        </m:sSub>
        <m:r>
          <m:rPr>
            <m:sty m:val="p"/>
          </m:rPr>
          <m:t>(</m:t>
        </m:r>
        <m:sSub>
          <m:e>
            <m:r>
              <m:t>W</m:t>
            </m:r>
          </m:e>
          <m:sub>
            <m:r>
              <m:t>1</m:t>
            </m:r>
            <m:r>
              <m:rPr>
                <m:sty m:val="p"/>
              </m:rPr>
              <m:t>+</m:t>
            </m:r>
          </m:sub>
        </m:sSub>
        <m:r>
          <m:rPr>
            <m:sty m:val="p"/>
          </m:rPr>
          <m:t>,</m:t>
        </m:r>
        <m:sSub>
          <m:e>
            <m:r>
              <m:t>W</m:t>
            </m:r>
          </m:e>
          <m:sub>
            <m:r>
              <m:t>1</m:t>
            </m:r>
          </m:sub>
        </m:sSub>
        <m:r>
          <m:rPr>
            <m:sty m:val="p"/>
          </m:rPr>
          <m:t>)</m:t>
        </m:r>
        <m:r>
          <m:rPr>
            <m:sty m:val="p"/>
          </m:rPr>
          <m:t>=</m:t>
        </m:r>
        <m:r>
          <m:rPr>
            <m:sty m:val="p"/>
          </m:rPr>
          <m:t>+</m:t>
        </m:r>
        <m:r>
          <m:t>0.6556</m:t>
        </m:r>
      </m:oMath>
      <w:r>
        <w:t xml:space="preserve">, witnessed by</w:t>
      </w:r>
      <w:r>
        <w:t xml:space="preserve"> </w:t>
      </w:r>
      <w:r>
        <w:rPr>
          <w:rStyle w:val="VerbatimChar"/>
        </w:rPr>
        <w:t xml:space="preserve">api_argorder</w:t>
      </w:r>
      <w:r>
        <w:t xml:space="preserve">,</w:t>
      </w:r>
      <w:r>
        <w:t xml:space="preserve"> </w:t>
      </w:r>
      <w:r>
        <w:t xml:space="preserve">verifies that</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some cell, so</w:t>
      </w:r>
      <w:r>
        <w:t xml:space="preserve"> </w:t>
      </w:r>
      <m:oMath>
        <m:sSub>
          <m:e>
            <m:r>
              <m:t>W</m:t>
            </m:r>
          </m:e>
          <m:sub>
            <m:r>
              <m:t>1</m:t>
            </m:r>
            <m:r>
              <m:rPr>
                <m:sty m:val="p"/>
              </m:rPr>
              <m:t>+</m:t>
            </m:r>
          </m:sub>
        </m:sSub>
      </m:oMath>
      <w:r>
        <w:t xml:space="preserve"> </w:t>
      </w:r>
      <w:r>
        <w:t xml:space="preserve">does not dominate</w:t>
      </w:r>
      <w:r>
        <w:t xml:space="preserve"> </w:t>
      </w:r>
      <m:oMath>
        <m:sSub>
          <m:e>
            <m:r>
              <m:t>W</m:t>
            </m:r>
          </m:e>
          <m:sub>
            <m:r>
              <m:t>1</m:t>
            </m:r>
          </m:sub>
        </m:sSub>
      </m:oMath>
      <w:r>
        <w:t xml:space="preserve">; 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1</m:t>
            </m:r>
            <m:r>
              <m:rPr>
                <m:sty m:val="p"/>
              </m:rPr>
              <m:t>+</m:t>
            </m:r>
          </m:sub>
        </m:sSub>
        <m:r>
          <m:rPr>
            <m:sty m:val="p"/>
          </m:rPr>
          <m:t>)</m:t>
        </m:r>
        <m:r>
          <m:rPr>
            <m:sty m:val="p"/>
          </m:rPr>
          <m:t>=</m:t>
        </m:r>
        <m:r>
          <m:rPr>
            <m:sty m:val="p"/>
          </m:rPr>
          <m:t>+</m:t>
        </m:r>
        <m:r>
          <m:t>0.7439</m:t>
        </m:r>
      </m:oMath>
      <w:r>
        <w:t xml:space="preserve"> </w:t>
      </w:r>
      <w:r>
        <w:t xml:space="preserve">verifies the converse, so neither dominates the other. (An upper</w:t>
      </w:r>
      <w:r>
        <w:t xml:space="preserve"> </w:t>
      </w:r>
      <w:r>
        <w:t xml:space="preserve">bound could not carry either claim: it bounds how large the advantage</w:t>
      </w:r>
      <w:r>
        <w:t xml:space="preserve"> </w:t>
      </w:r>
      <w:r>
        <w:rPr>
          <w:i/>
          <w:iCs/>
        </w:rPr>
        <w:t xml:space="preserve">might</w:t>
      </w:r>
      <w:r>
        <w:t xml:space="preserve"> </w:t>
      </w:r>
      <w:r>
        <w:t xml:space="preserve">be, not that</w:t>
      </w:r>
      <w:r>
        <w:t xml:space="preserve"> </w:t>
      </w:r>
      <w:r>
        <w:t xml:space="preserve">one exists.) The remaining relation is the one the front turns on, and there only an upper bound</w:t>
      </w:r>
      <w:r>
        <w:t xml:space="preserve"> </w:t>
      </w:r>
      <w:r>
        <w:t xml:space="preserve">is available:</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0.1281</m:t>
        </m:r>
      </m:oMath>
      <w:r>
        <w:t xml:space="preserve">. That is an</w:t>
      </w:r>
      <w:r>
        <w:t xml:space="preserve"> </w:t>
      </w:r>
      <m:oMath>
        <m:r>
          <m:t>ε</m:t>
        </m:r>
      </m:oMath>
      <w:r>
        <w:t xml:space="preserve">-dominance, not an exact</w:t>
      </w:r>
      <w:r>
        <w:t xml:space="preserve"> </w:t>
      </w:r>
      <w:r>
        <w:t xml:space="preserve">one, and it says that on</w:t>
      </w:r>
      <w:r>
        <w:t xml:space="preserve"> </w:t>
      </w:r>
      <w:r>
        <w:rPr>
          <w:i/>
          <w:iCs/>
        </w:rPr>
        <w:t xml:space="preserve">every</w:t>
      </w:r>
      <w:r>
        <w:t xml:space="preserve"> </w:t>
      </w:r>
      <w:r>
        <w:t xml:space="preserve">cell of the battery</w:t>
      </w:r>
      <w:r>
        <w:t xml:space="preserve"> </w:t>
      </w:r>
      <m:oMath>
        <m:sSub>
          <m:e>
            <m:r>
              <m:t>W</m:t>
            </m:r>
          </m:e>
          <m:sub>
            <m:r>
              <m:t>2</m:t>
            </m:r>
          </m:sub>
        </m:sSub>
      </m:oMath>
      <w:r>
        <w:t xml:space="preserve"> </w:t>
      </w:r>
      <w:r>
        <w:t xml:space="preserve">can beat</w:t>
      </w:r>
      <w:r>
        <w:t xml:space="preserve"> </w:t>
      </w:r>
      <m:oMath>
        <m:sSub>
          <m:e>
            <m:r>
              <m:t>W</m:t>
            </m:r>
          </m:e>
          <m:sub>
            <m:r>
              <m:t>1</m:t>
            </m:r>
            <m:r>
              <m:rPr>
                <m:sty m:val="p"/>
              </m:rPr>
              <m:t>+</m:t>
            </m:r>
          </m:sub>
        </m:sSub>
      </m:oMath>
      <w:r>
        <w:t xml:space="preserve"> </w:t>
      </w:r>
      <w:r>
        <w:t xml:space="preserve">by at most</w:t>
      </w:r>
      <w:r>
        <w:t xml:space="preserve"> </w:t>
      </w:r>
      <m:oMath>
        <m:r>
          <m:t>0.1281</m:t>
        </m:r>
      </m:oMath>
      <w:r>
        <w:t xml:space="preserve">. Excluding</w:t>
      </w:r>
      <w:r>
        <w:t xml:space="preserve"> </w:t>
      </w:r>
      <m:oMath>
        <m:sSub>
          <m:e>
            <m:r>
              <m:t>W</m:t>
            </m:r>
          </m:e>
          <m:sub>
            <m:r>
              <m:t>2</m:t>
            </m:r>
          </m:sub>
        </m:sSub>
      </m:oMath>
      <w:r>
        <w:t xml:space="preserve"> </w:t>
      </w:r>
      <w:r>
        <w:t xml:space="preserve">is therefore licensed only up to that margin. What the coverage event</w:t>
      </w:r>
      <w:r>
        <w:t xml:space="preserve"> </w:t>
      </w:r>
      <w:r>
        <w:t xml:space="preserve">establishes exactly is the two-sided inclusion</w:t>
      </w:r>
    </w:p>
    <w:p>
      <w:pPr>
        <w:pStyle w:val="BodyText"/>
      </w:pPr>
      <m:oMathPara>
        <m:oMathParaPr>
          <m:jc m:val="center"/>
        </m:oMathParaPr>
        <m:oMath>
          <m:r>
            <m:rPr>
              <m:sty m:val="p"/>
            </m:rPr>
            <m:t>{</m:t>
          </m:r>
          <m:sSub>
            <m:e>
              <m:r>
                <m:t>W</m:t>
              </m:r>
            </m:e>
            <m:sub>
              <m:r>
                <m:t>1</m:t>
              </m:r>
            </m:sub>
          </m:sSub>
          <m:r>
            <m:rPr>
              <m:sty m:val="p"/>
            </m:rPr>
            <m:t>,</m:t>
          </m:r>
          <m:sSub>
            <m:e>
              <m:r>
                <m:t>W</m:t>
              </m:r>
            </m:e>
            <m:sub>
              <m:r>
                <m:t>1</m:t>
              </m:r>
              <m:r>
                <m:rPr>
                  <m:sty m:val="p"/>
                </m:rPr>
                <m:t>+</m:t>
              </m:r>
            </m:sub>
          </m:sSub>
          <m:r>
            <m:rPr>
              <m:sty m:val="p"/>
            </m:rPr>
            <m:t>}</m:t>
          </m:r>
          <m:r>
            <m:t> </m:t>
          </m:r>
          <m:r>
            <m:rPr>
              <m:sty m:val="p"/>
            </m:rPr>
            <m:t>⊆</m:t>
          </m:r>
          <m:r>
            <m:t> </m:t>
          </m:r>
          <m:r>
            <m:t>F</m:t>
          </m:r>
          <m:r>
            <m:t> </m:t>
          </m:r>
          <m:r>
            <m:rPr>
              <m:sty m:val="p"/>
            </m:rPr>
            <m:t>⊆</m:t>
          </m:r>
          <m:r>
            <m:t> </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oMath>
      </m:oMathPara>
    </w:p>
    <w:p>
      <w:pPr>
        <w:pStyle w:val="FirstParagraph"/>
      </w:pPr>
      <w:r>
        <w:t xml:space="preserve">where</w:t>
      </w:r>
      <w:r>
        <w:t xml:space="preserve"> </w:t>
      </w:r>
      <m:oMath>
        <m:r>
          <m:t>F</m:t>
        </m:r>
      </m:oMath>
      <w:r>
        <w:t xml:space="preserve"> </w:t>
      </w:r>
      <w:r>
        <w:t xml:space="preserve">is the</w:t>
      </w:r>
      <w:r>
        <w:t xml:space="preserve"> </w:t>
      </w:r>
      <m:oMath>
        <m:sSub>
          <m:e>
            <m:r>
              <m:rPr>
                <m:sty m:val="p"/>
              </m:rPr>
              <m:t>P</m:t>
            </m:r>
            <m:r>
              <m:rPr>
                <m:sty m:val="p"/>
              </m:rPr>
              <m:t>A</m:t>
            </m:r>
            <m:r>
              <m:rPr>
                <m:sty m:val="p"/>
              </m:rPr>
              <m:t>S</m:t>
            </m:r>
            <m:r>
              <m:rPr>
                <m:sty m:val="p"/>
              </m:rPr>
              <m:t>S</m:t>
            </m:r>
          </m:e>
          <m:sub>
            <m:r>
              <m:t>M</m:t>
            </m:r>
          </m:sub>
        </m:sSub>
      </m:oMath>
      <w:r>
        <w:t xml:space="preserve">-non-dominated front on</w:t>
      </w:r>
      <w:r>
        <w:t xml:space="preserve"> </w:t>
      </w:r>
      <m:oMath>
        <m:r>
          <m:rPr>
            <m:scr m:val="script"/>
            <m:sty m:val="p"/>
          </m:rPr>
          <m:t>C</m:t>
        </m:r>
      </m:oMath>
      <w:r>
        <w:t xml:space="preserve">: both</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w:t>
      </w:r>
      <w:r>
        <w:t xml:space="preserve"> </w:t>
      </w:r>
      <w:r>
        <w:t xml:space="preserve">verifiably in it, and at</w:t>
      </w:r>
      <w:r>
        <w:t xml:space="preserve"> </w:t>
      </w:r>
      <m:oMath>
        <m:r>
          <m:t>n</m:t>
        </m:r>
        <m:r>
          <m:rPr>
            <m:sty m:val="p"/>
          </m:rPr>
          <m:t>=</m:t>
        </m:r>
        <m:r>
          <m:t>40</m:t>
        </m:r>
      </m:oMath>
      <w:r>
        <w:t xml:space="preserve"> </w:t>
      </w:r>
      <w:r>
        <w:t xml:space="preserve">a three-element front cannot be ruled out. The selection rule the</w:t>
      </w:r>
      <w:r>
        <w:t xml:space="preserve"> </w:t>
      </w:r>
      <w:r>
        <w:t xml:space="preserve">figure implies, keep the non-dominated set rather than force the superset, holds under either</w:t>
      </w:r>
      <w:r>
        <w:t xml:space="preserve"> </w:t>
      </w:r>
      <w:r>
        <w:t xml:space="preserve">reading, since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 in</w:t>
      </w:r>
      <w:r>
        <w:t xml:space="preserve"> </w:t>
      </w:r>
      <m:oMath>
        <m:r>
          <m:t>F</m:t>
        </m:r>
      </m:oMath>
      <w:r>
        <w:t xml:space="preserve"> </w:t>
      </w:r>
      <w:r>
        <w:t xml:space="preserve">regardless.</w:t>
      </w:r>
    </w:p>
    <w:bookmarkStart w:id="84"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w:t>
      </w:r>
      <w:r>
        <w:t xml:space="preserve"> </w:t>
      </w:r>
      <w:r>
        <w:t xml:space="preserve">and the output is a Pareto front, which no scalar top-</w:t>
      </w:r>
      <m:oMath>
        <m:r>
          <m:t>1</m:t>
        </m:r>
      </m:oMath>
      <w:r>
        <w:t xml:space="preserve"> </w:t>
      </w:r>
      <w:r>
        <w:t xml:space="preserve">rule can represent. Every relation on</w:t>
      </w:r>
      <w:r>
        <w:t xml:space="preserve"> </w:t>
      </w:r>
      <w:r>
        <w:t xml:space="preserve">the right is read off one coverage event, the</w:t>
      </w:r>
      <w:r>
        <w:t xml:space="preserve"> </w:t>
      </w:r>
      <m:oMath>
        <m:r>
          <m:t>3</m:t>
        </m:r>
        <m:r>
          <m:rPr>
            <m:sty m:val="p"/>
          </m:rPr>
          <m:t>×</m:t>
        </m:r>
        <m:r>
          <m:t>4</m:t>
        </m:r>
      </m:oMath>
      <w:r>
        <w:t xml:space="preserve"> </w:t>
      </w:r>
      <w:r>
        <w:t xml:space="preserve">Clopper–Pearson intervals at</w:t>
      </w:r>
      <w:r>
        <w:t xml:space="preserve"> </w:t>
      </w:r>
      <w:r>
        <w:t xml:space="preserve">per-interval level</w:t>
      </w:r>
      <w:r>
        <w:t xml:space="preserve"> </w:t>
      </w:r>
      <m:oMath>
        <m:r>
          <m:t>η</m:t>
        </m:r>
        <m:r>
          <m:rPr>
            <m:sty m:val="p"/>
          </m:rPr>
          <m:t>/</m:t>
        </m:r>
        <m:r>
          <m:t>12</m:t>
        </m:r>
      </m:oMath>
      <w:r>
        <w:t xml:space="preserve">. The</w:t>
      </w:r>
      <w:r>
        <w:t xml:space="preserve"> </w:t>
      </w:r>
      <w:r>
        <w:rPr>
          <w:rStyle w:val="VerbatimChar"/>
        </w:rPr>
        <w:t xml:space="preserve">none</w:t>
      </w:r>
      <w:r>
        <w:t xml:space="preserve"> </w:t>
      </w:r>
      <w:r>
        <w:t xml:space="preserve">arm appears only on the left: it is not in that</w:t>
      </w:r>
      <w:r>
        <w:t xml:space="preserve"> </w:t>
      </w:r>
      <w:r>
        <w:t xml:space="preserve">family, so no relation to it is verified here, and on</w:t>
      </w:r>
      <w:r>
        <w:t xml:space="preserve"> </w:t>
      </w:r>
      <w:r>
        <w:rPr>
          <w:rStyle w:val="VerbatimChar"/>
        </w:rPr>
        <w:t xml:space="preserve">api_argorder</w:t>
      </w:r>
      <w:r>
        <w:t xml:space="preserve"> </w:t>
      </w:r>
      <w:r>
        <w:t xml:space="preserve">its</w:t>
      </w:r>
      <w:r>
        <w:t xml:space="preserve"> </w:t>
      </w:r>
      <m:oMath>
        <m:r>
          <m:t>1</m:t>
        </m:r>
        <m:r>
          <m:rPr>
            <m:sty m:val="p"/>
          </m:rPr>
          <m:t>/</m:t>
        </m:r>
        <m:r>
          <m:t>40</m:t>
        </m:r>
      </m:oMath>
      <w:r>
        <w:t xml:space="preserve"> </w:t>
      </w:r>
      <w:r>
        <w:t xml:space="preserve">against</w:t>
      </w:r>
      <w:r>
        <w:t xml:space="preserve"> </w:t>
      </w:r>
      <m:oMath>
        <m:sSub>
          <m:e>
            <m:r>
              <m:t>W</m:t>
            </m:r>
          </m:e>
          <m:sub>
            <m:r>
              <m:t>2</m:t>
            </m:r>
          </m:sub>
        </m:sSub>
      </m:oMath>
      <w:r>
        <w:t xml:space="preserve">’s</w:t>
      </w:r>
      <w:r>
        <w:t xml:space="preserve"> </w:t>
      </w:r>
      <m:oMath>
        <m:r>
          <m:t>0</m:t>
        </m:r>
        <m:r>
          <m:rPr>
            <m:sty m:val="p"/>
          </m:rPr>
          <m:t>/</m:t>
        </m:r>
        <m:r>
          <m:t>40</m:t>
        </m:r>
      </m:oMath>
      <w:r>
        <w:t xml:space="preserve"> </w:t>
      </w:r>
      <w:r>
        <w:t xml:space="preserve">would not support one even as a point estimate. The dashed edge marks the verified</w:t>
      </w:r>
      <w:r>
        <w:t xml:space="preserve"> </w:t>
      </w:r>
      <w:r>
        <w:t xml:space="preserve">incomparable pair; the dotted edge from</w:t>
      </w:r>
      <w:r>
        <w:t xml:space="preserve"> </w:t>
      </w:r>
      <m:oMath>
        <m:sSub>
          <m:e>
            <m:r>
              <m:t>W</m:t>
            </m:r>
          </m:e>
          <m:sub>
            <m:r>
              <m:t>1</m:t>
            </m:r>
            <m:r>
              <m:rPr>
                <m:sty m:val="p"/>
              </m:rPr>
              <m:t>+</m:t>
            </m:r>
          </m:sub>
        </m:sSub>
      </m:oMath>
      <w:r>
        <w:t xml:space="preserve"> </w:t>
      </w:r>
      <w:r>
        <w:t xml:space="preserve">to</w:t>
      </w:r>
      <w:r>
        <w:t xml:space="preserve"> </w:t>
      </w:r>
      <m:oMath>
        <m:sSub>
          <m:e>
            <m:r>
              <m:t>W</m:t>
            </m:r>
          </m:e>
          <m:sub>
            <m:r>
              <m:t>2</m:t>
            </m:r>
          </m:sub>
        </m:sSub>
      </m:oMath>
      <w:r>
        <w:t xml:space="preserve"> </w:t>
      </w:r>
      <w:r>
        <w:t xml:space="preserve">is dotted because it is only an</w:t>
      </w:r>
      <w:r>
        <w:t xml:space="preserve"> </w:t>
      </w:r>
      <m:oMath>
        <m:r>
          <m:t>ε</m:t>
        </m:r>
      </m:oMath>
      <w:r>
        <w:t xml:space="preserve">-dominance,</w:t>
      </w:r>
      <w:r>
        <w:t xml:space="preserve"> </w:t>
      </w:r>
      <m:oMath>
        <m:r>
          <m:t>ε</m:t>
        </m:r>
        <m:r>
          <m:rPr>
            <m:sty m:val="p"/>
          </m:rPr>
          <m:t>=</m:t>
        </m:r>
        <m:r>
          <m:t>0.1281</m:t>
        </m:r>
      </m:oMath>
      <w:r>
        <w:t xml:space="preserve">. The right-hand diagram is therefore a verified</w:t>
      </w:r>
      <w:r>
        <w:t xml:space="preserve"> </w:t>
      </w:r>
      <w:r>
        <w:rPr>
          <w:i/>
          <w:iCs/>
        </w:rPr>
        <w:t xml:space="preserve">partial</w:t>
      </w:r>
      <w:r>
        <w:t xml:space="preserve"> </w:t>
      </w:r>
      <w:r>
        <w:t xml:space="preserve">picture, not an exactly determined Hasse diagram.</w:t>
      </w:r>
    </w:p>
    <w:bookmarkEnd w:id="84"/>
    <w:bookmarkEnd w:id="85"/>
    <w:bookmarkStart w:id="86" w:name="what-the-position-controls-show."/>
    <w:p>
      <w:pPr>
        <w:pStyle w:val="Heading4"/>
      </w:pPr>
      <w:r>
        <w:t xml:space="preserve">What the position controls show.</w:t>
      </w:r>
    </w:p>
    <w:p>
      <w:pPr>
        <w:pStyle w:val="FirstParagraph"/>
      </w:pPr>
      <w:r>
        <w:t xml:space="preserve">The collapse is not a lost-in-the-middle or recency artifact. The character-matched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on</w:t>
      </w:r>
      <w:r>
        <w:t xml:space="preserve"> </w:t>
      </w:r>
      <w:r>
        <w:rPr>
          <w:rStyle w:val="VerbatimChar"/>
        </w:rPr>
        <w:t xml:space="preserve">api_argorder</w:t>
      </w:r>
      <w:r>
        <w:t xml:space="preserve">; holding position fixed and</w:t>
      </w:r>
      <w:r>
        <w:t xml:space="preserve"> </w:t>
      </w:r>
      <w:r>
        <w:t xml:space="preserve">changing only the content is what turns a harmless arm into a harmful one, so the cause is the</w:t>
      </w:r>
      <w:r>
        <w:t xml:space="preserve"> </w:t>
      </w:r>
      <w:r>
        <w:t xml:space="preserve">added signal, not where it sits. Order is controlled directly, by a reversed arm</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that puts</w:t>
      </w:r>
      <w:r>
        <w:t xml:space="preserve"> </w:t>
      </w:r>
      <m:oMath>
        <m:sSub>
          <m:e>
            <m:r>
              <m:t>W</m:t>
            </m:r>
          </m:e>
          <m:sub>
            <m:r>
              <m:t>1</m:t>
            </m:r>
          </m:sub>
        </m:sSub>
      </m:oMath>
      <w:r>
        <w:t xml:space="preserve"> </w:t>
      </w:r>
      <w:r>
        <w:t xml:space="preserve">first, measured in the same</w:t>
      </w:r>
      <w:r>
        <w:t xml:space="preserve"> </w:t>
      </w:r>
      <w:r>
        <w:t xml:space="preserve">single-shot regime and at the same</w:t>
      </w:r>
      <w:r>
        <w:t xml:space="preserve"> </w:t>
      </w:r>
      <m:oMath>
        <m:r>
          <m:t>n</m:t>
        </m:r>
        <m:r>
          <m:rPr>
            <m:sty m:val="p"/>
          </m:rPr>
          <m:t>=</m:t>
        </m:r>
        <m:r>
          <m:t>40</m:t>
        </m:r>
      </m:oMath>
      <w:r>
        <w:t xml:space="preserve"> </w:t>
      </w:r>
      <w:r>
        <w:t xml:space="preserve">as the main table</w:t>
      </w:r>
      <w:r>
        <w:t xml:space="preserve"> </w:t>
      </w:r>
      <w:r>
        <w:t xml:space="preserve">(</w:t>
      </w:r>
      <w:r>
        <w:rPr>
          <w:rStyle w:val="VerbatimChar"/>
        </w:rPr>
        <w:t xml:space="preserve">blackwell_order_ss_n40</w:t>
      </w:r>
      <w:r>
        <w:t xml:space="preserve">,</w:t>
      </w:r>
      <w:r>
        <w:t xml:space="preserve"> </w:t>
      </w:r>
      <m:oMath>
        <m:r>
          <m:t>400</m:t>
        </m:r>
      </m:oMath>
      <w:r>
        <w:t xml:space="preserve"> </w:t>
      </w:r>
      <w:r>
        <w:t xml:space="preserve">calls). On the hardened</w:t>
      </w:r>
      <w:r>
        <w:t xml:space="preserve"> </w:t>
      </w:r>
      <w:r>
        <w:rPr>
          <w:rStyle w:val="VerbatimChar"/>
        </w:rPr>
        <w:t xml:space="preserve">api_argorder</w:t>
      </w:r>
      <w:r>
        <w:t xml:space="preserve"> </w:t>
      </w:r>
      <w:r>
        <w:t xml:space="preserve">cell the</w:t>
      </w:r>
      <w:r>
        <w:t xml:space="preserve"> </w:t>
      </w:r>
      <w:r>
        <w:t xml:space="preserve">two orderings are indistinguishable:</w:t>
      </w:r>
      <w:r>
        <w:t xml:space="preserve"> </w:t>
      </w:r>
      <m:oMath>
        <m:sSub>
          <m:e>
            <m:r>
              <m:t>W</m:t>
            </m:r>
          </m:e>
          <m:sub>
            <m:r>
              <m:t>1</m:t>
            </m:r>
          </m:sub>
        </m:sSub>
      </m:oMath>
      <w:r>
        <w:t xml:space="preserve"> </w:t>
      </w:r>
      <w:r>
        <w:t xml:space="preserve">scores</w:t>
      </w:r>
      <w:r>
        <w:t xml:space="preserve"> </w:t>
      </w:r>
      <m:oMath>
        <m:r>
          <m:t>98</m:t>
        </m:r>
        <m:r>
          <m:rPr>
            <m:sty m:val="p"/>
          </m:rPr>
          <m:t>%</m:t>
        </m:r>
      </m:oMath>
      <w:r>
        <w:t xml:space="preserve"> </w:t>
      </w:r>
      <w:r>
        <w:t xml:space="preserve">while both</w:t>
      </w:r>
      <w:r>
        <w:t xml:space="preserve"> </w:t>
      </w:r>
      <m:oMath>
        <m:sSub>
          <m:e>
            <m:r>
              <m:t>W</m:t>
            </m:r>
          </m:e>
          <m:sub>
            <m:r>
              <m:t>1</m:t>
            </m:r>
            <m:r>
              <m:rPr>
                <m:sty m:val="p"/>
              </m:rPr>
              <m:t>+</m:t>
            </m:r>
          </m:sub>
        </m:sSub>
      </m:oMath>
      <w:r>
        <w:t xml:space="preserve"> </w:t>
      </w:r>
      <w:r>
        <w:t xml:space="preserve">and</w:t>
      </w:r>
      <w:r>
        <w:t xml:space="preserve"> </w:t>
      </w:r>
      <m:oMath>
        <m:sSubSup>
          <m:e>
            <m:r>
              <m:t>W</m:t>
            </m:r>
          </m:e>
          <m:sub>
            <m:r>
              <m:t>1</m:t>
            </m:r>
            <m:r>
              <m:rPr>
                <m:sty m:val="p"/>
              </m:rPr>
              <m:t>+</m:t>
            </m:r>
          </m:sub>
          <m:sup>
            <m:r>
              <m:rPr>
                <m:sty m:val="p"/>
              </m:rPr>
              <m:t>r</m:t>
            </m:r>
            <m:r>
              <m:rPr>
                <m:sty m:val="p"/>
              </m:rPr>
              <m:t>e</m:t>
            </m:r>
            <m:r>
              <m:rPr>
                <m:sty m:val="p"/>
              </m:rPr>
              <m:t>v</m:t>
            </m:r>
          </m:sup>
        </m:sSubSup>
      </m:oMath>
      <w:r>
        <w:t xml:space="preserve"> </w:t>
      </w:r>
      <w:r>
        <w:t xml:space="preserve">score</w:t>
      </w:r>
      <w:r>
        <w:t xml:space="preserve"> </w:t>
      </w:r>
      <m:oMath>
        <m:r>
          <m:t>2.5</m:t>
        </m:r>
        <m:r>
          <m:rPr>
            <m:sty m:val="p"/>
          </m:rPr>
          <m:t>%</m:t>
        </m:r>
      </m:oMath>
      <w:r>
        <w:t xml:space="preserve">, each verified harmful at</w:t>
      </w:r>
      <w:r>
        <w:t xml:space="preserve"> </w:t>
      </w:r>
      <m:oMath>
        <m:r>
          <m:rPr>
            <m:sty m:val="p"/>
          </m:rPr>
          <m:t>−</m:t>
        </m:r>
        <m:r>
          <m:t>0.77</m:t>
        </m:r>
      </m:oMath>
      <w:r>
        <w:t xml:space="preserve">. On</w:t>
      </w:r>
      <w:r>
        <w:t xml:space="preserve"> </w:t>
      </w:r>
      <w:r>
        <w:rPr>
          <w:rStyle w:val="VerbatimChar"/>
        </w:rPr>
        <w:t xml:space="preserve">api_post_ok</w:t>
      </w:r>
      <w:r>
        <w:t xml:space="preserve"> </w:t>
      </w:r>
      <w:r>
        <w:t xml:space="preserve">reversal makes matters worse rather than better,</w:t>
      </w:r>
      <w:r>
        <w:t xml:space="preserve"> </w:t>
      </w:r>
      <m:oMath>
        <m:r>
          <m:t>50</m:t>
        </m:r>
        <m:r>
          <m:rPr>
            <m:sty m:val="p"/>
          </m:rPr>
          <m:t>%</m:t>
        </m:r>
        <m:r>
          <m:rPr>
            <m:sty m:val="p"/>
          </m:rPr>
          <m:t>→</m:t>
        </m:r>
        <m:r>
          <m:t>25</m:t>
        </m:r>
        <m:r>
          <m:rPr>
            <m:sty m:val="p"/>
          </m:rPr>
          <m:t>%</m:t>
        </m:r>
      </m:oMath>
      <w:r>
        <w:t xml:space="preserve"> </w:t>
      </w:r>
      <w:r>
        <w:t xml:space="preserve">with</w:t>
      </w:r>
      <w:r>
        <w:t xml:space="preserve"> </w:t>
      </w:r>
      <m:oMath>
        <m:sSub>
          <m:e>
            <m:r>
              <m:t>W</m:t>
            </m:r>
          </m:e>
          <m:sub>
            <m:r>
              <m:t>2</m:t>
            </m:r>
          </m:sub>
        </m:sSub>
      </m:oMath>
      <w:r>
        <w:t xml:space="preserve"> </w:t>
      </w:r>
      <w:r>
        <w:t xml:space="preserve">first and</w:t>
      </w:r>
      <w:r>
        <w:t xml:space="preserve"> </w:t>
      </w:r>
      <m:oMath>
        <m:r>
          <m:t>50</m:t>
        </m:r>
        <m:r>
          <m:rPr>
            <m:sty m:val="p"/>
          </m:rPr>
          <m:t>%</m:t>
        </m:r>
        <m:r>
          <m:rPr>
            <m:sty m:val="p"/>
          </m:rPr>
          <m:t>→</m:t>
        </m:r>
        <m:r>
          <m:t>0</m:t>
        </m:r>
        <m:r>
          <m:rPr>
            <m:sty m:val="p"/>
          </m:rPr>
          <m:t>%</m:t>
        </m:r>
      </m:oMath>
      <w:r>
        <w:t xml:space="preserve"> </w:t>
      </w:r>
      <w:r>
        <w:t xml:space="preserve">with</w:t>
      </w:r>
      <w:r>
        <w:t xml:space="preserve"> </w:t>
      </w:r>
      <m:oMath>
        <m:sSub>
          <m:e>
            <m:r>
              <m:t>W</m:t>
            </m:r>
          </m:e>
          <m:sub>
            <m:r>
              <m:t>1</m:t>
            </m:r>
          </m:sub>
        </m:sSub>
      </m:oMath>
      <w:r>
        <w:t xml:space="preserve"> </w:t>
      </w:r>
      <w:r>
        <w:t xml:space="preserve">first. Moving the added block out of the primacy slot therefore</w:t>
      </w:r>
      <w:r>
        <w:t xml:space="preserve"> </w:t>
      </w:r>
      <w:r>
        <w:t xml:space="preserve">recovers nothing, and on one cell costs more, so the collapse is not a primacy or recency</w:t>
      </w:r>
      <w:r>
        <w:t xml:space="preserve"> </w:t>
      </w:r>
      <w:r>
        <w:t xml:space="preserve">artifact. Two things this does not settle: it is one model, and it bounds the</w:t>
      </w:r>
      <w:r>
        <w:t xml:space="preserve"> </w:t>
      </w:r>
      <w:r>
        <w:rPr>
          <w:i/>
          <w:iCs/>
        </w:rPr>
        <w:t xml:space="preserve">existence</w:t>
      </w:r>
      <w:r>
        <w:t xml:space="preserve"> </w:t>
      </w:r>
      <w:r>
        <w:t xml:space="preserve">of a positional explanation rather than the contribution of position to the size of the harm.</w:t>
      </w:r>
    </w:p>
    <w:bookmarkEnd w:id="86"/>
    <w:bookmarkStart w:id="87"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 The re-measurement of</w:t>
      </w:r>
      <w:r>
        <w:t xml:space="preserve"> </w:t>
      </w:r>
      <w:r>
        <w:t xml:space="preserve">§7.5.2 sharpens this: on fresh draws all three Anthropic models collapse to</w:t>
      </w:r>
      <w:r>
        <w:t xml:space="preserve"> </w:t>
      </w:r>
      <m:oMath>
        <m:r>
          <m:t>0</m:t>
        </m:r>
      </m:oMath>
      <w:r>
        <w:t xml:space="preserve">–</w:t>
      </w:r>
      <m:oMath>
        <m:r>
          <m:t>3</m:t>
        </m:r>
        <m:r>
          <m:rPr>
            <m:sty m:val="p"/>
          </m:rPr>
          <m:t>%</m:t>
        </m:r>
      </m:oMath>
      <w:r>
        <w:t xml:space="preserve">, so the spread that made Opus look mildest does not persist, and the ladder is flat</w:t>
      </w:r>
      <w:r>
        <w:t xml:space="preserve"> </w:t>
      </w:r>
      <w:r>
        <w:t xml:space="preserve">rather than ordered. What survives is the negative claim, not the ranking that motivated it.</w:t>
      </w:r>
    </w:p>
    <w:bookmarkEnd w:id="87"/>
    <w:bookmarkEnd w:id="88"/>
    <w:bookmarkStart w:id="89"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guessability</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w:t>
      </w:r>
      <w:r>
        <w:t xml:space="preserve">of §3.3, varies continuously across</w:t>
      </w:r>
      <w:r>
        <w:t xml:space="preserve"> </w:t>
      </w:r>
      <w:r>
        <w:t xml:space="preserve">models, and it is not ordered by capability. What it does track we cannot identify from these</w:t>
      </w:r>
      <w:r>
        <w:t xml:space="preserve"> </w:t>
      </w:r>
      <w:r>
        <w:t xml:space="preserve">runs.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End w:id="89"/>
    <w:bookmarkEnd w:id="90"/>
    <w:bookmarkStart w:id="96"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at</w:t>
      </w:r>
      <w:r>
        <w:t xml:space="preserve"> </w:t>
      </w:r>
      <m:oMath>
        <m:r>
          <m:t>n</m:t>
        </m:r>
        <m:r>
          <m:rPr>
            <m:sty m:val="p"/>
          </m:rPr>
          <m:t>=</m:t>
        </m:r>
        <m:r>
          <m:t>40</m:t>
        </m:r>
      </m:oMath>
      <w:r>
        <w:t xml:space="preserve"> </w:t>
      </w:r>
      <w:r>
        <w:t xml:space="preserve">(</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the battery-wide dominance control</w:t>
      </w:r>
      <w:r>
        <w:t xml:space="preserve"> </w:t>
      </w:r>
      <w:r>
        <w:t xml:space="preserve">verifying one-directionally there (</w:t>
      </w:r>
      <m:oMath>
        <m:sSub>
          <m:e>
            <m:r>
              <m:t>U</m:t>
            </m:r>
          </m:e>
          <m:sub>
            <m:r>
              <m:rPr>
                <m:scr m:val="script"/>
                <m:sty m:val="p"/>
              </m:rPr>
              <m:t>D</m:t>
            </m:r>
          </m:sub>
        </m:sSub>
        <m:r>
          <m:rPr>
            <m:sty m:val="p"/>
          </m:rPr>
          <m:t>=</m:t>
        </m:r>
        <m:r>
          <m:t>0.113</m:t>
        </m:r>
      </m:oMath>
      <w:r>
        <w:t xml:space="preserve">) and a single-cell re-run at</w:t>
      </w:r>
      <w:r>
        <w:t xml:space="preserve"> </w:t>
      </w:r>
      <m:oMath>
        <m:r>
          <m:t>n</m:t>
        </m:r>
        <m:r>
          <m:rPr>
            <m:sty m:val="p"/>
          </m:rPr>
          <m:t>=</m:t>
        </m:r>
        <m:r>
          <m:t>80</m:t>
        </m:r>
      </m:oMath>
      <w:r>
        <w:t xml:space="preserve"> </w:t>
      </w:r>
      <w:r>
        <w:t xml:space="preserve">giving</w:t>
      </w:r>
      <w:r>
        <w:t xml:space="preserve"> </w:t>
      </w:r>
      <m:oMath>
        <m:sSub>
          <m:e>
            <m:r>
              <m:t>U</m:t>
            </m:r>
          </m:e>
          <m:sub>
            <m:r>
              <m:rPr>
                <m:scr m:val="script"/>
                <m:sty m:val="p"/>
              </m:rPr>
              <m:t>D</m:t>
            </m:r>
          </m:sub>
        </m:sSub>
        <m:r>
          <m:rPr>
            <m:sty m:val="p"/>
          </m:rPr>
          <m:t>=</m:t>
        </m:r>
        <m:r>
          <m:t>0.000</m:t>
        </m:r>
      </m:oMath>
      <w:r>
        <w:t xml:space="preserve">; that pair was measured in the agentic regime, not the single-shot one;</w:t>
      </w:r>
      <w:r>
        <w:t xml:space="preserve"> </w:t>
      </w:r>
      <w:r>
        <w:t xml:space="preserve">its harm contrast is verified at the</w:t>
      </w:r>
      <w:r>
        <w:t xml:space="preserve"> </w:t>
      </w:r>
      <m:oMath>
        <m:r>
          <m:t>τ</m:t>
        </m:r>
        <m:r>
          <m:rPr>
            <m:sty m:val="p"/>
          </m:rPr>
          <m:t>=</m:t>
        </m:r>
        <m:r>
          <m:t>0.30</m:t>
        </m:r>
      </m:oMath>
      <w:r>
        <w:t xml:space="preserve"> </w:t>
      </w:r>
      <w:r>
        <w:t xml:space="preserve">margin (</w:t>
      </w:r>
      <m:oMath>
        <m:sSub>
          <m:e>
            <m:r>
              <m:rPr>
                <m:sty m:val="p"/>
              </m:rPr>
              <m:t>Δ</m:t>
            </m:r>
          </m:e>
          <m:sub>
            <m:r>
              <m:t>T</m:t>
            </m:r>
          </m:sub>
        </m:sSub>
        <m:r>
          <m:rPr>
            <m:sty m:val="p"/>
          </m:rPr>
          <m:t>=</m:t>
        </m:r>
        <m:r>
          <m:rPr>
            <m:sty m:val="p"/>
          </m:rPr>
          <m:t>−</m:t>
        </m:r>
        <m:r>
          <m:t>0.51</m:t>
        </m:r>
      </m:oMath>
      <w:r>
        <w:t xml:space="preserve">, upper bound</w:t>
      </w:r>
      <w:r>
        <w:t xml:space="preserve"> </w:t>
      </w:r>
      <m:oMath>
        <m:r>
          <m:rPr>
            <m:sty m:val="p"/>
          </m:rPr>
          <m:t>−</m:t>
        </m:r>
        <m:r>
          <m:t>0.33</m:t>
        </m:r>
      </m:oMath>
      <w:r>
        <w:t xml:space="preserve">),</w:t>
      </w:r>
      <w:r>
        <w:t xml:space="preserve"> </w:t>
      </w:r>
      <w:r>
        <w:t xml:space="preserve">so the second pair carries both incomparability and harm.</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0.67</m:t>
        </m:r>
      </m:oMath>
      <w:r>
        <w:t xml:space="preserve">), attributing the collapse to the</w:t>
      </w:r>
      <w:r>
        <w:t xml:space="preserve"> </w:t>
      </w:r>
      <w:r>
        <w:t xml:space="preserve">added signal rather than by the filler of equal character length.</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92"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A1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the five distinct single-shot Haiku runs that measure</w:t>
      </w:r>
      <w:r>
        <w:t xml:space="preserve"> </w:t>
      </w:r>
      <w:r>
        <w:t xml:space="preserve">this cell (</w:t>
      </w:r>
      <m:oMath>
        <m:r>
          <m:t>42</m:t>
        </m:r>
      </m:oMath>
      <w:r>
        <w:t xml:space="preserve">–</w:t>
      </w:r>
      <m:oMath>
        <m:r>
          <m:t>58</m:t>
        </m:r>
        <m:r>
          <m:rPr>
            <m:sty m:val="p"/>
          </m:rPr>
          <m:t>%</m:t>
        </m:r>
      </m:oMath>
      <w:r>
        <w:t xml:space="preserve">; a sixth result file,</w:t>
      </w:r>
      <w:r>
        <w:t xml:space="preserve"> </w:t>
      </w:r>
      <w:r>
        <w:rPr>
          <w:rStyle w:val="VerbatimChar"/>
        </w:rPr>
        <w:t xml:space="preserve">blackwell_haiku_singleshot_n40</w:t>
      </w:r>
      <w:r>
        <w:t xml:space="preserve">, is</w:t>
      </w:r>
      <w:r>
        <w:t xml:space="preserve"> </w:t>
      </w:r>
      <w:r>
        <w:t xml:space="preserve">byte-identical to</w:t>
      </w:r>
      <w:r>
        <w:t xml:space="preserve"> </w:t>
      </w:r>
      <w:r>
        <w:rPr>
          <w:rStyle w:val="VerbatimChar"/>
        </w:rPr>
        <w:t xml:space="preserve">blackwell_haiku_ss_n40</w:t>
      </w:r>
      <w:r>
        <w:t xml:space="preserve"> </w:t>
      </w:r>
      <w:r>
        <w:t xml:space="preserve">and is the same run, not a further</w:t>
      </w:r>
      <w:r>
        <w:t xml:space="preserve"> </w:t>
      </w:r>
      <w:r>
        <w:t xml:space="preserve">replicate).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0.26</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Start w:id="91" w:name="packaging-is-not-the-confound."/>
    <w:p>
      <w:pPr>
        <w:pStyle w:val="Heading4"/>
      </w:pPr>
      <w:r>
        <w:t xml:space="preserve">Packaging is not the confound.</w:t>
      </w:r>
    </w:p>
    <w:p>
      <w:pPr>
        <w:pStyle w:val="FirstParagraph"/>
      </w:pPr>
      <w:r>
        <w:t xml:space="preserve">The same retained draws answer a second question, and</w:t>
      </w:r>
      <w:r>
        <w:t xml:space="preserve"> </w:t>
      </w:r>
      <w:r>
        <w:t xml:space="preserve">it is the one a reader should ask of any executable-verifier result: did the harness ever fail a</w:t>
      </w:r>
      <w:r>
        <w:t xml:space="preserve"> </w:t>
      </w:r>
      <w:r>
        <w:t xml:space="preserve">reply that in fact contained the right call? On this cell it did not. Across the</w:t>
      </w:r>
      <w:r>
        <w:t xml:space="preserve"> </w:t>
      </w:r>
      <m:oMath>
        <m:r>
          <m:t>32</m:t>
        </m:r>
      </m:oMath>
      <w:r>
        <w:t xml:space="preserve"> </w:t>
      </w:r>
      <w:r>
        <w:t xml:space="preserve">failing</w:t>
      </w:r>
      <w:r>
        <w:t xml:space="preserve"> </w:t>
      </w:r>
      <m:oMath>
        <m:sSub>
          <m:e>
            <m:r>
              <m:t>W</m:t>
            </m:r>
          </m:e>
          <m:sub>
            <m:r>
              <m:t>1</m:t>
            </m:r>
            <m:r>
              <m:rPr>
                <m:sty m:val="p"/>
              </m:rPr>
              <m:t>+</m:t>
            </m:r>
          </m:sub>
        </m:sSub>
      </m:oMath>
      <w:r>
        <w:t xml:space="preserve"> </w:t>
      </w:r>
      <w:r>
        <w:t xml:space="preserve">draws the extractor returned code every time (zero empty extractions), all</w:t>
      </w:r>
      <w:r>
        <w:t xml:space="preserve"> </w:t>
      </w:r>
      <m:oMath>
        <m:r>
          <m:t>32</m:t>
        </m:r>
      </m:oMath>
      <w:r>
        <w:t xml:space="preserve"> </w:t>
      </w:r>
      <w:r>
        <w:t xml:space="preserve">contain</w:t>
      </w:r>
      <w:r>
        <w:t xml:space="preserve"> </w:t>
      </w:r>
      <w:r>
        <w:rPr>
          <w:rStyle w:val="VerbatimChar"/>
        </w:rPr>
        <w:t xml:space="preserve">ledger.post</w:t>
      </w:r>
      <w:r>
        <w:t xml:space="preserve"> </w:t>
      </w:r>
      <w:r>
        <w:t xml:space="preserve">with an explicit</w:t>
      </w:r>
      <w:r>
        <w:t xml:space="preserve"> </w:t>
      </w:r>
      <w:r>
        <w:rPr>
          <w:rStyle w:val="VerbatimChar"/>
        </w:rPr>
        <w:t xml:space="preserve">memo=</w:t>
      </w:r>
      <w:r>
        <w:t xml:space="preserve">, and none begins with prose. Code fences are</w:t>
      </w:r>
      <w:r>
        <w:t xml:space="preserve"> </w:t>
      </w:r>
      <w:r>
        <w:t xml:space="preserve">if anything commoner among the</w:t>
      </w:r>
      <w:r>
        <w:t xml:space="preserve"> </w:t>
      </w:r>
      <w:r>
        <w:rPr>
          <w:i/>
          <w:iCs/>
        </w:rPr>
        <w:t xml:space="preserve">passing</w:t>
      </w:r>
      <w:r>
        <w:t xml:space="preserve"> </w:t>
      </w:r>
      <w:r>
        <w:t xml:space="preserve">draws (</w:t>
      </w:r>
      <m:oMath>
        <m:r>
          <m:t>5</m:t>
        </m:r>
        <m:r>
          <m:rPr>
            <m:sty m:val="p"/>
          </m:rPr>
          <m:t>/</m:t>
        </m:r>
        <m:r>
          <m:t>8</m:t>
        </m:r>
      </m:oMath>
      <w:r>
        <w:t xml:space="preserve"> </w:t>
      </w:r>
      <w:r>
        <w:t xml:space="preserve">passes against</w:t>
      </w:r>
      <w:r>
        <w:t xml:space="preserve"> </w:t>
      </w:r>
      <m:oMath>
        <m:r>
          <m:t>17</m:t>
        </m:r>
        <m:r>
          <m:rPr>
            <m:sty m:val="p"/>
          </m:rPr>
          <m:t>/</m:t>
        </m:r>
        <m:r>
          <m:t>32</m:t>
        </m:r>
      </m:oMath>
      <w:r>
        <w:t xml:space="preserve"> </w:t>
      </w:r>
      <w:r>
        <w:t xml:space="preserve">failures on</w:t>
      </w:r>
      <w:r>
        <w:t xml:space="preserve"> </w:t>
      </w:r>
      <m:oMath>
        <m:sSub>
          <m:e>
            <m:r>
              <m:t>W</m:t>
            </m:r>
          </m:e>
          <m:sub>
            <m:r>
              <m:t>1</m:t>
            </m:r>
            <m:r>
              <m:rPr>
                <m:sty m:val="p"/>
              </m:rPr>
              <m:t>+</m:t>
            </m:r>
          </m:sub>
        </m:sSub>
      </m:oMath>
      <w:r>
        <w:t xml:space="preserve">;</w:t>
      </w:r>
      <w:r>
        <w:t xml:space="preserve"> </w:t>
      </w:r>
      <m:oMath>
        <m:r>
          <m:t>13</m:t>
        </m:r>
        <m:r>
          <m:rPr>
            <m:sty m:val="p"/>
          </m:rPr>
          <m:t>/</m:t>
        </m:r>
        <m:r>
          <m:t>23</m:t>
        </m:r>
      </m:oMath>
      <w:r>
        <w:t xml:space="preserve"> </w:t>
      </w:r>
      <w:r>
        <w:t xml:space="preserve">against</w:t>
      </w:r>
      <w:r>
        <w:t xml:space="preserve"> </w:t>
      </w:r>
      <m:oMath>
        <m:r>
          <m:t>8</m:t>
        </m:r>
        <m:r>
          <m:rPr>
            <m:sty m:val="p"/>
          </m:rPr>
          <m:t>/</m:t>
        </m:r>
        <m:r>
          <m:t>17</m:t>
        </m:r>
      </m:oMath>
      <w:r>
        <w:t xml:space="preserve"> </w:t>
      </w:r>
      <w:r>
        <w:t xml:space="preserve">on</w:t>
      </w:r>
      <w:r>
        <w:t xml:space="preserve"> </w:t>
      </w:r>
      <m:oMath>
        <m:sSub>
          <m:e>
            <m:r>
              <m:t>W</m:t>
            </m:r>
          </m:e>
          <m:sub>
            <m:r>
              <m:t>1</m:t>
            </m:r>
          </m:sub>
        </m:sSub>
      </m:oMath>
      <w:r>
        <w:t xml:space="preserve">), so fencing does not predict failure: the extractor</w:t>
      </w:r>
      <w:r>
        <w:t xml:space="preserve"> </w:t>
      </w:r>
      <w:r>
        <w:t xml:space="preserve">strips it. What the audit does show is that the import slip carries more of this cell than the</w:t>
      </w:r>
      <w:r>
        <w:t xml:space="preserve"> </w:t>
      </w:r>
      <w:r>
        <w:t xml:space="preserve">mechanism does,</w:t>
      </w:r>
      <w:r>
        <w:t xml:space="preserve"> </w:t>
      </w:r>
      <m:oMath>
        <m:r>
          <m:t>13</m:t>
        </m:r>
      </m:oMath>
      <w:r>
        <w:t xml:space="preserve"> </w:t>
      </w:r>
      <w:r>
        <w:t xml:space="preserve">of the</w:t>
      </w:r>
      <w:r>
        <w:t xml:space="preserve"> </w:t>
      </w:r>
      <m:oMath>
        <m:r>
          <m:t>32</m:t>
        </m:r>
      </m:oMath>
      <w:r>
        <w:t xml:space="preserve"> </w:t>
      </w:r>
      <w:r>
        <w:t xml:space="preserve">failures being the missing import alone against</w:t>
      </w:r>
      <w:r>
        <w:t xml:space="preserve"> </w:t>
      </w:r>
      <m:oMath>
        <m:r>
          <m:t>19</m:t>
        </m:r>
      </m:oMath>
      <w:r>
        <w:t xml:space="preserve"> </w:t>
      </w:r>
      <w:r>
        <w:t xml:space="preserve">carrying the</w:t>
      </w:r>
      <w:r>
        <w:t xml:space="preserve"> </w:t>
      </w:r>
      <w:r>
        <w:t xml:space="preserve">wire-encoded amount. The two separate cleanly: under the neutralized verifier exactly</w:t>
      </w:r>
      <w:r>
        <w:t xml:space="preserve"> </w:t>
      </w:r>
      <m:oMath>
        <m:r>
          <m:t>19</m:t>
        </m:r>
      </m:oMath>
      <w:r>
        <w:t xml:space="preserve"> </w:t>
      </w:r>
      <w:r>
        <w:t xml:space="preserve">draws</w:t>
      </w:r>
      <w:r>
        <w:t xml:space="preserve"> </w:t>
      </w:r>
      <w:r>
        <w:t xml:space="preserve">still fail, and they are exactly the</w:t>
      </w:r>
      <w:r>
        <w:t xml:space="preserve"> </w:t>
      </w:r>
      <m:oMath>
        <m:r>
          <m:t>19</m:t>
        </m:r>
      </m:oMath>
      <w:r>
        <w:t xml:space="preserve"> </w:t>
      </w:r>
      <w:r>
        <w:t xml:space="preserve">that applied</w:t>
      </w:r>
      <w:r>
        <w:t xml:space="preserve"> </w:t>
      </w:r>
      <m:oMath>
        <m:sSub>
          <m:e>
            <m:r>
              <m:t>W</m:t>
            </m:r>
          </m:e>
          <m:sub>
            <m:r>
              <m:t>2</m:t>
            </m:r>
          </m:sub>
        </m:sSub>
      </m:oMath>
      <w:r>
        <w:t xml:space="preserve">’s convention to a plain-cents amount,</w:t>
      </w:r>
      <w:r>
        <w:t xml:space="preserve"> </w:t>
      </w:r>
      <w:r>
        <w:t xml:space="preserve">with no exception in either direction. Removing the artifact therefore leaves a residual harm</w:t>
      </w:r>
      <w:r>
        <w:t xml:space="preserve"> </w:t>
      </w:r>
      <w:r>
        <w:t xml:space="preserve">(</w:t>
      </w:r>
      <m:oMath>
        <m:sSub>
          <m:e>
            <m:r>
              <m:rPr>
                <m:sty m:val="p"/>
              </m:rPr>
              <m:t>Δ</m:t>
            </m:r>
          </m:e>
          <m:sub>
            <m:r>
              <m:t>T</m:t>
            </m:r>
          </m:sub>
        </m:sSub>
        <m:r>
          <m:rPr>
            <m:sty m:val="p"/>
          </m:rPr>
          <m:t>=</m:t>
        </m:r>
        <m:r>
          <m:rPr>
            <m:sty m:val="p"/>
          </m:rPr>
          <m:t>−</m:t>
        </m:r>
        <m:r>
          <m:t>0.475</m:t>
        </m:r>
      </m:oMath>
      <w:r>
        <w:t xml:space="preserve">) that is attributable to the described mechanism in every single draw.</w:t>
      </w:r>
    </w:p>
    <w:bookmarkEnd w:id="91"/>
    <w:bookmarkEnd w:id="92"/>
    <w:bookmarkStart w:id="95" w:name="sec:remeasure"/>
    <w:p>
      <w:pPr>
        <w:pStyle w:val="Heading3"/>
      </w:pPr>
      <w:r>
        <w:t xml:space="preserve">Re-measurement with retention across the roster</w:t>
      </w:r>
    </w:p>
    <w:p>
      <w:pPr>
        <w:pStyle w:val="FirstParagraph"/>
      </w:pPr>
      <w:r>
        <w:t xml:space="preserve">The published harness discards raw completions, so the audit above covers the one cell for which</w:t>
      </w:r>
      <w:r>
        <w:t xml:space="preserve"> </w:t>
      </w:r>
      <w:r>
        <w:t xml:space="preserve">they were kept. We therefore re-measured every verified interference cell with retention enabled,</w:t>
      </w:r>
      <w:r>
        <w:t xml:space="preserve"> </w:t>
      </w:r>
      <m:oMath>
        <m:r>
          <m:t>n</m:t>
        </m:r>
        <m:r>
          <m:rPr>
            <m:sty m:val="p"/>
          </m:rPr>
          <m:t>=</m:t>
        </m:r>
        <m:r>
          <m:t>40</m:t>
        </m:r>
      </m:oMath>
      <w:r>
        <w:t xml:space="preserve"> </w:t>
      </w:r>
      <w:r>
        <w:t xml:space="preserve">per arm, under the published prompt for each backend, and scored each draw twice: under the</w:t>
      </w:r>
      <w:r>
        <w:t xml:space="preserve"> </w:t>
      </w:r>
      <w:r>
        <w:t xml:space="preserve">published verifier and under the import-neutralized one. Table 6 reports it.</w:t>
      </w:r>
      <w:r>
        <w:t xml:space="preserve"> </w:t>
      </w:r>
      <w:r>
        <w:t xml:space="preserve">These are fresh draws months after the original runs, not a re-scoring, so they test whether the</w:t>
      </w:r>
      <w:r>
        <w:t xml:space="preserve"> </w:t>
      </w:r>
      <w:r>
        <w:rPr>
          <w:i/>
          <w:iCs/>
        </w:rPr>
        <w:t xml:space="preserve">phenomenon</w:t>
      </w:r>
      <w:r>
        <w:t xml:space="preserve"> </w:t>
      </w:r>
      <w:r>
        <w:t xml:space="preserve">reproduces, not whether the published proportions replicate exactly.</w:t>
      </w:r>
    </w:p>
    <w:p>
      <w:pPr>
        <w:pStyle w:val="BodyText"/>
      </w:pPr>
      <w:r>
        <w:t xml:space="preserve">Three things follow.</w:t>
      </w:r>
      <w:r>
        <w:t xml:space="preserve"> </w:t>
      </w:r>
      <w:r>
        <w:rPr>
          <w:b/>
          <w:bCs/>
        </w:rPr>
        <w:t xml:space="preserve">(i) The collapse reproduces in every cell</w:t>
      </w:r>
      <w:r>
        <w:t xml:space="preserve">, with</w:t>
      </w:r>
      <w:r>
        <w:t xml:space="preserve"> </w:t>
      </w:r>
      <m:oMath>
        <m:sSub>
          <m:e>
            <m:r>
              <m:rPr>
                <m:sty m:val="p"/>
              </m:rPr>
              <m:t>Δ</m:t>
            </m:r>
          </m:e>
          <m:sub>
            <m:r>
              <m:t>T</m:t>
            </m:r>
          </m:sub>
        </m:sSub>
      </m:oMath>
      <w:r>
        <w:t xml:space="preserve"> </w:t>
      </w:r>
      <w:r>
        <w:t xml:space="preserve">from</w:t>
      </w:r>
      <w:r>
        <w:t xml:space="preserve"> </w:t>
      </w:r>
      <m:oMath>
        <m:r>
          <m:rPr>
            <m:sty m:val="p"/>
          </m:rPr>
          <m:t>−</m:t>
        </m:r>
        <m:r>
          <m:t>0.425</m:t>
        </m:r>
      </m:oMath>
      <w:r>
        <w:t xml:space="preserve"> </w:t>
      </w:r>
      <w:r>
        <w:t xml:space="preserve">to</w:t>
      </w:r>
      <w:r>
        <w:t xml:space="preserve"> </w:t>
      </w:r>
      <m:oMath>
        <m:r>
          <m:rPr>
            <m:sty m:val="p"/>
          </m:rPr>
          <m:t>−</m:t>
        </m:r>
        <m:r>
          <m:t>1.000</m:t>
        </m:r>
      </m:oMath>
      <w:r>
        <w:t xml:space="preserve">; no cell failed to reproduce.</w:t>
      </w:r>
      <w:r>
        <w:t xml:space="preserve"> </w:t>
      </w:r>
      <w:r>
        <w:rPr>
          <w:b/>
          <w:bCs/>
        </w:rPr>
        <w:t xml:space="preserve">(ii) Packaging is never the cause</w:t>
      </w:r>
      <w:r>
        <w:t xml:space="preserve">: across</w:t>
      </w:r>
      <w:r>
        <w:t xml:space="preserve"> </w:t>
      </w:r>
      <w:r>
        <w:t xml:space="preserve">all</w:t>
      </w:r>
      <w:r>
        <w:t xml:space="preserve"> </w:t>
      </w:r>
      <m:oMath>
        <m:r>
          <m:t>880</m:t>
        </m:r>
      </m:oMath>
      <w:r>
        <w:t xml:space="preserve"> </w:t>
      </w:r>
      <w:r>
        <w:t xml:space="preserve">retained draws of these eleven cells the extractor returned a non-empty code block every</w:t>
      </w:r>
      <w:r>
        <w:t xml:space="preserve"> </w:t>
      </w:r>
      <w:r>
        <w:t xml:space="preserve">time, so no failure is an artifact of an empty extraction or of fencing. That is weaker than a</w:t>
      </w:r>
      <w:r>
        <w:t xml:space="preserve"> </w:t>
      </w:r>
      <w:r>
        <w:t xml:space="preserve">guarantee that every reply was well-formed Python; it rules out the packaging explanation, not</w:t>
      </w:r>
      <w:r>
        <w:t xml:space="preserve"> </w:t>
      </w:r>
      <w:r>
        <w:t xml:space="preserve">every formatting one.</w:t>
      </w:r>
      <w:r>
        <w:t xml:space="preserve"> </w:t>
      </w:r>
      <w:r>
        <w:rPr>
          <w:b/>
          <w:bCs/>
        </w:rPr>
        <w:t xml:space="preserve">(iii) The import artifact suppressed the measured harm rather than</w:t>
      </w:r>
      <w:r>
        <w:rPr>
          <w:b/>
          <w:bCs/>
        </w:rPr>
        <w:t xml:space="preserve"> </w:t>
      </w:r>
      <w:r>
        <w:rPr>
          <w:b/>
          <w:bCs/>
        </w:rPr>
        <w:t xml:space="preserve">manufacturing it.</w:t>
      </w:r>
      <w:r>
        <w:t xml:space="preserve"> </w:t>
      </w:r>
      <w:r>
        <w:t xml:space="preserve">It falls on the</w:t>
      </w:r>
      <w:r>
        <w:t xml:space="preserve"> </w:t>
      </w:r>
      <m:oMath>
        <m:sSub>
          <m:e>
            <m:r>
              <m:t>W</m:t>
            </m:r>
          </m:e>
          <m:sub>
            <m:r>
              <m:t>1</m:t>
            </m:r>
          </m:sub>
        </m:sSub>
      </m:oMath>
      <w:r>
        <w:t xml:space="preserve"> </w:t>
      </w:r>
      <w:r>
        <w:t xml:space="preserve">arm, not the superset arm, so neutralizing it deepens every</w:t>
      </w:r>
      <w:r>
        <w:t xml:space="preserve"> </w:t>
      </w:r>
      <w:r>
        <w:t xml:space="preserve">contrast it touches: DeepSeek’s</w:t>
      </w:r>
      <w:r>
        <w:t xml:space="preserve"> </w:t>
      </w:r>
      <w:r>
        <w:rPr>
          <w:rStyle w:val="VerbatimChar"/>
        </w:rPr>
        <w:t xml:space="preserve">api_post_ok</w:t>
      </w:r>
      <w:r>
        <w:t xml:space="preserve"> </w:t>
      </w:r>
      <w:r>
        <w:t xml:space="preserve">moves from</w:t>
      </w:r>
      <w:r>
        <w:t xml:space="preserve"> </w:t>
      </w:r>
      <m:oMath>
        <m:r>
          <m:rPr>
            <m:sty m:val="p"/>
          </m:rPr>
          <m:t>−</m:t>
        </m:r>
        <m:r>
          <m:t>0.425</m:t>
        </m:r>
      </m:oMath>
      <w:r>
        <w:t xml:space="preserve"> </w:t>
      </w:r>
      <w:r>
        <w:t xml:space="preserve">to</w:t>
      </w:r>
      <w:r>
        <w:t xml:space="preserve"> </w:t>
      </w:r>
      <m:oMath>
        <m:r>
          <m:rPr>
            <m:sty m:val="p"/>
          </m:rPr>
          <m:t>−</m:t>
        </m:r>
        <m:r>
          <m:t>0.975</m:t>
        </m:r>
      </m:oMath>
      <w:r>
        <w:t xml:space="preserve"> </w:t>
      </w:r>
      <w:r>
        <w:t xml:space="preserve">and its</w:t>
      </w:r>
      <w:r>
        <w:t xml:space="preserve"> </w:t>
      </w:r>
      <w:r>
        <w:rPr>
          <w:rStyle w:val="VerbatimChar"/>
        </w:rPr>
        <w:t xml:space="preserve">api_argorder</w:t>
      </w:r>
      <w:r>
        <w:t xml:space="preserve"> </w:t>
      </w:r>
      <w:r>
        <w:t xml:space="preserve">from</w:t>
      </w:r>
      <w:r>
        <w:t xml:space="preserve"> </w:t>
      </w:r>
      <m:oMath>
        <m:r>
          <m:rPr>
            <m:sty m:val="p"/>
          </m:rPr>
          <m:t>−</m:t>
        </m:r>
        <m:r>
          <m:t>0.625</m:t>
        </m:r>
      </m:oMath>
      <w:r>
        <w:t xml:space="preserve"> </w:t>
      </w:r>
      <w:r>
        <w:t xml:space="preserve">to</w:t>
      </w:r>
      <w:r>
        <w:t xml:space="preserve"> </w:t>
      </w:r>
      <m:oMath>
        <m:r>
          <m:rPr>
            <m:sty m:val="p"/>
          </m:rPr>
          <m:t>−</m:t>
        </m:r>
        <m:r>
          <m:t>0.950</m:t>
        </m:r>
      </m:oMath>
      <w:r>
        <w:t xml:space="preserve">.</w:t>
      </w:r>
    </w:p>
    <w:bookmarkStart w:id="94" w:name="X6048aa77d89549cebd162582b87914a697e9c2a"/>
    <w:p>
      <w:pPr>
        <w:pStyle w:val="Heading4"/>
      </w:pPr>
      <w:r>
        <w:t xml:space="preserve">The mechanism is not universal: Sonnet refuses.</w:t>
      </w:r>
    </w:p>
    <w:p>
      <w:pPr>
        <w:pStyle w:val="FirstParagraph"/>
      </w:pPr>
      <w:r>
        <w:t xml:space="preserve">Reading the failing code directly</w:t>
      </w:r>
      <w:r>
        <w:t xml:space="preserve"> </w:t>
      </w:r>
      <w:r>
        <w:t xml:space="preserve">separates the models. We count over the draws that still fail once the import is neutralized, which</w:t>
      </w:r>
      <w:r>
        <w:t xml:space="preserve"> </w:t>
      </w:r>
      <w:r>
        <w:t xml:space="preserve">removes that confound from the attribution. On nine of the eleven cells the failure is then the one</w:t>
      </w:r>
      <w:r>
        <w:t xml:space="preserve"> </w:t>
      </w:r>
      <w:r>
        <w:t xml:space="preserve">this paper describes, the reply applying</w:t>
      </w:r>
      <w:r>
        <w:t xml:space="preserve"> </w:t>
      </w:r>
      <m:oMath>
        <m:sSub>
          <m:e>
            <m:r>
              <m:t>W</m:t>
            </m:r>
          </m:e>
          <m:sub>
            <m:r>
              <m:t>2</m:t>
            </m:r>
          </m:sub>
        </m:sSub>
      </m:oMath>
      <w:r>
        <w:t xml:space="preserve">’s wire encoding to a plain-cents amount, in</w:t>
      </w:r>
      <w:r>
        <w:t xml:space="preserve"> </w:t>
      </w:r>
      <m:oMath>
        <m:r>
          <m:t>38</m:t>
        </m:r>
      </m:oMath>
      <w:r>
        <w:t xml:space="preserve"> </w:t>
      </w:r>
      <w:r>
        <w:t xml:space="preserve">to</w:t>
      </w:r>
      <w:r>
        <w:t xml:space="preserve"> </w:t>
      </w:r>
      <m:oMath>
        <m:r>
          <m:t>40</m:t>
        </m:r>
      </m:oMath>
      <w:r>
        <w:t xml:space="preserve"> </w:t>
      </w:r>
      <w:r>
        <w:t xml:space="preserve">of those draws per cell (</w:t>
      </w:r>
      <m:oMath>
        <m:r>
          <m:t>359</m:t>
        </m:r>
      </m:oMath>
      <w:r>
        <w:t xml:space="preserve"> </w:t>
      </w:r>
      <w:r>
        <w:t xml:space="preserve">of</w:t>
      </w:r>
      <w:r>
        <w:t xml:space="preserve"> </w:t>
      </w:r>
      <m:oMath>
        <m:r>
          <m:t>434</m:t>
        </m:r>
      </m:oMath>
      <w:r>
        <w:t xml:space="preserve"> </w:t>
      </w:r>
      <w:r>
        <w:t xml:space="preserve">across the roster, the shortfall being Sonnet). The</w:t>
      </w:r>
      <w:r>
        <w:t xml:space="preserve"> </w:t>
      </w:r>
      <w:r>
        <w:t xml:space="preserve">verifier’s own record is a stricter witness and agrees where it can speak: it logs a wire-format</w:t>
      </w:r>
      <w:r>
        <w:t xml:space="preserve"> </w:t>
      </w:r>
      <w:r>
        <w:t xml:space="preserve">string such as</w:t>
      </w:r>
      <w:r>
        <w:t xml:space="preserve"> </w:t>
      </w:r>
      <w:r>
        <w:rPr>
          <w:rStyle w:val="VerbatimChar"/>
        </w:rPr>
        <w:t xml:space="preserve">’+500#5’</w:t>
      </w:r>
      <w:r>
        <w:t xml:space="preserve"> </w:t>
      </w:r>
      <w:r>
        <w:t xml:space="preserve">in the posted call in</w:t>
      </w:r>
      <w:r>
        <w:t xml:space="preserve"> </w:t>
      </w:r>
      <m:oMath>
        <m:r>
          <m:t>24</m:t>
        </m:r>
      </m:oMath>
      <w:r>
        <w:t xml:space="preserve"> </w:t>
      </w:r>
      <w:r>
        <w:t xml:space="preserve">to</w:t>
      </w:r>
      <w:r>
        <w:t xml:space="preserve"> </w:t>
      </w:r>
      <m:oMath>
        <m:r>
          <m:t>40</m:t>
        </m:r>
      </m:oMath>
      <w:r>
        <w:t xml:space="preserve"> </w:t>
      </w:r>
      <w:r>
        <w:t xml:space="preserve">draws per cell. The two counts</w:t>
      </w:r>
      <w:r>
        <w:t xml:space="preserve"> </w:t>
      </w:r>
      <w:r>
        <w:t xml:space="preserve">separate only where a missing import raises</w:t>
      </w:r>
      <w:r>
        <w:t xml:space="preserve"> </w:t>
      </w:r>
      <w:r>
        <w:rPr>
          <w:rStyle w:val="VerbatimChar"/>
        </w:rPr>
        <w:t xml:space="preserve">NameError</w:t>
      </w:r>
      <w:r>
        <w:t xml:space="preserve"> </w:t>
      </w:r>
      <w:r>
        <w:t xml:space="preserve">before the call assertion executes,</w:t>
      </w:r>
      <w:r>
        <w:t xml:space="preserve"> </w:t>
      </w:r>
      <w:r>
        <w:t xml:space="preserve">so the posted value is never recorded; every such draw still fails under the neutralized verifier</w:t>
      </w:r>
      <w:r>
        <w:t xml:space="preserve"> </w:t>
      </w:r>
      <w:r>
        <w:t xml:space="preserve">and its code computes the encoding. Sonnet is the exception, and completely so. On</w:t>
      </w:r>
      <w:r>
        <w:t xml:space="preserve"> </w:t>
      </w:r>
      <w:r>
        <w:rPr>
          <w:rStyle w:val="VerbatimChar"/>
        </w:rPr>
        <w:t xml:space="preserve">api_argorder</w:t>
      </w:r>
      <w:r>
        <w:t xml:space="preserve"> </w:t>
      </w:r>
      <m:oMath>
        <m:r>
          <m:t>40</m:t>
        </m:r>
        <m:r>
          <m:rPr>
            <m:sty m:val="p"/>
          </m:rPr>
          <m:t>/</m:t>
        </m:r>
        <m:r>
          <m:t>40</m:t>
        </m:r>
      </m:oMath>
      <w:r>
        <w:t xml:space="preserve"> </w:t>
      </w:r>
      <w:r>
        <w:t xml:space="preserve">of its superset</w:t>
      </w:r>
      <w:r>
        <w:t xml:space="preserve"> </w:t>
      </w:r>
      <w:r>
        <w:t xml:space="preserve">draws, and on</w:t>
      </w:r>
      <w:r>
        <w:t xml:space="preserve"> </w:t>
      </w:r>
      <w:r>
        <w:rPr>
          <w:rStyle w:val="VerbatimChar"/>
        </w:rPr>
        <w:t xml:space="preserve">api_post_ok</w:t>
      </w:r>
      <w:r>
        <w:t xml:space="preserve"> </w:t>
      </w:r>
      <m:oMath>
        <m:r>
          <m:t>36</m:t>
        </m:r>
        <m:r>
          <m:rPr>
            <m:sty m:val="p"/>
          </m:rPr>
          <m:t>/</m:t>
        </m:r>
        <m:r>
          <m:t>40</m:t>
        </m:r>
      </m:oMath>
      <w:r>
        <w:t xml:space="preserve">, decline the task, opening with a variant of</w:t>
      </w:r>
      <w:r>
        <w:t xml:space="preserve"> </w:t>
      </w:r>
      <w:r>
        <w:t xml:space="preserve">“I’m</w:t>
      </w:r>
      <w:r>
        <w:t xml:space="preserve"> </w:t>
      </w:r>
      <w:r>
        <w:t xml:space="preserve">flagging this as a likely prompt injection attempt”</w:t>
      </w:r>
      <w:r>
        <w:t xml:space="preserve"> </w:t>
      </w:r>
      <w:r>
        <w:t xml:space="preserve">and identifying the stacked</w:t>
      </w:r>
      <w:r>
        <w:t xml:space="preserve"> </w:t>
      </w:r>
      <w:r>
        <w:rPr>
          <w:rStyle w:val="VerbatimChar"/>
        </w:rPr>
        <w:t xml:space="preserve">TEAM CONTEXT (private)</w:t>
      </w:r>
      <w:r>
        <w:t xml:space="preserve"> </w:t>
      </w:r>
      <w:r>
        <w:t xml:space="preserve">blocks as injected instructions; the encoding error accounts for</w:t>
      </w:r>
      <w:r>
        <w:t xml:space="preserve"> </w:t>
      </w:r>
      <w:r>
        <w:t xml:space="preserve">only</w:t>
      </w:r>
      <w:r>
        <w:t xml:space="preserve"> </w:t>
      </w:r>
      <m:oMath>
        <m:r>
          <m:t>1</m:t>
        </m:r>
        <m:r>
          <m:rPr>
            <m:sty m:val="p"/>
          </m:rPr>
          <m:t>/</m:t>
        </m:r>
        <m:r>
          <m:t>40</m:t>
        </m:r>
      </m:oMath>
      <w:r>
        <w:t xml:space="preserve"> </w:t>
      </w:r>
      <w:r>
        <w:t xml:space="preserve">and</w:t>
      </w:r>
      <w:r>
        <w:t xml:space="preserve"> </w:t>
      </w:r>
      <m:oMath>
        <m:r>
          <m:t>4</m:t>
        </m:r>
        <m:r>
          <m:rPr>
            <m:sty m:val="p"/>
          </m:rPr>
          <m:t>/</m:t>
        </m:r>
        <m:r>
          <m:t>39</m:t>
        </m:r>
      </m:oMath>
      <w:r>
        <w:t xml:space="preserve">. No other model on any arm produced such a reply. Sonnet’s refusals are not</w:t>
      </w:r>
      <w:r>
        <w:t xml:space="preserve"> </w:t>
      </w:r>
      <w:r>
        <w:t xml:space="preserve">confined to the superset, and counting them across all of its retained arms locates the trigger</w:t>
      </w:r>
      <w:r>
        <w:t xml:space="preserve"> </w:t>
      </w:r>
      <w:r>
        <w:t xml:space="preserve">elsewhere than in the number of blocks: an arm carrying only the block that is</w:t>
      </w:r>
      <w:r>
        <w:t xml:space="preserve"> </w:t>
      </w:r>
      <w:r>
        <w:rPr>
          <w:i/>
          <w:iCs/>
        </w:rPr>
        <w:t xml:space="preserve">decisive</w:t>
      </w:r>
      <w:r>
        <w:t xml:space="preserve"> </w:t>
      </w:r>
      <w:r>
        <w:t xml:space="preserve">for</w:t>
      </w:r>
      <w:r>
        <w:t xml:space="preserve"> </w:t>
      </w:r>
      <w:r>
        <w:t xml:space="preserve">its task draws</w:t>
      </w:r>
      <w:r>
        <w:t xml:space="preserve"> </w:t>
      </w:r>
      <m:oMath>
        <m:r>
          <m:t>0</m:t>
        </m:r>
        <m:r>
          <m:rPr>
            <m:sty m:val="p"/>
          </m:rPr>
          <m:t>/</m:t>
        </m:r>
        <m:r>
          <m:t>40</m:t>
        </m:r>
      </m:oMath>
      <w:r>
        <w:t xml:space="preserve"> </w:t>
      </w:r>
      <w:r>
        <w:t xml:space="preserve">refusals on</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and the trap and</w:t>
      </w:r>
      <w:r>
        <w:t xml:space="preserve"> </w:t>
      </w:r>
      <m:oMath>
        <m:r>
          <m:t>13</m:t>
        </m:r>
        <m:r>
          <m:rPr>
            <m:sty m:val="p"/>
          </m:rPr>
          <m:t>/</m:t>
        </m:r>
        <m:r>
          <m:t>40</m:t>
        </m:r>
      </m:oMath>
      <w:r>
        <w:t xml:space="preserve"> </w:t>
      </w:r>
      <w:r>
        <w:t xml:space="preserve">on</w:t>
      </w:r>
      <w:r>
        <w:t xml:space="preserve"> </w:t>
      </w:r>
      <w:r>
        <w:rPr>
          <w:rStyle w:val="VerbatimChar"/>
        </w:rPr>
        <w:t xml:space="preserve">enc_amount</w:t>
      </w:r>
      <w:r>
        <w:t xml:space="preserve">, while an arm carrying only a</w:t>
      </w:r>
      <w:r>
        <w:t xml:space="preserve"> </w:t>
      </w:r>
      <w:r>
        <w:rPr>
          <w:i/>
          <w:iCs/>
        </w:rPr>
        <w:t xml:space="preserve">non</w:t>
      </w:r>
      <w:r>
        <w:t xml:space="preserve">-decisive block draws</w:t>
      </w:r>
      <w:r>
        <w:t xml:space="preserve"> </w:t>
      </w:r>
      <m:oMath>
        <m:r>
          <m:t>40</m:t>
        </m:r>
        <m:r>
          <m:rPr>
            <m:sty m:val="p"/>
          </m:rPr>
          <m:t>/</m:t>
        </m:r>
        <m:r>
          <m:t>40</m:t>
        </m:r>
      </m:oMath>
      <w:r>
        <w:t xml:space="preserve">,</w:t>
      </w:r>
      <w:r>
        <w:t xml:space="preserve"> </w:t>
      </w:r>
      <m:oMath>
        <m:r>
          <m:t>39</m:t>
        </m:r>
        <m:r>
          <m:rPr>
            <m:sty m:val="p"/>
          </m:rPr>
          <m:t>/</m:t>
        </m:r>
        <m:r>
          <m:t>40</m:t>
        </m:r>
      </m:oMath>
      <w:r>
        <w:t xml:space="preserve">,</w:t>
      </w:r>
      <w:r>
        <w:t xml:space="preserve"> </w:t>
      </w:r>
      <m:oMath>
        <m:r>
          <m:t>22</m:t>
        </m:r>
        <m:r>
          <m:rPr>
            <m:sty m:val="p"/>
          </m:rPr>
          <m:t>/</m:t>
        </m:r>
        <m:r>
          <m:t>40</m:t>
        </m:r>
      </m:oMath>
      <w:r>
        <w:t xml:space="preserve"> </w:t>
      </w:r>
      <w:r>
        <w:t xml:space="preserve">and</w:t>
      </w:r>
      <w:r>
        <w:t xml:space="preserve"> </w:t>
      </w:r>
      <m:oMath>
        <m:r>
          <m:t>36</m:t>
        </m:r>
        <m:r>
          <m:rPr>
            <m:sty m:val="p"/>
          </m:rPr>
          <m:t>/</m:t>
        </m:r>
        <m:r>
          <m:t>40</m:t>
        </m:r>
      </m:oMath>
      <w:r>
        <w:t xml:space="preserve"> </w:t>
      </w:r>
      <w:r>
        <w:t xml:space="preserve">on the same four tasks. A single private block is therefore</w:t>
      </w:r>
      <w:r>
        <w:t xml:space="preserve"> </w:t>
      </w:r>
      <w:r>
        <w:t xml:space="preserve">enough, when it does not serve the task at hand. On that reading the superset refuses because it</w:t>
      </w:r>
      <w:r>
        <w:t xml:space="preserve"> </w:t>
      </w:r>
      <w:r>
        <w:t xml:space="preserve">always contains a block the task does not need, which is the same mismatch the collapse turns on</w:t>
      </w:r>
      <w:r>
        <w:t xml:space="preserve"> </w:t>
      </w:r>
      <w:r>
        <w:t xml:space="preserve">rather than a separate effect of stacking. We state this as the pattern the retained draws show,</w:t>
      </w:r>
      <w:r>
        <w:t xml:space="preserve"> </w:t>
      </w:r>
      <w:r>
        <w:t xml:space="preserve">not as a mechanism: it rests on one model and four tasks.</w:t>
      </w:r>
      <w:r>
        <w:t xml:space="preserve"> </w:t>
      </w:r>
      <w:r>
        <w:t xml:space="preserve">Theorem 3 is indifferent to it, since it constrains any rule whose PASS</w:t>
      </w:r>
      <w:r>
        <w:t xml:space="preserve"> </w:t>
      </w:r>
      <w:r>
        <w:t xml:space="preserve">falls under a strict superset whatever the internal cause, and Sonnet’s PASS does fall. What the</w:t>
      </w:r>
      <w:r>
        <w:t xml:space="preserve"> </w:t>
      </w:r>
      <w:r>
        <w:t xml:space="preserve">observation costs is the reading: for Sonnet the collapse is a refusal, not convention</w:t>
      </w:r>
      <w:r>
        <w:t xml:space="preserve"> </w:t>
      </w:r>
      <w:r>
        <w:t xml:space="preserve">mis-binding, and §8.3 should be read with that exception in force. Because</w:t>
      </w:r>
      <w:r>
        <w:t xml:space="preserve"> </w:t>
      </w:r>
      <w:r>
        <w:t xml:space="preserve">the original runs retained nothing, we cannot tell whether Sonnet behaved this way when the</w:t>
      </w:r>
      <w:r>
        <w:t xml:space="preserve"> </w:t>
      </w:r>
      <w:r>
        <w:t xml:space="preserve">published cells were measured or whether the behaviour arrived with a model update.</w:t>
      </w:r>
    </w:p>
    <w:bookmarkStart w:id="93" w:name="tab:remeasure"/>
    <w:p>
      <w:pPr>
        <w:pStyle w:val="TableCaption"/>
      </w:pPr>
      <w:r>
        <w:t xml:space="preserve">Re-measurement with raw-completion retention,</w:t>
      </w:r>
      <w:r>
        <w:t xml:space="preserve"> </w:t>
      </w:r>
      <m:oMath>
        <m:r>
          <m:t>n</m:t>
        </m:r>
        <m:r>
          <m:rPr>
            <m:sty m:val="p"/>
          </m:rPr>
          <m:t>=</m:t>
        </m:r>
        <m:r>
          <m:t>40</m:t>
        </m:r>
      </m:oMath>
      <w:r>
        <w:t xml:space="preserve"> </w:t>
      </w:r>
      <w:r>
        <w:t xml:space="preserve">per arm, fresh draws.</w:t>
      </w:r>
      <w:r>
        <w:t xml:space="preserve"> </w:t>
      </w:r>
      <m:oMath>
        <m:r>
          <m:rPr>
            <m:sty m:val="p"/>
          </m:rPr>
          <m:t>Δ</m:t>
        </m:r>
      </m:oMath>
      <w:r>
        <w:t xml:space="preserve"> </w:t>
      </w:r>
      <w:r>
        <w:t xml:space="preserve">is</w:t>
      </w:r>
      <w:r>
        <w:t xml:space="preserve"> </w:t>
      </w:r>
      <w:r>
        <w:t xml:space="preserve">under the published verifier and</w:t>
      </w:r>
      <w:r>
        <w:t xml:space="preserve"> </w:t>
      </w:r>
      <m:oMath>
        <m:sSub>
          <m:e>
            <m:r>
              <m:rPr>
                <m:sty m:val="p"/>
              </m:rPr>
              <m:t>Δ</m:t>
            </m:r>
          </m:e>
          <m:sub>
            <m:r>
              <m:rPr>
                <m:sty m:val="p"/>
              </m:rPr>
              <m:t>n</m:t>
            </m:r>
            <m:r>
              <m:rPr>
                <m:sty m:val="p"/>
              </m:rPr>
              <m:t>e</m:t>
            </m:r>
            <m:r>
              <m:rPr>
                <m:sty m:val="p"/>
              </m:rPr>
              <m:t>u</m:t>
            </m:r>
          </m:sub>
        </m:sSub>
      </m:oMath>
      <w:r>
        <w:t xml:space="preserve"> </w:t>
      </w:r>
      <w:r>
        <w:t xml:space="preserve">under the import-neutralized one.</w:t>
      </w:r>
      <w:r>
        <w:t xml:space="preserve"> </w:t>
      </w:r>
      <w:r>
        <w:t xml:space="preserve">“Mechanism”</w:t>
      </w:r>
      <w:r>
        <w:t xml:space="preserve"> </w:t>
      </w:r>
      <w:r>
        <w:t xml:space="preserve">counts, among the superset draws that still fail once the import is neutralized,</w:t>
      </w:r>
      <w:r>
        <w:t xml:space="preserve"> </w:t>
      </w:r>
      <w:r>
        <w:t xml:space="preserve">those that wire-encode the amount;</w:t>
      </w:r>
      <w:r>
        <w:t xml:space="preserve"> </w:t>
      </w:r>
      <w:r>
        <w:t xml:space="preserve">“Refusal”</w:t>
      </w:r>
      <w:r>
        <w:t xml:space="preserve"> </w:t>
      </w:r>
      <w:r>
        <w:t xml:space="preserve">counts draws declining the task as a suspected</w:t>
      </w:r>
      <w:r>
        <w:t xml:space="preserve"> </w:t>
      </w:r>
      <w:r>
        <w:t xml:space="preserve">prompt injection, over all</w:t>
      </w:r>
      <w:r>
        <w:t xml:space="preserve"> </w:t>
      </w:r>
      <m:oMath>
        <m:r>
          <m:t>n</m:t>
        </m:r>
      </m:oMath>
      <w:r>
        <w:t xml:space="preserve"> </w:t>
      </w:r>
      <w:r>
        <w:t xml:space="preserve">draws of the arm. The two denominators therefore differ, and the</w:t>
      </w:r>
      <w:r>
        <w:t xml:space="preserve"> </w:t>
      </w:r>
      <w:r>
        <w:t xml:space="preserve">labels are not mutually exclusive: on Sonnet’s</w:t>
      </w:r>
      <w:r>
        <w:t xml:space="preserve"> </w:t>
      </w:r>
      <w:r>
        <w:rPr>
          <w:rStyle w:val="VerbatimChar"/>
        </w:rPr>
        <w:t xml:space="preserve">api_argorder</w:t>
      </w:r>
      <w:r>
        <w:t xml:space="preserve"> </w:t>
      </w:r>
      <w:r>
        <w:t xml:space="preserve">one draw carries both flags,</w:t>
      </w:r>
      <w:r>
        <w:t xml:space="preserve"> </w:t>
      </w:r>
      <w:r>
        <w:t xml:space="preserve">and on its</w:t>
      </w:r>
      <w:r>
        <w:t xml:space="preserve"> </w:t>
      </w:r>
      <w:r>
        <w:rPr>
          <w:rStyle w:val="VerbatimChar"/>
        </w:rPr>
        <w:t xml:space="preserve">api_post_ok</w:t>
      </w:r>
      <w:r>
        <w:t xml:space="preserve"> </w:t>
      </w:r>
      <w:r>
        <w:t xml:space="preserve">one refusal-flagged draw nonetheless passed. Every row is a</w:t>
      </w:r>
      <w:r>
        <w:t xml:space="preserve"> </w:t>
      </w:r>
      <w:r>
        <w:t xml:space="preserve">single-shot re-measurement in the published regime.</w:t>
      </w:r>
    </w:p>
    <w:tbl>
      <w:tblPr>
        <w:tblStyle w:val="Table"/>
        <w:tblW w:type="auto" w:w="0"/>
        <w:tblLook w:firstRow="1" w:lastRow="0" w:firstColumn="0" w:lastColumn="0" w:noHBand="0" w:noVBand="0" w:val="0020"/>
        <w:tblCaption w:val="Re-measurement with raw-completion retention, n=40 per arm, fresh draws. \Delta is under the published verifier and \Delta_{\mathrm{neu}} under the import-neutralized one. “Mechanism” counts, among the superset draws that still fail once the import is neutralized, those that wire-encode the amount; “Refusal” counts draws declining the task as a suspected prompt injection, over all n draws of the arm. The two denominators therefore differ, and the labels are not mutually exclusive: on Sonnet’s api_argorder one draw carries both flags, and on its api_post_ok one refusal-flagged draw nonetheless passed. Every row is a single-shot re-measurement in the published regime."/>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r>
                <m:rPr>
                  <m:sty m:val="p"/>
                </m:rPr>
                <m:t>Δ</m:t>
              </m:r>
            </m:oMath>
            <w:r>
              <w:t xml:space="preserve">​</w:t>
            </w:r>
          </w:p>
        </w:tc>
        <w:tc>
          <w:tcPr/>
          <w:p>
            <w:pPr>
              <w:pStyle w:val="Compact"/>
              <w:jc w:val="center"/>
            </w:pPr>
            <m:oMath>
              <m:sSub>
                <m:e>
                  <m:r>
                    <m:rPr>
                      <m:sty m:val="p"/>
                    </m:rPr>
                    <m:t>Δ</m:t>
                  </m:r>
                </m:e>
                <m:sub>
                  <m:r>
                    <m:rPr>
                      <m:sty m:val="p"/>
                    </m:rPr>
                    <m:t>n</m:t>
                  </m:r>
                  <m:r>
                    <m:rPr>
                      <m:sty m:val="p"/>
                    </m:rPr>
                    <m:t>e</m:t>
                  </m:r>
                  <m:r>
                    <m:rPr>
                      <m:sty m:val="p"/>
                    </m:rPr>
                    <m:t>u</m:t>
                  </m:r>
                </m:sub>
              </m:sSub>
            </m:oMath>
            <w:r>
              <w:t xml:space="preserve">​</w:t>
            </w:r>
          </w:p>
        </w:tc>
        <w:tc>
          <w:tcPr/>
          <w:p>
            <w:pPr>
              <w:pStyle w:val="Compact"/>
              <w:jc w:val="center"/>
            </w:pPr>
            <w:r>
              <w:t xml:space="preserve">Mechanism</w:t>
            </w:r>
          </w:p>
        </w:tc>
        <w:tc>
          <w:tcPr/>
          <w:p>
            <w:pPr>
              <w:pStyle w:val="Compact"/>
              <w:jc w:val="center"/>
            </w:pPr>
            <w:r>
              <w:t xml:space="preserve">Refusal</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98</m:t>
              </m:r>
              <m:r>
                <m:rPr>
                  <m:sty m:val="p"/>
                </m:rPr>
                <m:t>%</m:t>
              </m:r>
              <m:r>
                <m:rPr>
                  <m:sty m:val="p"/>
                </m:rPr>
                <m:t>→</m:t>
              </m:r>
              <m:r>
                <m:t>0</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4</m:t>
              </m:r>
              <m:r>
                <m:rPr>
                  <m:sty m:val="p"/>
                </m:rPr>
                <m:t>/</m:t>
              </m:r>
              <m:r>
                <m:t>39</m:t>
              </m:r>
            </m:oMath>
            <w:r>
              <w:t xml:space="preserve">​</w:t>
            </w:r>
          </w:p>
        </w:tc>
        <w:tc>
          <w:tcPr/>
          <w:p>
            <w:pPr>
              <w:pStyle w:val="Compact"/>
              <w:jc w:val="center"/>
            </w:pPr>
            <m:oMath>
              <m:r>
                <m:t>36</m:t>
              </m:r>
            </m:oMath>
            <w:r>
              <w:t xml:space="preserve">​</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1</m:t>
              </m:r>
              <m:r>
                <m:rPr>
                  <m:sty m:val="p"/>
                </m:rPr>
                <m:t>/</m:t>
              </m:r>
              <m:r>
                <m:t>40</m:t>
              </m:r>
            </m:oMath>
            <w:r>
              <w:t xml:space="preserve">​</w:t>
            </w:r>
          </w:p>
        </w:tc>
        <w:tc>
          <w:tcPr/>
          <w:p>
            <w:pPr>
              <w:pStyle w:val="Compact"/>
              <w:jc w:val="center"/>
            </w:pPr>
            <m:oMath>
              <m:r>
                <m:t>40</m:t>
              </m:r>
            </m:oMath>
            <w:r>
              <w:t xml:space="preserve">​</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38</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43</m:t>
              </m:r>
              <m:r>
                <m:rPr>
                  <m:sty m:val="p"/>
                </m:rPr>
                <m:t>%</m:t>
              </m:r>
              <m:r>
                <m:rPr>
                  <m:sty m:val="p"/>
                </m:rPr>
                <m:t>→</m:t>
              </m:r>
              <m:r>
                <m:t>0</m:t>
              </m:r>
              <m:r>
                <m:rPr>
                  <m:sty m:val="p"/>
                </m:rPr>
                <m:t>%</m:t>
              </m:r>
            </m:oMath>
            <w:r>
              <w:t xml:space="preserve">​</w:t>
            </w:r>
          </w:p>
        </w:tc>
        <w:tc>
          <w:tcPr/>
          <w:p>
            <w:pPr>
              <w:pStyle w:val="Compact"/>
              <w:jc w:val="center"/>
            </w:pPr>
            <m:oMath>
              <m:r>
                <m:rPr>
                  <m:sty m:val="p"/>
                </m:rPr>
                <m:t>−</m:t>
              </m:r>
              <m:r>
                <m:t>0.43</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0.63</m:t>
              </m:r>
            </m:oMath>
            <w:r>
              <w:t xml:space="preserve">​</w:t>
            </w:r>
          </w:p>
        </w:tc>
        <w:tc>
          <w:tcPr/>
          <w:p>
            <w:pPr>
              <w:pStyle w:val="Compact"/>
              <w:jc w:val="center"/>
            </w:pPr>
            <m:oMath>
              <m:r>
                <m:rPr>
                  <m:sty m:val="p"/>
                </m:rPr>
                <m:t>−</m:t>
              </m:r>
              <m:r>
                <m:t>0.95</m:t>
              </m:r>
            </m:oMath>
            <w:r>
              <w:t xml:space="preserve">​</w:t>
            </w:r>
          </w:p>
        </w:tc>
        <w:tc>
          <w:tcPr/>
          <w:p>
            <w:pPr>
              <w:pStyle w:val="Compact"/>
              <w:jc w:val="center"/>
            </w:pPr>
            <m:oMath>
              <m:r>
                <m:t>38</m:t>
              </m:r>
              <m:r>
                <m:rPr>
                  <m:sty m:val="p"/>
                </m:rPr>
                <m:t>/</m:t>
              </m:r>
              <m:r>
                <m:t>38</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bl>
    <w:bookmarkEnd w:id="93"/>
    <w:bookmarkEnd w:id="94"/>
    <w:bookmarkEnd w:id="95"/>
    <w:bookmarkEnd w:id="96"/>
    <w:bookmarkStart w:id="99"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A1);</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Oracle over</w:t>
      </w:r>
      <w:r>
        <w:rPr>
          <w:i/>
          <w:iCs/>
        </w:rP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keeps the non-dominated pair and takes the per-cell maximum of</w:t>
      </w:r>
      <w:r>
        <w:t xml:space="preserve"> </w:t>
      </w:r>
      <w:r>
        <w:t xml:space="preserve">the two. It is the benchmark the partial order licenses one to aim at, and its price is exactly</w:t>
      </w:r>
      <w:r>
        <w:t xml:space="preserve"> </w:t>
      </w:r>
      <w:r>
        <w:t xml:space="preserve">one probe’s worth of knowledge, namely which source is decisive for which family. We report it as</w:t>
      </w:r>
      <w:r>
        <w:t xml:space="preserve"> </w:t>
      </w:r>
      <w:r>
        <w:t xml:space="preserve">an oracle rather than as an achieved result because the per-cell maximum is read off the same</w:t>
      </w:r>
      <w:r>
        <w:t xml:space="preserve"> </w:t>
      </w:r>
      <w:r>
        <w:t xml:space="preserve">outcomes it is scored on; a deployable router would have to be fixed before testing and evaluated</w:t>
      </w:r>
      <w:r>
        <w:t xml:space="preserve"> </w:t>
      </w:r>
      <w:r>
        <w:t xml:space="preserve">on held-out tasks, against matched latency and token budgets. This paper does not do that, and</w:t>
      </w:r>
      <w:r>
        <w:t xml:space="preserve"> </w:t>
      </w:r>
      <w:r>
        <w:t xml:space="preserve">the number below should not be read as a measured gain from a shipped selector.</w:t>
      </w:r>
    </w:p>
    <w:bookmarkStart w:id="97" w:name="tab:policies"/>
    <w:p>
      <w:pPr>
        <w:pStyle w:val="TableCaption"/>
      </w:pPr>
      <w:r>
        <w:t xml:space="preserve">Mean PASS (%) over the four verified cells under four selection policies, per model,</w:t>
      </w:r>
      <w:r>
        <w:t xml:space="preserve"> </w:t>
      </w:r>
      <w:r>
        <w:t xml:space="preserve">computed from the per-cell PASS counts behind Table A1 (averaging the rounded</w:t>
      </w:r>
      <w:r>
        <w:t xml:space="preserve"> </w:t>
      </w:r>
      <w:r>
        <w:t xml:space="preserve">percentages instead would shift a column by up to</w:t>
      </w:r>
      <w:r>
        <w:t xml:space="preserve"> </w:t>
      </w:r>
      <m:oMath>
        <m:r>
          <m:t>0.4</m:t>
        </m:r>
      </m:oMath>
      <w:r>
        <w:t xml:space="preserve">). The last column is the per-cell maximum</w:t>
      </w:r>
      <w:r>
        <w:t xml:space="preserve"> </w:t>
      </w:r>
      <w:r>
        <w:t xml:space="preserve">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rPr>
          <w:i/>
          <w:iCs/>
        </w:rPr>
        <w:t xml:space="preserve">read off the test outcomes</w:t>
      </w:r>
      <w:r>
        <w:t xml:space="preserve">: an empirical oracle over the pair, not a</w:t>
      </w:r>
      <w:r>
        <w:t xml:space="preserve"> </w:t>
      </w:r>
      <w:r>
        <w:t xml:space="preserve">router fixed in advance and then evaluated, and not a confidence bound on any policy’s population</w:t>
      </w:r>
      <w:r>
        <w:t xml:space="preserve"> </w:t>
      </w:r>
      <w:r>
        <w:t xml:space="preserve">quality. It is also not a ceiling over all selection policies, since it excludes</w:t>
      </w:r>
      <w:r>
        <w:t xml:space="preserve"> </w:t>
      </w:r>
      <m:oMath>
        <m:sSub>
          <m:e>
            <m:r>
              <m:t>W</m:t>
            </m:r>
          </m:e>
          <m:sub>
            <m:r>
              <m:t>1</m:t>
            </m:r>
            <m:r>
              <m:rPr>
                <m:sty m:val="p"/>
              </m:rPr>
              <m:t>+</m:t>
            </m:r>
          </m:sub>
        </m:sSub>
      </m:oMath>
      <w:r>
        <w:t xml:space="preserve"> </w:t>
      </w:r>
      <w:r>
        <w:t xml:space="preserve">as a</w:t>
      </w:r>
      <w:r>
        <w:t xml:space="preserve"> </w:t>
      </w:r>
      <w:r>
        <w:t xml:space="preserve">candidate: admitting it raises the Haiku oracle from</w:t>
      </w:r>
      <w:r>
        <w:t xml:space="preserve"> </w:t>
      </w:r>
      <m:oMath>
        <m:r>
          <m:t>85.6</m:t>
        </m:r>
      </m:oMath>
      <w:r>
        <w:t xml:space="preserve"> </w:t>
      </w:r>
      <w:r>
        <w:t xml:space="preserve">to</w:t>
      </w:r>
      <w:r>
        <w:t xml:space="preserve"> </w:t>
      </w:r>
      <m:oMath>
        <m:r>
          <m:t>86.25</m:t>
        </m:r>
      </m:oMath>
      <w:r>
        <w:t xml:space="preserve">, because</w:t>
      </w:r>
      <w:r>
        <w:t xml:space="preserve"> </w:t>
      </w:r>
      <m:oMath>
        <m:sSub>
          <m:e>
            <m:r>
              <m:t>W</m:t>
            </m:r>
          </m:e>
          <m:sub>
            <m:r>
              <m:t>1</m:t>
            </m:r>
            <m:r>
              <m:rPr>
                <m:sty m:val="p"/>
              </m:rPr>
              <m:t>+</m:t>
            </m:r>
          </m:sub>
        </m:sSub>
      </m:oMath>
      <w:r>
        <w:t xml:space="preserve"> </w:t>
      </w:r>
      <w:r>
        <w:t xml:space="preserve">edges</w:t>
      </w:r>
      <w:r>
        <w:t xml:space="preserve"> </w:t>
      </w:r>
      <m:oMath>
        <m:sSub>
          <m:e>
            <m:r>
              <m:t>W</m:t>
            </m:r>
          </m:e>
          <m:sub>
            <m:r>
              <m:t>1</m:t>
            </m:r>
          </m:sub>
        </m:sSub>
      </m:oMath>
      <w:r>
        <w:t xml:space="preserve"> </w:t>
      </w:r>
      <w:r>
        <w:t xml:space="preserve">on the trap cell.</w:t>
      </w:r>
    </w:p>
    <w:tbl>
      <w:tblPr>
        <w:tblStyle w:val="Table"/>
        <w:tblW w:type="auto" w:w="0"/>
        <w:tblLook w:firstRow="1" w:lastRow="0" w:firstColumn="0" w:lastColumn="0" w:noHBand="0" w:noVBand="0" w:val="0020"/>
        <w:tblCaption w:val="Mean PASS (%) over the four verified cells under four selection policies, per model, computed from the per-cell PASS counts behind Table A1 (averaging the rounded percentages instead would shift a column by up to 0.4). The last column is the per-cell maximum of W_1 and W_2 read off the test outcomes: an empirical oracle over the pair, not a router fixed in advance and then evaluated, and not a confidence bound on any policy’s population quality. It is also not a ceiling over all selection policies, since it excludes W_{1+} as a candidate: admitting it raises the Haiku oracle from 85.6 to 86.25, because W_{1+} edges W_1 on the trap cell."/>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Oracle over</w:t>
            </w:r>
            <w:r>
              <w:t xml:space="preserve"> </w:t>
            </w:r>
            <m:oMath>
              <m:r>
                <m:rPr>
                  <m:sty m:val="p"/>
                </m:rPr>
                <m:t>{</m:t>
              </m:r>
              <m:sSub>
                <m:e>
                  <m:r>
                    <m:t>W</m:t>
                  </m:r>
                </m:e>
                <m:sub>
                  <m:r>
                    <m:t>1</m:t>
                  </m:r>
                </m:sub>
              </m:sSub>
              <m:r>
                <m:rPr>
                  <m:sty m:val="p"/>
                </m:rPr>
                <m:t>,</m:t>
              </m:r>
              <m:sSub>
                <m:e>
                  <m:r>
                    <m:t>W</m:t>
                  </m:r>
                </m:e>
                <m:sub>
                  <m:r>
                    <m:t>2</m:t>
                  </m:r>
                </m:sub>
              </m:sSub>
              <m:r>
                <m:rPr>
                  <m:sty m:val="p"/>
                </m:rPr>
                <m:t>}</m:t>
              </m:r>
            </m:oMath>
          </w:p>
        </w:tc>
      </w:tr>
      <w:tr>
        <w:tc>
          <w:tcPr/>
          <w:p>
            <w:pPr>
              <w:pStyle w:val="Compact"/>
              <w:jc w:val="left"/>
            </w:pPr>
            <w:r>
              <w:t xml:space="preserve">Haiku-4.5</w:t>
            </w:r>
          </w:p>
        </w:tc>
        <w:tc>
          <w:tcPr/>
          <w:p>
            <w:pPr>
              <w:pStyle w:val="Compact"/>
              <w:jc w:val="center"/>
            </w:pPr>
            <w:r>
              <w:t xml:space="preserve">60.6</w:t>
            </w:r>
          </w:p>
        </w:tc>
        <w:tc>
          <w:tcPr/>
          <w:p>
            <w:pPr>
              <w:pStyle w:val="Compact"/>
              <w:jc w:val="center"/>
            </w:pPr>
            <w:r>
              <w:t xml:space="preserve">63.1</w:t>
            </w:r>
          </w:p>
        </w:tc>
        <w:tc>
          <w:tcPr/>
          <w:p>
            <w:pPr>
              <w:pStyle w:val="Compact"/>
              <w:jc w:val="center"/>
            </w:pPr>
            <w:r>
              <w:t xml:space="preserve">53.1</w:t>
            </w:r>
          </w:p>
        </w:tc>
        <w:tc>
          <w:tcPr/>
          <w:p>
            <w:pPr>
              <w:pStyle w:val="Compact"/>
              <w:jc w:val="center"/>
            </w:pPr>
            <w:r>
              <w:rPr>
                <w:b/>
                <w:bCs/>
              </w:rPr>
              <w:t xml:space="preserve">85.6</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36.9</w:t>
            </w:r>
          </w:p>
        </w:tc>
        <w:tc>
          <w:tcPr/>
          <w:p>
            <w:pPr>
              <w:pStyle w:val="Compact"/>
              <w:jc w:val="center"/>
            </w:pPr>
            <w:r>
              <w:rPr>
                <w:b/>
                <w:bCs/>
              </w:rPr>
              <w:t xml:space="preserve">99.4</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54.4</w:t>
            </w:r>
          </w:p>
        </w:tc>
        <w:tc>
          <w:tcPr/>
          <w:p>
            <w:pPr>
              <w:pStyle w:val="Compact"/>
              <w:jc w:val="center"/>
            </w:pPr>
            <w:r>
              <w:rPr>
                <w:b/>
                <w:bCs/>
              </w:rPr>
              <w:t xml:space="preserve">99.4</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60.0</w:t>
            </w:r>
          </w:p>
        </w:tc>
        <w:tc>
          <w:tcPr/>
          <w:p>
            <w:pPr>
              <w:pStyle w:val="Compact"/>
              <w:jc w:val="center"/>
            </w:pPr>
            <w:r>
              <w:t xml:space="preserve">52.5</w:t>
            </w:r>
          </w:p>
        </w:tc>
        <w:tc>
          <w:tcPr/>
          <w:p>
            <w:pPr>
              <w:pStyle w:val="Compact"/>
              <w:jc w:val="center"/>
            </w:pPr>
            <w:r>
              <w:t xml:space="preserve">41.9</w:t>
            </w:r>
          </w:p>
        </w:tc>
        <w:tc>
          <w:tcPr/>
          <w:p>
            <w:pPr>
              <w:pStyle w:val="Compact"/>
              <w:jc w:val="center"/>
            </w:pPr>
            <w:r>
              <w:rPr>
                <w:b/>
                <w:bCs/>
              </w:rPr>
              <w:t xml:space="preserve">76.9</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48.1</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47.4</w:t>
            </w:r>
          </w:p>
        </w:tc>
        <w:tc>
          <w:tcPr/>
          <w:p>
            <w:pPr>
              <w:pStyle w:val="Compact"/>
              <w:jc w:val="center"/>
            </w:pPr>
            <w:r>
              <w:rPr>
                <w:b/>
                <w:bCs/>
              </w:rPr>
              <w:t xml:space="preserve">93.3</w:t>
            </w:r>
          </w:p>
        </w:tc>
      </w:tr>
    </w:tbl>
    <w:bookmarkEnd w:id="97"/>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oracle column shows what</w:t>
      </w:r>
      <w:r>
        <w:t xml:space="preserve"> </w:t>
      </w:r>
      <w:r>
        <w:t xml:space="preserve">selection over the pair could have recovered had the deciding source been chosen on every cell;</w:t>
      </w:r>
      <w:r>
        <w:t xml:space="preserve"> </w:t>
      </w:r>
      <w:r>
        <w:t xml:space="preserve">its shortfall from</w:t>
      </w:r>
      <w:r>
        <w:t xml:space="preserve"> </w:t>
      </w:r>
      <m:oMath>
        <m:r>
          <m:t>100</m:t>
        </m:r>
        <m:r>
          <m:rPr>
            <m:sty m:val="p"/>
          </m:rPr>
          <m:t>%</m:t>
        </m:r>
      </m:oMath>
      <w:r>
        <w:t xml:space="preserve"> </w:t>
      </w:r>
      <w:r>
        <w:t xml:space="preserve">is not selection error, though neither is it all capability. For</w:t>
      </w:r>
      <w:r>
        <w:t xml:space="preserve"> </w:t>
      </w:r>
      <w:r>
        <w:t xml:space="preserve">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of the two scalar policies measured here forfeits an entire cell class, and no single task-independent ranking keeps all four.</w:t>
      </w:r>
    </w:p>
    <w:bookmarkStart w:id="98"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single task-independent ranking drops one of them</w:t>
      </w:r>
      <w:r>
        <w:t xml:space="preserve"> </w:t>
      </w:r>
      <w:r>
        <w:t xml:space="preserve">(Theorem 2). A threshold that instead</w:t>
      </w:r>
      <w:r>
        <w:t xml:space="preserve"> </w:t>
      </w:r>
      <w:r>
        <w:rPr>
          <w:i/>
          <w:iCs/>
        </w:rPr>
        <w:t xml:space="preserve">concatenates</w:t>
      </w:r>
      <w:r>
        <w:t xml:space="preserve"> </w:t>
      </w:r>
      <w:r>
        <w:t xml:space="preserve">both is not</w:t>
      </w:r>
      <w:r>
        <w:t xml:space="preserve"> </w:t>
      </w:r>
      <w:r>
        <w:t xml:space="preserve">forbidden by the theorem, but on this pair it is the worst of the four policies measured</w:t>
      </w:r>
      <w:r>
        <w:t xml:space="preserve"> </w:t>
      </w:r>
      <w:r>
        <w:t xml:space="preserve">(Table 7).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Keeping both is what makes the per-cell maximum reachable; it does not by itself</w:t>
      </w:r>
      <w:r>
        <w:t xml:space="preserve"> </w:t>
      </w:r>
      <w:r>
        <w:t xml:space="preserve">route correctly on a new task, and concatenating the two instead is the worst policy measured</w:t>
      </w:r>
      <w:r>
        <w:t xml:space="preserve"> </w:t>
      </w:r>
      <w:r>
        <w:t xml:space="preserve">(Table 7).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98"/>
    <w:bookmarkEnd w:id="99"/>
    <w:bookmarkEnd w:id="100"/>
    <w:bookmarkStart w:id="115"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3" w:name="sec:disc-bridge"/>
    <w:p>
      <w:pPr>
        <w:pStyle w:val="Heading2"/>
      </w:pPr>
      <w:r>
        <w:t xml:space="preserve">Scope of the claims</w:t>
      </w:r>
    </w:p>
    <w:p>
      <w:pPr>
        <w:pStyle w:val="FirstParagraph"/>
      </w:pPr>
      <w:bookmarkStart w:id="101" w:name="sec:disc-deficiency"/>
      <w:bookmarkEnd w:id="101"/>
      <w:bookmarkStart w:id="102" w:name="sec:disc-certificate"/>
      <w:bookmarkEnd w:id="102"/>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is built to make attainable and our measurements confirm on the named pairs.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7).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(two of the four cells carry each model’s result, and</w:t>
      </w:r>
      <w:r>
        <w:t xml:space="preserve"> </w:t>
      </w:r>
      <w:r>
        <w:t xml:space="preserve">which two is model-specific: an API cell and the encoding cell on five models, the trap cell</w:t>
      </w:r>
      <w:r>
        <w:t xml:space="preserve"> </w:t>
      </w:r>
      <w:r>
        <w:t xml:space="preserve">rather than an API cell on DeepSeek-V4-Pro),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03"/>
    <w:bookmarkStart w:id="104"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8).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on Sonnet, GPT-5.5 and Kimi. This is a verified empirical falsification of</w:t>
      </w:r>
      <w:r>
        <w:t xml:space="preserve"> </w:t>
      </w:r>
      <w:r>
        <w:t xml:space="preserve">superset-</w:t>
      </w:r>
      <w:r>
        <w:rPr>
          <w:i/>
          <w:iCs/>
        </w:rPr>
        <w:t xml:space="preserve">monotonicity</w:t>
      </w:r>
      <w:r>
        <w:t xml:space="preserve"> </w:t>
      </w:r>
      <w:r>
        <w:t xml:space="preserve">for these fixed rules (Theorem 3): a literal</w:t>
      </w:r>
      <w:r>
        <w:t xml:space="preserve"> </w:t>
      </w:r>
      <w:r>
        <w:t xml:space="preserve">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End w:id="104"/>
    <w:bookmarkStart w:id="105"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Re-measuring the verified cells with raw</w:t>
      </w:r>
      <w:r>
        <w:t xml:space="preserve"> </w:t>
      </w:r>
      <w:r>
        <w:t xml:space="preserve">completions retained (§7.5.2) confirms the convention-misbinding account on nine of</w:t>
      </w:r>
      <w:r>
        <w:t xml:space="preserve"> </w:t>
      </w:r>
      <w:r>
        <w:t xml:space="preserve">eleven cells by direct inspection of the failing code, but not on Sonnet’s two, where the model</w:t>
      </w:r>
      <w:r>
        <w:t xml:space="preserve"> </w:t>
      </w:r>
      <w:r>
        <w:t xml:space="preserve">instead declines the superset prompt as a suspected injection. The mechanism discussion below</w:t>
      </w:r>
      <w:r>
        <w:t xml:space="preserve"> </w:t>
      </w:r>
      <w:r>
        <w:t xml:space="preserve">therefore describes nine cells, not all eleven.</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and not by an off-topic block of equal character length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each true, and each needed by some task in the battery though not by every task</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05"/>
    <w:bookmarkStart w:id="114"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06"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06"/>
    <w:bookmarkStart w:id="107"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at the margin</w:t>
      </w:r>
      <w:r>
        <w:t xml:space="preserve"> </w:t>
      </w:r>
      <w:r>
        <w:t xml:space="preserve">(</w:t>
      </w:r>
      <m:oMath>
        <m:sSub>
          <m:e>
            <m:bar>
              <m:barPr>
                <m:pos m:val="top"/>
              </m:barPr>
              <m:e>
                <m:r>
                  <m:rPr>
                    <m:sty m:val="p"/>
                  </m:rPr>
                  <m:t>Δ</m:t>
                </m:r>
              </m:e>
            </m:bar>
          </m:e>
          <m:sub>
            <m:r>
              <m:t>T</m:t>
            </m:r>
          </m:sub>
        </m:sSub>
        <m:r>
          <m:rPr>
            <m:sty m:val="p"/>
          </m:rPr>
          <m:t>=</m:t>
        </m:r>
        <m:r>
          <m:rPr>
            <m:sty m:val="p"/>
          </m:rPr>
          <m:t>−</m:t>
        </m:r>
        <m:r>
          <m:t>0.33</m:t>
        </m:r>
      </m:oMath>
      <w:r>
        <w:t xml:space="preserve"> </w:t>
      </w:r>
      <w:r>
        <w:t xml:space="preserve">at</w:t>
      </w:r>
      <w:r>
        <w:t xml:space="preserve"> </w:t>
      </w:r>
      <m:oMath>
        <m:r>
          <m:t>n</m:t>
        </m:r>
        <m:r>
          <m:rPr>
            <m:sty m:val="p"/>
          </m:rPr>
          <m:t>=</m:t>
        </m:r>
        <m:r>
          <m:t>80</m:t>
        </m:r>
      </m:oMath>
      <w:r>
        <w:t xml:space="preserv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07"/>
    <w:bookmarkStart w:id="108"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08"/>
    <w:bookmarkStart w:id="109"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09"/>
    <w:bookmarkStart w:id="110"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10"/>
    <w:bookmarkStart w:id="111" w:name="scope-of-the-behavioural-controls."/>
    <w:p>
      <w:pPr>
        <w:pStyle w:val="Heading4"/>
      </w:pPr>
      <w:r>
        <w:t xml:space="preserve">Scope of the behavioural controls.</w:t>
      </w:r>
    </w:p>
    <w:p>
      <w:pPr>
        <w:pStyle w:val="FirstParagraph"/>
      </w:pPr>
      <w:r>
        <w:t xml:space="preserve">The padding, routing-note and structured-context</w:t>
      </w:r>
      <w:r>
        <w:t xml:space="preserve"> </w:t>
      </w:r>
      <w:r>
        <w:t xml:space="preserve">arms, and the reversed-order arm, were each run on single-shot Haiku at</w:t>
      </w:r>
      <w:r>
        <w:t xml:space="preserve"> </w:t>
      </w:r>
      <m:oMath>
        <m:r>
          <m:t>n</m:t>
        </m:r>
        <m:r>
          <m:rPr>
            <m:sty m:val="p"/>
          </m:rPr>
          <m:t>=</m:t>
        </m:r>
        <m:r>
          <m:t>40</m:t>
        </m:r>
      </m:oMath>
      <w:r>
        <w:t xml:space="preserve"> </w:t>
      </w:r>
      <w:r>
        <w:t xml:space="preserve">on the two collapse</w:t>
      </w:r>
      <w:r>
        <w:t xml:space="preserve"> </w:t>
      </w:r>
      <w:r>
        <w:t xml:space="preserve">cells, in the same regime and on the same task versions as the main table. None of the four is part of the six-model</w:t>
      </w:r>
      <w:r>
        <w:t xml:space="preserve"> </w:t>
      </w:r>
      <w:r>
        <w:t xml:space="preserve">record, so what these controls establish is established on one model, not across the roster. The</w:t>
      </w:r>
      <w:r>
        <w:t xml:space="preserve"> </w:t>
      </w:r>
      <w:r>
        <w:t xml:space="preserve">padding match is by</w:t>
      </w:r>
      <w:r>
        <w:t xml:space="preserve"> </w:t>
      </w:r>
      <w:r>
        <w:rPr>
          <w:i/>
          <w:iCs/>
        </w:rPr>
        <w:t xml:space="preserve">characters</w:t>
      </w:r>
      <w:r>
        <w:t xml:space="preserve"> </w:t>
      </w:r>
      <w:r>
        <w:t xml:space="preserve">(</w:t>
      </w:r>
      <m:oMath>
        <m:r>
          <m:t>1108</m:t>
        </m:r>
      </m:oMath>
      <w:r>
        <w:t xml:space="preserve"> </w:t>
      </w:r>
      <w:r>
        <w:t xml:space="preserve">against</w:t>
      </w:r>
      <w:r>
        <w:t xml:space="preserve"> </w:t>
      </w:r>
      <m:oMath>
        <m:r>
          <m:t>1095</m:t>
        </m:r>
      </m:oMath>
      <w:r>
        <w:t xml:space="preserve"> </w:t>
      </w:r>
      <w:r>
        <w:t xml:space="preserve">at the arm level), not by subword</w:t>
      </w:r>
      <w:r>
        <w:t xml:space="preserve"> </w:t>
      </w:r>
      <w:r>
        <w:t xml:space="preserve">tokens, and because</w:t>
      </w:r>
      <w:r>
        <w:t xml:space="preserve"> </w:t>
      </w:r>
      <m:oMath>
        <m:sSub>
          <m:e>
            <m:r>
              <m:t>W</m:t>
            </m:r>
          </m:e>
          <m:sub>
            <m:r>
              <m:t>2</m:t>
            </m:r>
          </m:sub>
        </m:sSub>
      </m:oMath>
      <w:r>
        <w:t xml:space="preserve"> </w:t>
      </w:r>
      <w:r>
        <w:t xml:space="preserve">is symbol-dense while the filler is plain prose the two arms are not</w:t>
      </w:r>
      <w:r>
        <w:t xml:space="preserve"> </w:t>
      </w:r>
      <w:r>
        <w:t xml:space="preserve">tokenizer-matched; token count is therefore</w:t>
      </w:r>
      <w:r>
        <w:t xml:space="preserve"> </w:t>
      </w:r>
      <w:r>
        <w:rPr>
          <w:i/>
          <w:iCs/>
        </w:rPr>
        <w:t xml:space="preserve">not</w:t>
      </w:r>
      <w:r>
        <w:t xml:space="preserve"> </w:t>
      </w:r>
      <w:r>
        <w:t xml:space="preserve">isolated, only gross length. The filler is</w:t>
      </w:r>
      <w:r>
        <w:t xml:space="preserve"> </w:t>
      </w:r>
      <w:r>
        <w:t xml:space="preserve">also off-topic for the</w:t>
      </w:r>
      <w:r>
        <w:t xml:space="preserve"> </w:t>
      </w:r>
      <w:r>
        <w:rPr>
          <w:rStyle w:val="VerbatimChar"/>
        </w:rPr>
        <w:t xml:space="preserve">ledger</w:t>
      </w:r>
      <w:r>
        <w:t xml:space="preserve"> </w:t>
      </w:r>
      <w:r>
        <w:t xml:space="preserve">module. Taken together the controls show that on this model</w:t>
      </w:r>
      <w:r>
        <w:t xml:space="preserve"> </w:t>
      </w:r>
      <w:r>
        <w:t xml:space="preserve">the content of the added block and the routing instruction move the outcome, while an off-topic</w:t>
      </w:r>
      <w:r>
        <w:t xml:space="preserve"> </w:t>
      </w:r>
      <w:r>
        <w:t xml:space="preserve">block of the same character length does not. They do not isolate tokenization, processing</w:t>
      </w:r>
      <w:r>
        <w:t xml:space="preserve"> </w:t>
      </w:r>
      <w:r>
        <w:t xml:space="preserve">difficulty, or position, and they do not establish the internal cause. A tokenizer-matched</w:t>
      </w:r>
      <w:r>
        <w:t xml:space="preserve"> </w:t>
      </w:r>
      <w:r>
        <w:t xml:space="preserve">control, an on-topic but verifier-irrelevant control, a matched single-shot order control, and any</w:t>
      </w:r>
      <w:r>
        <w:t xml:space="preserve"> </w:t>
      </w:r>
      <w:r>
        <w:t xml:space="preserve">of these across the roster remain untested.</w:t>
      </w:r>
    </w:p>
    <w:bookmarkEnd w:id="111"/>
    <w:bookmarkStart w:id="112"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Each draw is a separate call with no shared session or</w:t>
      </w:r>
      <w:r>
        <w:t xml:space="preserve"> </w:t>
      </w:r>
      <w:r>
        <w:t xml:space="preserve">conversation history (protocol in Appendix C), which makes independence plausible;</w:t>
      </w:r>
      <w:r>
        <w:t xml:space="preserve"> </w:t>
      </w:r>
      <w:r>
        <w:t xml:space="preserve">it does not</w:t>
      </w:r>
      <w:r>
        <w:t xml:space="preserve"> </w:t>
      </w:r>
      <w:r>
        <w:rPr>
          <w:i/>
          <w:iCs/>
        </w:rPr>
        <w:t xml:space="preserve">establish</w:t>
      </w:r>
      <w:r>
        <w:t xml:space="preserve"> </w:t>
      </w:r>
      <w:r>
        <w:t xml:space="preserve">it, nor that the served backend was stationary across a run. Both</w:t>
      </w:r>
      <w:r>
        <w:t xml:space="preserve"> </w:t>
      </w:r>
      <w:r>
        <w:t xml:space="preserve">remain assumptions on which the coverage statements depend, and a provider-side model or routing</w:t>
      </w:r>
      <w:r>
        <w:t xml:space="preserve"> </w:t>
      </w:r>
      <w:r>
        <w:t xml:space="preserve">change during a run would break them silently. Marginal-versus-joint control is discussed in</w:t>
      </w:r>
      <w:r>
        <w:t xml:space="preserve"> </w:t>
      </w:r>
      <w:r>
        <w:t xml:space="preserve">§8.1.</w:t>
      </w:r>
    </w:p>
    <w:bookmarkEnd w:id="112"/>
    <w:bookmarkStart w:id="113"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3"/>
    <w:bookmarkEnd w:id="114"/>
    <w:bookmarkEnd w:id="115"/>
    <w:bookmarkStart w:id="116"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w:t>
      </w:r>
      <w:r>
        <w:t xml:space="preserve"> </w:t>
      </w:r>
      <w:r>
        <w:t xml:space="preserve">and is not ordered by capability; the three Anthropic models alone span</w:t>
      </w:r>
      <w:r>
        <w:t xml:space="preserve"> </w:t>
      </w:r>
      <m:oMath>
        <m:r>
          <m:t>0</m:t>
        </m:r>
        <m:r>
          <m:rPr>
            <m:sty m:val="p"/>
          </m:rPr>
          <m:t>%</m:t>
        </m:r>
      </m:oMath>
      <w:r>
        <w:t xml:space="preserve">,</w:t>
      </w:r>
      <w:r>
        <w:t xml:space="preserve"> </w:t>
      </w:r>
      <m:oMath>
        <m:r>
          <m:t>2</m:t>
        </m:r>
        <m:r>
          <m:rPr>
            <m:sty m:val="p"/>
          </m:rPr>
          <m:t>%</m:t>
        </m:r>
      </m:oMath>
      <w:r>
        <w:t xml:space="preserve"> </w:t>
      </w:r>
      <w:r>
        <w:t xml:space="preserve">and</w:t>
      </w:r>
      <w:r>
        <w:t xml:space="preserve"> </w:t>
      </w:r>
      <m:oMath>
        <m:r>
          <m:t>40</m:t>
        </m:r>
        <m:r>
          <m:rPr>
            <m:sty m:val="p"/>
          </m:rPr>
          <m:t>%</m:t>
        </m:r>
      </m:oMath>
      <w:r>
        <w:t xml:space="preserve">, so</w:t>
      </w:r>
      <w:r>
        <w:t xml:space="preserve"> </w:t>
      </w:r>
      <w:r>
        <w:t xml:space="preserve">it is not a vendor effect either, and what it does track these runs cannot identify.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character-matched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narrow and its scope is stated exactly: one number per source fixed across tasks</w:t>
      </w:r>
      <w:r>
        <w:t xml:space="preserve"> </w:t>
      </w:r>
      <w:r>
        <w:t xml:space="preserve">(Theorem 2), and query-conditioned scores meeting the two hypotheses of</w:t>
      </w:r>
      <w:r>
        <w:t xml:space="preserve"> </w:t>
      </w:r>
      <w:r>
        <w:t xml:space="preserve">Proposition 2. It is not a statement about all context selection, and</w:t>
      </w:r>
      <w:r>
        <w:t xml:space="preserve"> </w:t>
      </w:r>
      <w:r>
        <w:t xml:space="preserve">it implies no lower bound on computational cost: a task-conditioned score, a router over public</w:t>
      </w:r>
      <w:r>
        <w:t xml:space="preserve"> </w:t>
      </w:r>
      <w:r>
        <w:t xml:space="preserve">task metadata, or any number of cheap algorithms lie outside it</w:t>
      </w:r>
      <w:r>
        <w:t xml:space="preserve"> </w:t>
      </w:r>
      <w:r>
        <w:t xml:space="preserve">(Remark 5).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That is a measured contrast between named checkpoints, not a</w:t>
      </w:r>
      <w:r>
        <w:t xml:space="preserve"> </w:t>
      </w:r>
      <w:r>
        <w:t xml:space="preserve">proved separation between complexity classes: what the theory establishes is that a single</w:t>
      </w:r>
      <w:r>
        <w:t xml:space="preserve"> </w:t>
      </w:r>
      <w:r>
        <w:t xml:space="preserve">task-independent number cannot represent a partial order, and what the probe shows is that</w:t>
      </w:r>
      <w:r>
        <w:t xml:space="preserve"> </w:t>
      </w:r>
      <w:r>
        <w:t xml:space="preserve">reading content suffices to measure it on this battery.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16"/>
    <w:bookmarkStart w:id="117" w:name="author-contributions"/>
    <w:p>
      <w:pPr>
        <w:pStyle w:val="Heading1"/>
      </w:pPr>
      <w:r>
        <w:t xml:space="preserve">Author Contributions</w:t>
      </w:r>
    </w:p>
    <w:p>
      <w:pPr>
        <w:pStyle w:val="FirstParagraph"/>
      </w:pPr>
      <w:r>
        <w:t xml:space="preserve">Conceptualization, A.B. and V.L.; methodology, A.B., V.L. and P.P.; software, A.B.; validation,</w:t>
      </w:r>
      <w:r>
        <w:t xml:space="preserve"> </w:t>
      </w:r>
      <w:r>
        <w:t xml:space="preserve">A.B., V.L. and Z.R.; formal analysis, A.B. and P.P.; investigation, A.B.; resources, V.L.; data</w:t>
      </w:r>
      <w:r>
        <w:t xml:space="preserve"> </w:t>
      </w:r>
      <w:r>
        <w:t xml:space="preserve">curation, A.B.; writing—original draft preparation, A.B.; writing—review and editing, A.B.,</w:t>
      </w:r>
      <w:r>
        <w:t xml:space="preserve"> </w:t>
      </w:r>
      <w:r>
        <w:t xml:space="preserve">V.L., P.P. and Z.R.; visualization, A.B. and Z.R.; supervision, V.L. and P.P.; project</w:t>
      </w:r>
      <w:r>
        <w:t xml:space="preserve"> </w:t>
      </w:r>
      <w:r>
        <w:t xml:space="preserve">administration, V.L. All authors have read and agreed to the published version of the manuscript.</w:t>
      </w:r>
    </w:p>
    <w:bookmarkEnd w:id="117"/>
    <w:bookmarkStart w:id="118"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18"/>
    <w:bookmarkStart w:id="119"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19"/>
    <w:bookmarkStart w:id="120" w:name="informed-consent-statement"/>
    <w:p>
      <w:pPr>
        <w:pStyle w:val="Heading1"/>
      </w:pPr>
      <w:r>
        <w:t xml:space="preserve">Informed Consent Statement</w:t>
      </w:r>
    </w:p>
    <w:p>
      <w:pPr>
        <w:pStyle w:val="FirstParagraph"/>
      </w:pPr>
      <w:r>
        <w:t xml:space="preserve">Not applicable.</w:t>
      </w:r>
    </w:p>
    <w:bookmarkEnd w:id="120"/>
    <w:bookmarkStart w:id="121"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1">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§7.5.1. Two kinds of record must be distinguished. The original runs stored</w:t>
      </w:r>
      <w:r>
        <w:t xml:space="preserve"> </w:t>
      </w:r>
      <w:r>
        <w:rPr>
          <w:i/>
          <w:iCs/>
        </w:rPr>
        <w:t xml:space="preserve">aggregated</w:t>
      </w:r>
      <w:r>
        <w:t xml:space="preserve"> </w:t>
      </w:r>
      <w:r>
        <w:t xml:space="preserve">per-cell counts and logs; raw model completions were not retained, and cannot be</w:t>
      </w:r>
      <w:r>
        <w:t xml:space="preserve"> </w:t>
      </w:r>
      <w:r>
        <w:t xml:space="preserve">recovered. The retention re-measurement of §7.5.2 and the diagnostic runs stored</w:t>
      </w:r>
      <w:r>
        <w:t xml:space="preserve"> </w:t>
      </w:r>
      <w:r>
        <w:rPr>
          <w:i/>
          <w:iCs/>
        </w:rPr>
        <w:t xml:space="preserve">raw</w:t>
      </w:r>
      <w:r>
        <w:t xml:space="preserve"> </w:t>
      </w:r>
      <w:r>
        <w:t xml:space="preserve">completions, and those are released in full. Claims that depend on reading replies are</w:t>
      </w:r>
      <w:r>
        <w:t xml:space="preserve"> </w:t>
      </w:r>
      <w:r>
        <w:t xml:space="preserve">therefore made only against the second kind.</w:t>
      </w:r>
      <w:r>
        <w:t xml:space="preserve"> </w:t>
      </w:r>
      <w:r>
        <w:rPr>
          <w:rStyle w:val="VerbatimChar"/>
        </w:rPr>
        <w:t xml:space="preserve">results/MANIFEST.md</w:t>
      </w:r>
      <w:r>
        <w:t xml:space="preserve"> </w:t>
      </w:r>
      <w:r>
        <w:t xml:space="preserve">pins every released</w:t>
      </w:r>
      <w:r>
        <w:t xml:space="preserve"> </w:t>
      </w:r>
      <w:r>
        <w:t xml:space="preserve">record by SHA-256 and maps each table and figure to the files it is computed from; it certifies</w:t>
      </w:r>
      <w:r>
        <w:t xml:space="preserve"> </w:t>
      </w:r>
      <w:r>
        <w:t xml:space="preserve">the integrity of what is published, not the existence of what was never kept. The repository’s</w:t>
      </w:r>
      <w:r>
        <w:t xml:space="preserve"> </w:t>
      </w:r>
      <w:r>
        <w:t xml:space="preserve">full commit history is published with it, so the provenance of every artifact is inspectable. No</w:t>
      </w:r>
      <w:r>
        <w:t xml:space="preserve"> </w:t>
      </w:r>
      <w:r>
        <w:t xml:space="preserve">data were withheld; every reported figure is computed from those files by the released scripts.</w:t>
      </w:r>
    </w:p>
    <w:bookmarkEnd w:id="121"/>
    <w:bookmarkStart w:id="122" w:name="acknowledgments"/>
    <w:p>
      <w:pPr>
        <w:pStyle w:val="Heading1"/>
      </w:pPr>
      <w:r>
        <w:t xml:space="preserve">Acknowledgments</w:t>
      </w:r>
    </w:p>
    <w:p>
      <w:pPr>
        <w:pStyle w:val="FirstParagraph"/>
      </w:pPr>
      <w:r>
        <w:t xml:space="preserve">The authors thank the Department of Information Systems and Networks, Lviv Polytechnic National</w:t>
      </w:r>
      <w:r>
        <w:t xml:space="preserve"> </w:t>
      </w:r>
      <w:r>
        <w:t xml:space="preserve">University, for institutional support. No third party contributed to the design, execution or</w:t>
      </w:r>
      <w:r>
        <w:t xml:space="preserve"> </w:t>
      </w:r>
      <w:r>
        <w:t xml:space="preserve">analysis of the reported measurements beyond the listed authors.</w:t>
      </w:r>
    </w:p>
    <w:p>
      <w:pPr>
        <w:pStyle w:val="BodyText"/>
      </w:pPr>
      <w:r>
        <w:t xml:space="preserve">Anthropic’s Claude models were used for code scaffolding, experimental-plan review,</w:t>
      </w:r>
      <w:r>
        <w:t xml:space="preserve"> </w:t>
      </w:r>
      <w:r>
        <w:t xml:space="preserve">implementation assistance, consistency and artifact audits, manuscript organization, and</w:t>
      </w:r>
      <w:r>
        <w:t xml:space="preserve"> </w:t>
      </w:r>
      <w:r>
        <w:t xml:space="preserve">LaTeX formatting. The authors inspected code changes, executed the experiments, verified</w:t>
      </w:r>
      <w:r>
        <w:t xml:space="preserve"> </w:t>
      </w:r>
      <w:r>
        <w:t xml:space="preserve">outputs against frozen manifests and source files, checked cited sources, and take full</w:t>
      </w:r>
      <w:r>
        <w:t xml:space="preserve"> </w:t>
      </w:r>
      <w:r>
        <w:t xml:space="preserve">responsibility for the study design, results, interpretations, and manuscript.</w:t>
      </w:r>
    </w:p>
    <w:bookmarkEnd w:id="122"/>
    <w:bookmarkStart w:id="123" w:name="X662c2d66dd1eda3268d2087202c966cd73b2601"/>
    <w:p>
      <w:pPr>
        <w:pStyle w:val="Heading1"/>
      </w:pPr>
      <w:r>
        <w:t xml:space="preserve">Use of Generative Artificial Intelligence</w:t>
      </w:r>
    </w:p>
    <w:p>
      <w:pPr>
        <w:pStyle w:val="FirstParagraph"/>
      </w:pPr>
      <w:r>
        <w:t xml:space="preserve">Language models appear in this work in two distinct roles, and we separate them because only one</w:t>
      </w:r>
      <w:r>
        <w:t xml:space="preserve"> </w:t>
      </w:r>
      <w:r>
        <w:t xml:space="preserve">bears on the results.</w:t>
      </w:r>
      <w:r>
        <w:t xml:space="preserve"> </w:t>
      </w:r>
      <w:r>
        <w:rPr>
          <w:i/>
          <w:iCs/>
        </w:rPr>
        <w:t xml:space="preserve">As the object of study:</w:t>
      </w:r>
      <w:r>
        <w:t xml:space="preserve"> </w:t>
      </w:r>
      <w:r>
        <w:t xml:space="preserve">the measured quantities are pass rates of</w:t>
      </w:r>
      <w:r>
        <w:t xml:space="preserve"> </w:t>
      </w:r>
      <w:r>
        <w:t xml:space="preserve">commercial language models, obtained through the interfaces described in</w:t>
      </w:r>
      <w:r>
        <w:t xml:space="preserve"> </w:t>
      </w:r>
      <w:r>
        <w:t xml:space="preserve">§7.3; everything else we report, the confidence bounds, the ranker scores, the</w:t>
      </w:r>
      <w:r>
        <w:t xml:space="preserve"> </w:t>
      </w:r>
      <w:r>
        <w:t xml:space="preserve">token and cost figures, is computed from those runs.</w:t>
      </w:r>
      <w:r>
        <w:t xml:space="preserve"> </w:t>
      </w:r>
      <w:r>
        <w:rPr>
          <w:i/>
          <w:iCs/>
        </w:rPr>
        <w:t xml:space="preserve">As a tool:</w:t>
      </w:r>
      <w:r>
        <w:t xml:space="preserve"> </w:t>
      </w:r>
      <w:r>
        <w:t xml:space="preserve">the assistance described in</w:t>
      </w:r>
      <w:r>
        <w:t xml:space="preserve"> </w:t>
      </w:r>
      <w:r>
        <w:t xml:space="preserve">the Acknowledgments. No result, table or figure was produced by a language model acting as an</w:t>
      </w:r>
      <w:r>
        <w:t xml:space="preserve"> </w:t>
      </w:r>
      <w:r>
        <w:t xml:space="preserve">author or an analyst: every reported quantity is computed by the released scripts from the</w:t>
      </w:r>
      <w:r>
        <w:t xml:space="preserve"> </w:t>
      </w:r>
      <w:r>
        <w:t xml:space="preserve">released records, which</w:t>
      </w:r>
      <w:r>
        <w:t xml:space="preserve"> </w:t>
      </w:r>
      <w:r>
        <w:rPr>
          <w:rStyle w:val="VerbatimChar"/>
        </w:rPr>
        <w:t xml:space="preserve">results/MANIFEST.md</w:t>
      </w:r>
      <w:r>
        <w:t xml:space="preserve"> </w:t>
      </w:r>
      <w:r>
        <w:t xml:space="preserve">pins by SHA-256 and maps to the table or</w:t>
      </w:r>
      <w:r>
        <w:t xml:space="preserve"> </w:t>
      </w:r>
      <w:r>
        <w:t xml:space="preserve">figure that uses it. The Data Availability Statement says which records are aggregate-only and</w:t>
      </w:r>
      <w:r>
        <w:t xml:space="preserve"> </w:t>
      </w:r>
      <w:r>
        <w:t xml:space="preserve">which retain raw completions.</w:t>
      </w:r>
    </w:p>
    <w:bookmarkEnd w:id="123"/>
    <w:bookmarkStart w:id="124" w:name="conflicts-of-interest"/>
    <w:p>
      <w:pPr>
        <w:pStyle w:val="Heading1"/>
      </w:pPr>
      <w:r>
        <w:t xml:space="preserve">Conflicts of Interest</w:t>
      </w:r>
    </w:p>
    <w:p>
      <w:pPr>
        <w:pStyle w:val="FirstParagraph"/>
      </w:pPr>
      <w:r>
        <w:t xml:space="preserve">The authors declare no conflict of interest.</w:t>
      </w:r>
    </w:p>
    <w:bookmarkEnd w:id="124"/>
    <w:bookmarkStart w:id="125"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25"/>
    <w:bookmarkStart w:id="137" w:name="app:proofs"/>
    <w:p>
      <w:pPr>
        <w:pStyle w:val="Heading1"/>
      </w:pPr>
      <w:r>
        <w:t xml:space="preserve">Deferred proofs and technical material</w:t>
      </w:r>
    </w:p>
    <w:bookmarkStart w:id="126"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6"/>
    <w:bookmarkStart w:id="127"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the rule</w:t>
      </w:r>
      <w:r>
        <w:t xml:space="preserve"> </w:t>
      </w:r>
      <w:r>
        <w:t xml:space="preserve">that reads that coordinate off and answers accordingly attains</w:t>
      </w:r>
      <w:r>
        <w:t xml:space="preserve"> </w:t>
      </w:r>
      <m:oMath>
        <m:sSub>
          <m:e>
            <m:r>
              <m:t>v</m:t>
            </m:r>
          </m:e>
          <m:sub>
            <m:sSub>
              <m:e>
                <m:r>
                  <m:t>T</m:t>
                </m:r>
              </m:e>
              <m:sub>
                <m:r>
                  <m:t>a</m:t>
                </m:r>
              </m:sub>
            </m:sSub>
          </m:sub>
        </m:sSub>
        <m:r>
          <m:rPr>
            <m:sty m:val="p"/>
          </m:rPr>
          <m:t>=</m:t>
        </m:r>
        <m:r>
          <m:t>1</m:t>
        </m:r>
      </m:oMath>
      <w:r>
        <w:t xml:space="preserve"> </w:t>
      </w:r>
      <w:r>
        <w:t xml:space="preserve">at</w:t>
      </w:r>
      <w:r>
        <w:t xml:space="preserve"> </w:t>
      </w:r>
      <m:oMath>
        <m:sSub>
          <m:e>
            <m:r>
              <m:t>μ</m:t>
            </m:r>
          </m:e>
          <m:sub>
            <m:sSub>
              <m:e>
                <m:r>
                  <m:t>T</m:t>
                </m:r>
              </m:e>
              <m:sub>
                <m:r>
                  <m:t>a</m:t>
                </m:r>
              </m:sub>
            </m:sSub>
          </m:sub>
        </m:sSub>
      </m:oMath>
      <w:r>
        <w:t xml:space="preserve">-almost</w:t>
      </w:r>
      <w:r>
        <w:t xml:space="preserve"> </w:t>
      </w:r>
      <w:r>
        <w:t xml:space="preserve">every state,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the</w:t>
      </w:r>
      <w:r>
        <w:t xml:space="preserve"> </w:t>
      </w:r>
      <w:r>
        <w:t xml:space="preserve">crossover is the observable signature of</w:t>
      </w:r>
      <w:r>
        <w:t xml:space="preserve"> </w:t>
      </w:r>
      <m:oMath>
        <m:sSub>
          <m:e>
            <m:r>
              <m:t>g</m:t>
            </m:r>
          </m:e>
          <m:sub>
            <m:r>
              <m:t>a</m:t>
            </m:r>
          </m:sub>
        </m:sSub>
        <m:r>
          <m:rPr>
            <m:sty m:val="p"/>
          </m:rPr>
          <m:t>,</m:t>
        </m:r>
        <m:sSub>
          <m:e>
            <m:r>
              <m:t>g</m:t>
            </m:r>
          </m:e>
          <m:sub>
            <m:r>
              <m:t>b</m:t>
            </m:r>
          </m:sub>
        </m:sSub>
        <m:r>
          <m:rPr>
            <m:sty m:val="p"/>
          </m:rPr>
          <m:t>&lt;</m:t>
        </m:r>
        <m:r>
          <m:t>1</m:t>
        </m:r>
      </m:oMath>
      <w:r>
        <w:t xml:space="preserve">, not a substitute for it. The caps remain</w:t>
      </w:r>
      <w:r>
        <w:t xml:space="preserve"> </w:t>
      </w:r>
      <w:r>
        <w:t xml:space="preserve">essential in the converse direction: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w:t>
      </w:r>
      <w:r>
        <w:t xml:space="preserve"> </w:t>
      </w:r>
      <w:r>
        <w:t xml:space="preserve">Blackwell</w:t>
      </w:r>
      <w:r>
        <w:t xml:space="preserve"> </w:t>
      </w:r>
      <w:r>
        <w:rPr>
          <w:i/>
          <w:iCs/>
        </w:rPr>
        <w:t xml:space="preserve">equivalence</w:t>
      </w:r>
      <w:r>
        <w:t xml:space="preserve">, since a fixed rule keyed to one signal’s surface form can</w:t>
      </w:r>
      <w:r>
        <w:t xml:space="preserve"> </w:t>
      </w:r>
      <w:r>
        <w:t xml:space="preserve">under-perform on the other, exactly the non-coherence phenomenon Theorem 3</w:t>
      </w:r>
      <w:r>
        <w:t xml:space="preserve"> </w:t>
      </w:r>
      <w:r>
        <w:t xml:space="preserve">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27"/>
    <w:bookmarkStart w:id="128"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28"/>
    <w:bookmarkStart w:id="129"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29"/>
    <w:bookmarkStart w:id="130"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0"/>
    <w:bookmarkStart w:id="131"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1"/>
    <w:bookmarkStart w:id="132"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2"/>
    <w:bookmarkStart w:id="133"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write</w:t>
      </w:r>
      <w:r>
        <w:t xml:space="preserve"> </w:t>
      </w:r>
      <m:oMath>
        <m:r>
          <m:t>G</m:t>
        </m:r>
      </m:oMath>
      <w:r>
        <w:t xml:space="preserve"> </w:t>
      </w:r>
      <w:r>
        <w:t xml:space="preserve">for that deletion, so</w:t>
      </w:r>
      <w: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t xml:space="preserve"> </w:t>
      </w:r>
      <w:r>
        <w:t xml:space="preserve">for every state</w:t>
      </w:r>
      <w:r>
        <w:t xml:space="preserve"> </w:t>
      </w:r>
      <m:oMath>
        <m:r>
          <m:t>s</m:t>
        </m:r>
      </m:oMath>
      <w:r>
        <w:t xml:space="preserve">. The rule</w:t>
      </w:r>
      <w:r>
        <w:t xml:space="preserve"> </w:t>
      </w:r>
      <m:oMath>
        <m:sSub>
          <m:e>
            <m:r>
              <m:t>δ</m:t>
            </m:r>
          </m:e>
          <m:sub>
            <m:r>
              <m:t>M</m:t>
            </m:r>
          </m:sub>
        </m:sSub>
        <m:r>
          <m:rPr>
            <m:sty m:val="p"/>
          </m:rPr>
          <m:t>∘</m:t>
        </m:r>
        <m:r>
          <m:t>G</m:t>
        </m:r>
      </m:oMath>
      <w:r>
        <w:t xml:space="preserve"> </w:t>
      </w:r>
      <w:r>
        <w:t xml:space="preserve">is then Blackwell-coherent on</w:t>
      </w:r>
      <w:r>
        <w:t xml:space="preserve"> </w:t>
      </w:r>
      <m:oMath>
        <m:sSup>
          <m:e>
            <m:r>
              <m:t>T</m:t>
            </m:r>
          </m:e>
          <m:sup>
            <m:r>
              <m:rPr>
                <m:sty m:val="p"/>
              </m:rPr>
              <m:t>⋆</m:t>
            </m:r>
          </m:sup>
        </m:sSup>
      </m:oMath>
      <w:r>
        <w:t xml:space="preserve"> </w:t>
      </w:r>
      <w:r>
        <w:t xml:space="preserve">in the sense of the theorem, and its</w:t>
      </w:r>
      <w:r>
        <w:t xml:space="preserve"> </w:t>
      </w:r>
      <w:r>
        <w:t xml:space="preserve">realized pass rate on</w:t>
      </w:r>
      <w:r>
        <w:t xml:space="preserve"> </w:t>
      </w:r>
      <m:oMath>
        <m:sSub>
          <m:e>
            <m:r>
              <m:t>W</m:t>
            </m:r>
          </m:e>
          <m:sub>
            <m:r>
              <m:t>1</m:t>
            </m:r>
            <m:r>
              <m:rPr>
                <m:sty m:val="p"/>
              </m:rPr>
              <m:t>+</m:t>
            </m:r>
          </m:sub>
        </m:sSub>
      </m:oMath>
      <w:r>
        <w:t xml:space="preserve"> </w:t>
      </w:r>
      <w:r>
        <w:t xml:space="preserve">equals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at the realized state, since the two</w:t>
      </w:r>
      <w:r>
        <w:t xml:space="preserve"> </w:t>
      </w:r>
      <w:r>
        <w:t xml:space="preserve">rules see the same signal law. The hypothesis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therefore says that</w:t>
      </w:r>
      <w:r>
        <w:t xml:space="preserve"> </w:t>
      </w:r>
      <m:oMath>
        <m:sSub>
          <m:e>
            <m:r>
              <m:t>δ</m:t>
            </m:r>
          </m:e>
          <m:sub>
            <m:r>
              <m:t>M</m:t>
            </m:r>
          </m:sub>
        </m:sSub>
      </m:oMath>
      <w:r>
        <w:t xml:space="preserve"> </w:t>
      </w:r>
      <w:r>
        <w:t xml:space="preserve">on</w:t>
      </w:r>
      <w:r>
        <w:t xml:space="preserve"> </w:t>
      </w:r>
      <m:oMath>
        <m:sSub>
          <m:e>
            <m:r>
              <m:t>W</m:t>
            </m:r>
          </m:e>
          <m:sub>
            <m:r>
              <m:t>1</m:t>
            </m:r>
            <m:r>
              <m:rPr>
                <m:sty m:val="p"/>
              </m:rPr>
              <m:t>+</m:t>
            </m:r>
          </m:sub>
        </m:sSub>
      </m:oMath>
      <w:r>
        <w:t xml:space="preserve"> </w:t>
      </w:r>
      <w:r>
        <w:t xml:space="preserve">is</w:t>
      </w:r>
      <w:r>
        <w:t xml:space="preserve"> </w:t>
      </w:r>
      <w:r>
        <w:t xml:space="preserve">strictly beaten by its own pruned version on the same input, so</w:t>
      </w:r>
      <w:r>
        <w:t xml:space="preserve"> </w:t>
      </w:r>
      <m:oMath>
        <m:sSub>
          <m:e>
            <m:r>
              <m:t>δ</m:t>
            </m:r>
          </m:e>
          <m:sub>
            <m:r>
              <m:t>M</m:t>
            </m:r>
          </m:sub>
        </m:sSub>
      </m:oMath>
      <w:r>
        <w:t xml:space="preserve"> </w:t>
      </w:r>
      <w:r>
        <w:t xml:space="preserve">is not</w:t>
      </w:r>
      <w:r>
        <w:t xml:space="preserve"> </w:t>
      </w:r>
      <w:r>
        <w:t xml:space="preserve">Blackwell-coherent on</w:t>
      </w:r>
      <w:r>
        <w:t xml:space="preserve"> </w:t>
      </w:r>
      <m:oMath>
        <m:sSup>
          <m:e>
            <m:r>
              <m:t>T</m:t>
            </m:r>
          </m:e>
          <m:sup>
            <m:r>
              <m:rPr>
                <m:sty m:val="p"/>
              </m:rPr>
              <m:t>⋆</m:t>
            </m:r>
          </m:sup>
        </m:sSup>
      </m:oMath>
      <w:r>
        <w:t xml:space="preserve">. Note what this argument does</w:t>
      </w:r>
      <w:r>
        <w:t xml:space="preserve"> </w:t>
      </w:r>
      <w:r>
        <w:rPr>
          <w:i/>
          <w:iCs/>
        </w:rPr>
        <w:t xml:space="preserve">not</w:t>
      </w:r>
      <w:r>
        <w:t xml:space="preserve"> </w:t>
      </w:r>
      <w:r>
        <w:t xml:space="preserve">use: it is the</w:t>
      </w:r>
      <w:r>
        <w:t xml:space="preserve"> </w:t>
      </w:r>
      <w:r>
        <w:t xml:space="preserve">simulation construction behind</w:t>
      </w:r>
      <w:r>
        <w:t xml:space="preserve"> </w:t>
      </w:r>
      <w:r>
        <w:t xml:space="preserve">(i)</w:t>
      </w:r>
      <m:oMath>
        <m:r>
          <m:rPr>
            <m:sty m:val="p"/>
          </m:rPr>
          <m:t>⇒</m:t>
        </m:r>
      </m:oMath>
      <w:r>
        <w:t xml:space="preserve">(ii)</w:t>
      </w:r>
      <w:r>
        <w:t xml:space="preserve"> </w:t>
      </w:r>
      <w:r>
        <w:t xml:space="preserve">of</w:t>
      </w:r>
      <w:r>
        <w:t xml:space="preserve"> </w:t>
      </w:r>
      <w:r>
        <w:t xml:space="preserve">Theorem 1 applied state-conditionally, not an instance of statement</w:t>
      </w:r>
      <w:r>
        <w:t xml:space="preserve"> </w:t>
      </w:r>
      <w:r>
        <w:t xml:space="preserve">(ii)</w:t>
      </w:r>
      <w:r>
        <w:t xml:space="preserve">, which is Bayes-averaged and so says nothing about a single state</w:t>
      </w:r>
      <w:r>
        <w:t xml:space="preserve"> </w:t>
      </w:r>
      <w:r>
        <w:t xml:space="preserve">(Remark 1).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3"/>
    <w:bookmarkStart w:id="135" w:name="relation-to-llm-evaluation-statistics"/>
    <w:p>
      <w:pPr>
        <w:pStyle w:val="Heading2"/>
      </w:pPr>
      <w:r>
        <w:t xml:space="preserve">Relation to LLM-evaluation statistics</w:t>
      </w:r>
    </w:p>
    <w:bookmarkStart w:id="134" w:name="rem:evalstats"/>
    <w:p>
      <w:pPr>
        <w:pStyle w:val="FirstParagraph"/>
      </w:pPr>
      <w:r>
        <w:rPr>
          <w:i/>
          <w:iCs/>
        </w:rPr>
        <w:t xml:space="preserve">Remark 9</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4"/>
    <w:bookmarkEnd w:id="135"/>
    <w:bookmarkStart w:id="136"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becomes</w:t>
      </w:r>
      <w:r>
        <w:t xml:space="preserve"> </w:t>
      </w:r>
      <w:r>
        <w:t xml:space="preserve">one-sided and clears</w:t>
      </w:r>
      <w:r>
        <w:t xml:space="preserve"> </w:t>
      </w:r>
      <m:oMath>
        <m:r>
          <m:t>0</m:t>
        </m:r>
      </m:oMath>
      <w:r>
        <w:t xml:space="preserve"> </w:t>
      </w:r>
      <w:r>
        <w:t xml:space="preserve">even at small</w:t>
      </w:r>
      <w:r>
        <w:t xml:space="preserve"> </w:t>
      </w:r>
      <m:oMath>
        <m:r>
          <m:t>n</m:t>
        </m:r>
      </m:oMath>
      <w:r>
        <w:t xml:space="preserve">. It does not become a point: at</w:t>
      </w:r>
      <w:r>
        <w:t xml:space="preserve"> </w:t>
      </w:r>
      <m:oMath>
        <m:r>
          <m:t>n</m:t>
        </m:r>
        <m:r>
          <m:rPr>
            <m:sty m:val="p"/>
          </m:rPr>
          <m:t>=</m:t>
        </m:r>
        <m:r>
          <m:t>40</m:t>
        </m:r>
      </m:oMath>
      <w:r>
        <w:t xml:space="preserve"> </w:t>
      </w:r>
      <w:r>
        <w:t xml:space="preserve">and two-sided</w:t>
      </w:r>
      <w:r>
        <w:t xml:space="preserve"> </w:t>
      </w:r>
      <w:r>
        <w:t xml:space="preserve">level</w:t>
      </w:r>
      <w:r>
        <w:t xml:space="preserve"> </w:t>
      </w:r>
      <m:oMath>
        <m:r>
          <m:t>η</m:t>
        </m:r>
        <m:r>
          <m:rPr>
            <m:sty m:val="p"/>
          </m:rPr>
          <m:t>/</m:t>
        </m:r>
        <m:r>
          <m:t>8</m:t>
        </m:r>
      </m:oMath>
      <w:r>
        <w:t xml:space="preserve">,</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0.119</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0.881</m:t>
        </m:r>
        <m:r>
          <m:rPr>
            <m:sty m:val="p"/>
          </m:rPr>
          <m:t>,</m:t>
        </m:r>
        <m:r>
          <m:t> </m:t>
        </m:r>
        <m:r>
          <m:t>1</m:t>
        </m:r>
        <m:r>
          <m:rPr>
            <m:sty m:val="p"/>
          </m:rPr>
          <m:t>]</m:t>
        </m:r>
      </m:oMath>
      <w:r>
        <w:t xml:space="preserve">, and it is that</w:t>
      </w:r>
      <w:r>
        <w:t xml:space="preserve"> </w:t>
      </w:r>
      <m:oMath>
        <m:r>
          <m:t>0.119</m:t>
        </m:r>
      </m:oMath>
      <w:r>
        <w:t xml:space="preserve"> </w:t>
      </w:r>
      <w:r>
        <w:t xml:space="preserve">the crossing has to beat.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36"/>
    <w:bookmarkEnd w:id="137"/>
    <w:bookmarkStart w:id="143" w:name="app:record"/>
    <w:p>
      <w:pPr>
        <w:pStyle w:val="Heading1"/>
      </w:pPr>
      <w:r>
        <w:t xml:space="preserve">Extended experimental record</w:t>
      </w:r>
    </w:p>
    <w:bookmarkStart w:id="142"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38"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0.33</m:t>
        </m:r>
      </m:oMath>
      <w:r>
        <w:t xml:space="preserve">, which</w:t>
      </w:r>
      <w:r>
        <w:t xml:space="preserve"> </w:t>
      </w:r>
      <w:r>
        <w:t xml:space="preserve">clears the margin</w:t>
      </w:r>
      <w:r>
        <w:t xml:space="preserve"> </w:t>
      </w:r>
      <m:oMath>
        <m:r>
          <m:t>τ</m:t>
        </m:r>
        <m:r>
          <m:rPr>
            <m:sty m:val="p"/>
          </m:rPr>
          <m:t>=</m:t>
        </m:r>
        <m:r>
          <m:t>0.30</m:t>
        </m:r>
      </m:oMath>
      <w:r>
        <w:t xml:space="preserve"> </w:t>
      </w:r>
      <w:r>
        <w:t xml:space="preserve">fixed for the whole programme. The binding constraint is the</w:t>
      </w:r>
      <w:r>
        <w:t xml:space="preserve"> </w:t>
      </w:r>
      <m:oMath>
        <m:sSub>
          <m:e>
            <m:r>
              <m:t>V</m:t>
            </m:r>
          </m:e>
          <m:sub>
            <m:r>
              <m:t>1</m:t>
            </m:r>
          </m:sub>
        </m:sSub>
      </m:oMath>
      <w:r>
        <w:t xml:space="preserve"> </w:t>
      </w:r>
      <w:r>
        <w:t xml:space="preserve">ceiling itself</w:t>
      </w:r>
      <w:r>
        <w:t xml:space="preserve"> </w:t>
      </w:r>
      <w:r>
        <w:t xml:space="preserve">(</w:t>
      </w:r>
      <m:oMath>
        <m:r>
          <m:t>80</m:t>
        </m:r>
        <m:r>
          <m:rPr>
            <m:sty m:val="p"/>
          </m:rPr>
          <m:t>%</m:t>
        </m:r>
      </m:oMath>
      <w:r>
        <w:t xml:space="preserve">, versus pair-1’s</w:t>
      </w:r>
      <w:r>
        <w:t xml:space="preserve"> </w:t>
      </w:r>
      <m:oMath>
        <m:r>
          <m:rPr>
            <m:sty m:val="p"/>
          </m:rPr>
          <m:t>∼</m:t>
        </m:r>
        <m:r>
          <m:t>100</m:t>
        </m:r>
        <m:r>
          <m:rPr>
            <m:sty m:val="p"/>
          </m:rPr>
          <m:t>%</m:t>
        </m:r>
      </m:oMath>
      <w:r>
        <w:t xml:space="preserve">), so the margin is met with little to spare; at</w:t>
      </w:r>
      <w:r>
        <w:t xml:space="preserve"> </w:t>
      </w:r>
      <m:oMath>
        <m:r>
          <m:t>n</m:t>
        </m:r>
        <m:r>
          <m:rPr>
            <m:sty m:val="p"/>
          </m:rPr>
          <m:t>=</m:t>
        </m:r>
        <m:r>
          <m:t>40</m:t>
        </m:r>
      </m:oMath>
      <w:r>
        <w:t xml:space="preserve"> </w:t>
      </w:r>
      <w:r>
        <w:t xml:space="preserve">the</w:t>
      </w:r>
      <w:r>
        <w:t xml:space="preserve"> </w:t>
      </w:r>
      <w:r>
        <w:t xml:space="preserve">same collapse gives</w:t>
      </w:r>
      <w:r>
        <w:t xml:space="preserve"> </w:t>
      </w:r>
      <m:oMath>
        <m:r>
          <m:rPr>
            <m:sty m:val="p"/>
          </m:rPr>
          <m:t>−</m:t>
        </m:r>
        <m:r>
          <m:t>0.25</m:t>
        </m:r>
      </m:oMath>
      <w:r>
        <w:t xml:space="preserve"> </w:t>
      </w:r>
      <w:r>
        <w:t xml:space="preserve">and does not clear, which is why the cell was re-run at</w:t>
      </w:r>
      <w:r>
        <w:t xml:space="preserve"> </w:t>
      </w:r>
      <m:oMath>
        <m:r>
          <m:t>n</m:t>
        </m:r>
        <m:r>
          <m:rPr>
            <m:sty m:val="p"/>
          </m:rPr>
          <m:t>=</m:t>
        </m:r>
        <m:r>
          <m:t>80</m:t>
        </m:r>
      </m:oMath>
      <w:r>
        <w:t xml:space="preserve">. The</w:t>
      </w:r>
      <w:r>
        <w:t xml:space="preserve"> </w:t>
      </w:r>
      <m:oMath>
        <m:r>
          <m:t>n</m:t>
        </m:r>
        <m:r>
          <m:rPr>
            <m:sty m:val="p"/>
          </m:rPr>
          <m:t>=</m:t>
        </m:r>
        <m:r>
          <m:t>80</m:t>
        </m:r>
      </m:oMath>
      <w:r>
        <w:t xml:space="preserve"> </w:t>
      </w:r>
      <w:r>
        <w:t xml:space="preserve">re-run covers the</w:t>
      </w:r>
      <w:r>
        <w:t xml:space="preserve"> </w:t>
      </w:r>
      <w:r>
        <w:rPr>
          <w:rStyle w:val="VerbatimChar"/>
        </w:rPr>
        <w:t xml:space="preserve">cache_put_ok</w:t>
      </w:r>
      <w:r>
        <w:t xml:space="preserve"> </w:t>
      </w:r>
      <w:r>
        <w:t xml:space="preserve">cell alone, so its dominance control</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is a statement about that cell rather than about</w:t>
      </w:r>
      <w:r>
        <w:t xml:space="preserve"> </w:t>
      </w:r>
      <w:r>
        <w:t xml:space="preserve">the three-cell battery; the battery-wide control remains the</w:t>
      </w:r>
      <w:r>
        <w:t xml:space="preserve"> </w:t>
      </w:r>
      <m:oMath>
        <m:r>
          <m:t>n</m:t>
        </m:r>
        <m:r>
          <m:rPr>
            <m:sty m:val="p"/>
          </m:rPr>
          <m:t>=</m:t>
        </m:r>
        <m:r>
          <m:t>40</m:t>
        </m:r>
      </m:oMath>
      <w:r>
        <w:t xml:space="preserve"> </w:t>
      </w:r>
      <w:r>
        <w:t xml:space="preserve">one.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38"/>
    <w:bookmarkStart w:id="139" w:name="a-character-matched-padding-control."/>
    <w:p>
      <w:pPr>
        <w:pStyle w:val="Heading4"/>
      </w:pPr>
      <w:r>
        <w:t xml:space="preserve">A character-matched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0.67</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39"/>
    <w:bookmarkStart w:id="140"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on the carrying cell the instructed superset still sits below</w:t>
      </w:r>
      <w:r>
        <w:t xml:space="preserve"> </w:t>
      </w:r>
      <m:oMath>
        <m:sSub>
          <m:e>
            <m:r>
              <m:t>W</m:t>
            </m:r>
          </m:e>
          <m:sub>
            <m:r>
              <m:t>1</m:t>
            </m:r>
          </m:sub>
        </m:sSub>
      </m:oMath>
      <w:r>
        <w:t xml:space="preserve"> </w:t>
      </w:r>
      <w:r>
        <w:t xml:space="preserve">alone (</w:t>
      </w:r>
      <m:oMath>
        <m:r>
          <m:t>80</m:t>
        </m:r>
        <m:r>
          <m:rPr>
            <m:sty m:val="p"/>
          </m:rPr>
          <m:t>%</m:t>
        </m:r>
      </m:oMath>
      <w:r>
        <w:t xml:space="preserve"> </w:t>
      </w:r>
      <w:r>
        <w:t xml:space="preserve">vs. </w:t>
      </w:r>
      <m:oMath>
        <m:r>
          <m:t>100</m:t>
        </m:r>
        <m:r>
          <m:rPr>
            <m:sty m:val="p"/>
          </m:rPr>
          <m:t>%</m:t>
        </m:r>
      </m:oMath>
      <w:r>
        <w:t xml:space="preserve">). That residual gap is verified negative by the same two-arm contrast</w:t>
      </w:r>
      <w:r>
        <w:t xml:space="preserve"> </w:t>
      </w:r>
      <w:r>
        <w:t xml:space="preserve">used throughout,</w:t>
      </w:r>
      <w:r>
        <w:t xml:space="preserve"> </w:t>
      </w:r>
      <m:oMath>
        <m:sSub>
          <m:e>
            <m:r>
              <m:rPr>
                <m:sty m:val="p"/>
              </m:rPr>
              <m:t>Δ</m:t>
            </m:r>
          </m:e>
          <m:sub>
            <m:r>
              <m:t>T</m:t>
            </m:r>
          </m:sub>
        </m:sSub>
        <m:r>
          <m:rPr>
            <m:sty m:val="p"/>
          </m:rPr>
          <m:t>=</m:t>
        </m:r>
        <m:r>
          <m:rPr>
            <m:sty m:val="p"/>
          </m:rPr>
          <m:t>−</m:t>
        </m:r>
        <m:r>
          <m:t>0.20</m:t>
        </m:r>
      </m:oMath>
      <w:r>
        <w:t xml:space="preserve"> </w:t>
      </w:r>
      <w:r>
        <w:t xml:space="preserve">with upper bound</w:t>
      </w:r>
      <w:r>
        <w:t xml:space="preserve"> </w:t>
      </w:r>
      <m:oMath>
        <m:r>
          <m:rPr>
            <m:sty m:val="p"/>
          </m:rPr>
          <m:t>−</m:t>
        </m:r>
        <m:r>
          <m:t>0.03</m:t>
        </m:r>
      </m:oMath>
      <w:r>
        <w:t xml:space="preserve">, but it falls far short of the harm</w:t>
      </w:r>
      <w:r>
        <w:t xml:space="preserve"> </w:t>
      </w:r>
      <w:r>
        <w:t xml:space="preserve">margin</w:t>
      </w:r>
      <w:r>
        <w:t xml:space="preserve"> </w:t>
      </w:r>
      <m:oMath>
        <m:r>
          <m:t>τ</m:t>
        </m:r>
        <m:r>
          <m:rPr>
            <m:sty m:val="p"/>
          </m:rPr>
          <m:t>=</m:t>
        </m:r>
        <m:r>
          <m:t>0.30</m:t>
        </m:r>
      </m:oMath>
      <w:r>
        <w:t xml:space="preserve">: the instruction removes the collapse without closing the gap.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0"/>
    <w:bookmarkStart w:id="141" w:name="Xbb3bf0e6ff780408889ccfec61f731a5b2072ac"/>
    <w:p>
      <w:pPr>
        <w:pStyle w:val="Heading4"/>
      </w:pPr>
      <w:r>
        <w:t xml:space="preserve">A structured-context ablation: labeled XML segmentation mitigates only weakly.</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45</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w:t>
      </w:r>
      <w:r>
        <w:t xml:space="preserve"> </w:t>
      </w:r>
      <w:r>
        <w:t xml:space="preserve">dominated signal, is consistent with the operative variable being convention-to-task routing</w:t>
      </w:r>
      <w:r>
        <w:t xml:space="preserve"> </w:t>
      </w:r>
      <w:r>
        <w:t xml:space="preserve">rather than segmentation alone; as in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t>
      </w:r>
      <w:r>
        <w:t xml:space="preserve">with the structure arm scored in a separate run.</w:t>
      </w:r>
    </w:p>
    <w:bookmarkEnd w:id="141"/>
    <w:bookmarkEnd w:id="142"/>
    <w:bookmarkEnd w:id="143"/>
    <w:bookmarkStart w:id="283"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1">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4"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(character-matched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4"/>
    <w:bookmarkStart w:id="145"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This describes every run behind the six-model tables. Two reported runs sit</w:t>
      </w:r>
      <w:r>
        <w:t xml:space="preserve"> </w:t>
      </w:r>
      <w:r>
        <w:t xml:space="preserve">outside it, both on the agentic Claude CLI path (up to six turns per attempt) rather than the</w:t>
      </w:r>
      <w:r>
        <w:t xml:space="preserve"> </w:t>
      </w:r>
      <w:r>
        <w:t xml:space="preserve">single-shot one, and both identifiable from their run logs, which lack the</w:t>
      </w:r>
      <w:r>
        <w:t xml:space="preserve"> </w:t>
      </w:r>
      <w:r>
        <w:rPr>
          <w:rStyle w:val="VerbatimChar"/>
        </w:rPr>
        <w:t xml:space="preserve">[SINGLE-SHOT]</w:t>
      </w:r>
      <w:r>
        <w:t xml:space="preserve"> </w:t>
      </w:r>
      <w:r>
        <w:t xml:space="preserve">marker every single-shot run carries. The first is the order control of</w:t>
      </w:r>
      <w:r>
        <w:t xml:space="preserve"> </w:t>
      </w:r>
      <w:r>
        <w:t xml:space="preserve">§7.4.3, an earlier</w:t>
      </w:r>
      <w:r>
        <w:t xml:space="preserve"> </w:t>
      </w:r>
      <m:oMath>
        <m:r>
          <m:t>n</m:t>
        </m:r>
        <m:r>
          <m:rPr>
            <m:sty m:val="p"/>
          </m:rPr>
          <m:t>=</m:t>
        </m:r>
        <m:r>
          <m:t>80</m:t>
        </m:r>
      </m:oMath>
      <w:r>
        <w:t xml:space="preserve"> </w:t>
      </w:r>
      <w:r>
        <w:t xml:space="preserve">Haiku run, reported as an auxiliary control and</w:t>
      </w:r>
      <w:r>
        <w:t xml:space="preserve"> </w:t>
      </w:r>
      <w:r>
        <w:t xml:space="preserve">entering no table of the six-model record. The second is the entire second source pair</w:t>
      </w:r>
      <w:r>
        <w:t xml:space="preserve"> </w:t>
      </w:r>
      <w:r>
        <w:t xml:space="preserve">(§7.5), measured agentically at</w:t>
      </w:r>
      <w:r>
        <w:t xml:space="preserve"> </w:t>
      </w:r>
      <m:oMath>
        <m:r>
          <m:t>n</m:t>
        </m:r>
        <m:r>
          <m:rPr>
            <m:sty m:val="p"/>
          </m:rPr>
          <m:t>=</m:t>
        </m:r>
        <m:r>
          <m:t>40</m:t>
        </m:r>
      </m:oMath>
      <w:r>
        <w:t xml:space="preserve"> </w:t>
      </w:r>
      <w:r>
        <w:t xml:space="preserve">and</w:t>
      </w:r>
      <w:r>
        <w:t xml:space="preserve"> </w:t>
      </w:r>
      <m:oMath>
        <m:r>
          <m:t>n</m:t>
        </m:r>
        <m:r>
          <m:rPr>
            <m:sty m:val="p"/>
          </m:rPr>
          <m:t>=</m:t>
        </m:r>
        <m:r>
          <m:t>80</m:t>
        </m:r>
      </m:oMath>
      <w:r>
        <w:t xml:space="preserve">. Its role is generality, so</w:t>
      </w:r>
      <w:r>
        <w:t xml:space="preserve"> </w:t>
      </w:r>
      <w:r>
        <w:t xml:space="preserve">the regime difference is worth stating plainly: what that pair shows is that incomparability and</w:t>
      </w:r>
      <w:r>
        <w:t xml:space="preserve"> </w:t>
      </w:r>
      <w:r>
        <w:t xml:space="preserve">the superset collapse reappear in another domain</w:t>
      </w:r>
      <w:r>
        <w:t xml:space="preserve"> </w:t>
      </w:r>
      <w:r>
        <w:rPr>
          <w:i/>
          <w:iCs/>
        </w:rPr>
        <w:t xml:space="preserve">under the agentic harness</w:t>
      </w:r>
      <w:r>
        <w:t xml:space="preserve">, not that they</w:t>
      </w:r>
      <w:r>
        <w:t xml:space="preserve"> </w:t>
      </w:r>
      <w:r>
        <w:t xml:space="preserve">reappear under the single-shot one. The single-shot evidence for both phenomena is the six-model</w:t>
      </w:r>
      <w:r>
        <w:t xml:space="preserve"> </w:t>
      </w:r>
      <w:r>
        <w:t xml:space="preserve">record on the first pair.</w:t>
      </w:r>
    </w:p>
    <w:p>
      <w:pPr>
        <w:pStyle w:val="BodyText"/>
      </w:pPr>
      <w:r>
        <w:t xml:space="preserve">Four arm-only re-measurements were originally produced by ad-hoc scripts that were not kept, so</w:t>
      </w:r>
      <w:r>
        <w:t xml:space="preserve"> </w:t>
      </w:r>
      <w:r>
        <w:t xml:space="preserve">their regime could be asserted but not recovered from a run log. All four have since been</w:t>
      </w:r>
      <w:r>
        <w:t xml:space="preserve"> </w:t>
      </w:r>
      <w:r>
        <w:t xml:space="preserve">re-measured with</w:t>
      </w:r>
      <w:r>
        <w:t xml:space="preserve"> </w:t>
      </w:r>
      <w:r>
        <w:rPr>
          <w:rStyle w:val="VerbatimChar"/>
        </w:rPr>
        <w:t xml:space="preserve">harness/diag/rerun_arm.py</w:t>
      </w:r>
      <w:r>
        <w:t xml:space="preserve">, which calls the same</w:t>
      </w:r>
      <w:r>
        <w:t xml:space="preserve"> </w:t>
      </w:r>
      <w:r>
        <w:rPr>
          <w:rStyle w:val="VerbatimChar"/>
        </w:rPr>
        <w:t xml:space="preserve">run_one</w:t>
      </w:r>
      <w:r>
        <w:t xml:space="preserve"> </w:t>
      </w:r>
      <w:r>
        <w:t xml:space="preserve">the</w:t>
      </w:r>
      <w:r>
        <w:t xml:space="preserve"> </w:t>
      </w:r>
      <w:r>
        <w:t xml:space="preserve">six-model tables are built from and writes a log recording the regime. Three reproduced their</w:t>
      </w:r>
      <w:r>
        <w:t xml:space="preserve"> </w:t>
      </w:r>
      <w:r>
        <w:t xml:space="preserve">published values closely: the Opus</w:t>
      </w:r>
      <w:r>
        <w:t xml:space="preserve"> </w:t>
      </w:r>
      <m:oMath>
        <m:sSub>
          <m:e>
            <m:r>
              <m:t>W</m:t>
            </m:r>
          </m:e>
          <m:sub>
            <m:r>
              <m:t>2</m:t>
            </m:r>
          </m:sub>
        </m:sSub>
      </m:oMath>
      <w:r>
        <w:t xml:space="preserve">/</w:t>
      </w:r>
      <w:r>
        <w:rPr>
          <w:rStyle w:val="VerbatimChar"/>
        </w:rPr>
        <w:t xml:space="preserve">trap_store_wire</w:t>
      </w:r>
      <w:r>
        <w:t xml:space="preserve"> </w:t>
      </w:r>
      <w:r>
        <w:t xml:space="preserve">and Haiku</w:t>
      </w:r>
      <w:r>
        <w:t xml:space="preserve"> </w:t>
      </w:r>
      <m:oMath>
        <m:sSub>
          <m:e>
            <m:r>
              <m:t>W</m:t>
            </m:r>
          </m:e>
          <m:sub>
            <m:r>
              <m:t>1</m:t>
            </m:r>
          </m:sub>
        </m:sSub>
      </m:oMath>
      <w:r>
        <w:t xml:space="preserve">/</w:t>
      </w:r>
      <w:r>
        <w:rPr>
          <w:rStyle w:val="VerbatimChar"/>
        </w:rPr>
        <w:t xml:space="preserve">enc_amount</w:t>
      </w:r>
      <w:r>
        <w:t xml:space="preserve"> </w:t>
      </w:r>
      <w:r>
        <w:t xml:space="preserve">cells returned</w:t>
      </w:r>
      <w:r>
        <w:t xml:space="preserve"> </w:t>
      </w:r>
      <m:oMath>
        <m:r>
          <m:t>0</m:t>
        </m:r>
        <m:r>
          <m:rPr>
            <m:sty m:val="p"/>
          </m:rPr>
          <m:t>/</m:t>
        </m:r>
        <m:r>
          <m:t>40</m:t>
        </m:r>
      </m:oMath>
      <w:r>
        <w:t xml:space="preserve"> </w:t>
      </w:r>
      <w:r>
        <w:t xml:space="preserve">exactly as before, and the structured-context arm</w:t>
      </w:r>
      <w:r>
        <w:t xml:space="preserve"> </w:t>
      </w:r>
      <w:r>
        <w:t xml:space="preserve">moved by one draw on one cell. The Opus</w:t>
      </w:r>
      <w:r>
        <w:t xml:space="preserve"> </w:t>
      </w:r>
      <m:oMath>
        <m:sSub>
          <m:e>
            <m:r>
              <m:t>W</m:t>
            </m:r>
          </m:e>
          <m:sub>
            <m:r>
              <m:t>1</m:t>
            </m:r>
            <m:r>
              <m:rPr>
                <m:sty m:val="p"/>
              </m:rPr>
              <m:t>+</m:t>
            </m:r>
          </m:sub>
        </m:sSub>
      </m:oMath>
      <w:r>
        <w:t xml:space="preserve"> </w:t>
      </w:r>
      <w:r>
        <w:t xml:space="preserve">arm moved further, and deeper:</w:t>
      </w:r>
      <w:r>
        <w:t xml:space="preserve"> </w:t>
      </w:r>
      <m:oMath>
        <m:r>
          <m:t>38</m:t>
        </m:r>
        <m:r>
          <m:rPr>
            <m:sty m:val="p"/>
          </m:rPr>
          <m:t>%</m:t>
        </m:r>
        <m:r>
          <m:rPr>
            <m:sty m:val="p"/>
          </m:rPr>
          <m:t>→</m:t>
        </m:r>
        <m:r>
          <m:t>12</m:t>
        </m:r>
        <m:r>
          <m:rPr>
            <m:sty m:val="p"/>
          </m:rPr>
          <m:t>%</m:t>
        </m:r>
      </m:oMath>
      <w:r>
        <w:t xml:space="preserve"> </w:t>
      </w:r>
      <w:r>
        <w:t xml:space="preserve">on</w:t>
      </w:r>
      <w:r>
        <w:t xml:space="preserve"> </w:t>
      </w:r>
      <w:r>
        <w:rPr>
          <w:rStyle w:val="VerbatimChar"/>
        </w:rPr>
        <w:t xml:space="preserve">api_post_ok</w:t>
      </w:r>
      <w:r>
        <w:t xml:space="preserve"> </w:t>
      </w:r>
      <w:r>
        <w:t xml:space="preserve">and</w:t>
      </w:r>
      <w:r>
        <w:t xml:space="preserve"> </w:t>
      </w:r>
      <m:oMath>
        <m:r>
          <m:t>15</m:t>
        </m:r>
        <m:r>
          <m:rPr>
            <m:sty m:val="p"/>
          </m:rPr>
          <m:t>%</m:t>
        </m:r>
        <m:r>
          <m:rPr>
            <m:sty m:val="p"/>
          </m:rPr>
          <m:t>→</m:t>
        </m:r>
        <m:r>
          <m:t>5</m:t>
        </m:r>
        <m:r>
          <m:rPr>
            <m:sty m:val="p"/>
          </m:rPr>
          <m:t>%</m:t>
        </m:r>
      </m:oMath>
      <w:r>
        <w:t xml:space="preserve"> </w:t>
      </w:r>
      <w:r>
        <w:t xml:space="preserve">on</w:t>
      </w:r>
      <w:r>
        <w:t xml:space="preserve"> </w:t>
      </w:r>
      <w:r>
        <w:rPr>
          <w:rStyle w:val="VerbatimChar"/>
        </w:rPr>
        <w:t xml:space="preserve">api_argorder</w:t>
      </w:r>
      <w:r>
        <w:t xml:space="preserve">. This manuscript reports the</w:t>
      </w:r>
      <w:r>
        <w:t xml:space="preserve"> </w:t>
      </w:r>
      <w:r>
        <w:t xml:space="preserve">re-measurements throughout, so every cited run now has a log naming its regime;</w:t>
      </w:r>
      <w:r>
        <w:t xml:space="preserve"> </w:t>
      </w:r>
      <w:r>
        <w:rPr>
          <w:rStyle w:val="VerbatimChar"/>
        </w:rPr>
        <w:t xml:space="preserve">harness/diag/check_regimes.py</w:t>
      </w:r>
      <w:r>
        <w:t xml:space="preserve"> </w:t>
      </w:r>
      <w:r>
        <w:t xml:space="preserve">lists them with the evidence for each. The between-run</w:t>
      </w:r>
      <w:r>
        <w:t xml:space="preserve"> </w:t>
      </w:r>
      <w:r>
        <w:t xml:space="preserve">movement on the Opus arm is itself a data point for §8.4: repeated measurement</w:t>
      </w:r>
      <w:r>
        <w:t xml:space="preserve"> </w:t>
      </w:r>
      <w:r>
        <w:t xml:space="preserve">of the same cell months apart shifts by more than the nominal interval width.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resisted re-measurement for longer than the others: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during the original run and no GPT-5.5 deployment was available on the resource at first revision, so for one revision cycle its reported</w:t>
      </w:r>
      <w:r>
        <w:t xml:space="preserve"> </w:t>
      </w:r>
      <m:oMath>
        <m:r>
          <m:t>0</m:t>
        </m:r>
        <m:r>
          <m:rPr>
            <m:sty m:val="p"/>
          </m:rPr>
          <m:t>/</m:t>
        </m:r>
        <m:r>
          <m:t>40</m:t>
        </m:r>
      </m:oMath>
      <w:r>
        <w:t xml:space="preserve"> </w:t>
      </w:r>
      <w:r>
        <w:t xml:space="preserve">was carried with outage-scored draws in it. A GPT-5.5 deployment was subsequently provisioned and all four GPT-5.5 cells were re-run single-shot at</w:t>
      </w:r>
      <w:r>
        <w:t xml:space="preserve"> </w:t>
      </w:r>
      <m:oMath>
        <m:r>
          <m:t>n</m:t>
        </m:r>
        <m:r>
          <m:rPr>
            <m:sty m:val="p"/>
          </m:rPr>
          <m:t>=</m:t>
        </m:r>
        <m:r>
          <m:t>40</m:t>
        </m:r>
      </m:oMath>
      <w:r>
        <w:t xml:space="preserve"> </w:t>
      </w:r>
      <w:r>
        <w:t xml:space="preserve">per arm with retention and zero transport failures. The re-run reproduces the published grid exactly in all eight</w:t>
      </w:r>
      <w:r>
        <w:t xml:space="preserve"> </w:t>
      </w:r>
      <m:oMath>
        <m:sSub>
          <m:e>
            <m:r>
              <m:t>W</m:t>
            </m:r>
          </m:e>
          <m:sub>
            <m:r>
              <m:t>1</m:t>
            </m:r>
          </m:sub>
        </m:sSub>
      </m:oMath>
      <w:r>
        <w:t xml:space="preserve">/</w:t>
      </w:r>
      <m:oMath>
        <m:sSub>
          <m:e>
            <m:r>
              <m:t>W</m:t>
            </m:r>
          </m:e>
          <m:sub>
            <m:r>
              <m:t>2</m:t>
            </m:r>
          </m:sub>
        </m:sSub>
      </m:oMath>
      <w:r>
        <w:t xml:space="preserve"> </w:t>
      </w:r>
      <w:r>
        <w:t xml:space="preserve">entries, the disputed cell included (</w:t>
      </w:r>
      <m:oMath>
        <m:sSub>
          <m:e>
            <m:r>
              <m:t>W</m:t>
            </m:r>
          </m:e>
          <m:sub>
            <m:r>
              <m:t>2</m:t>
            </m:r>
          </m:sub>
        </m:sSub>
      </m:oMath>
      <w:r>
        <w:t xml:space="preserve">/</w:t>
      </w:r>
      <w:r>
        <w:rPr>
          <w:rStyle w:val="VerbatimChar"/>
        </w:rPr>
        <w:t xml:space="preserve">trap_store_wire</w:t>
      </w:r>
      <w:r>
        <w:t xml:space="preserve"> </w:t>
      </w:r>
      <m:oMath>
        <m:r>
          <m:t>0</m:t>
        </m:r>
        <m:r>
          <m:rPr>
            <m:sty m:val="p"/>
          </m:rPr>
          <m:t>/</m:t>
        </m:r>
        <m:r>
          <m:t>40</m:t>
        </m:r>
      </m:oMath>
      <w:r>
        <w:t xml:space="preserve"> </w:t>
      </w:r>
      <w:r>
        <w:t xml:space="preserve">clean), so every cell in the coverage family is now a valid binomial sample and the reported</w:t>
      </w:r>
      <w:r>
        <w:t xml:space="preserve"> </w:t>
      </w:r>
      <m:oMath>
        <m:r>
          <m:t>n</m:t>
        </m:r>
      </m:oMath>
      <w:r>
        <w:t xml:space="preserve"> </w:t>
      </w:r>
      <w:r>
        <w:t xml:space="preserve">is the number of real draws throughout. The GPT-5.5 rows of Table 6 come from that run.</w:t>
      </w:r>
    </w:p>
    <w:bookmarkEnd w:id="145"/>
    <w:bookmarkStart w:id="146"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1">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blackwell_opus_ss_W1plus_v2</w:t>
      </w:r>
      <w:r>
        <w:t xml:space="preserve"> </w:t>
      </w:r>
      <w:r>
        <w:t xml:space="preserve">and the clean single-cell re-measurements</w:t>
      </w:r>
      <w:r>
        <w:t xml:space="preserve"> </w:t>
      </w:r>
      <w:r>
        <w:rPr>
          <w:rStyle w:val="VerbatimChar"/>
        </w:rPr>
        <w:t xml:space="preserve">blackwell_opus_ss_W2_trap_v2</w:t>
      </w:r>
      <w:r>
        <w:t xml:space="preserve"> </w:t>
      </w:r>
      <w:r>
        <w:t xml:space="preserve">and</w:t>
      </w:r>
      <w:r>
        <w:t xml:space="preserve"> </w:t>
      </w:r>
      <w:r>
        <w:rPr>
          <w:rStyle w:val="VerbatimChar"/>
        </w:rPr>
        <w:t xml:space="preserve">blackwell_haiku_ss_W1_enc_v2</w:t>
      </w:r>
      <w:r>
        <w:t xml:space="preserve">, all produced by</w:t>
      </w:r>
      <w:r>
        <w:t xml:space="preserve"> </w:t>
      </w:r>
      <w:r>
        <w:rPr>
          <w:rStyle w:val="VerbatimChar"/>
        </w:rPr>
        <w:t xml:space="preserve">harness/diag/rerun_arm.py</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(character-matched padding,</w:t>
      </w:r>
      <w:r>
        <w:t xml:space="preserve"> </w:t>
      </w:r>
      <m:oMath>
        <m:r>
          <m:t>400</m:t>
        </m:r>
      </m:oMath>
      <w:r>
        <w:t xml:space="preserve"> </w:t>
      </w:r>
      <w:r>
        <w:t xml:space="preserve">calls),</w:t>
      </w:r>
      <w:r>
        <w:t xml:space="preserve"> </w:t>
      </w:r>
      <w:r>
        <w:rPr>
          <w:rStyle w:val="VerbatimChar"/>
        </w:rPr>
        <w:t xml:space="preserve">blackwell_order_ss_n40</w:t>
      </w:r>
      <w:r>
        <w:t xml:space="preserve"> </w:t>
      </w:r>
      <w:r>
        <w:t xml:space="preserve">(order control, reversed concatenation, single-shot,</w:t>
      </w:r>
      <w:r>
        <w:t xml:space="preserve"> </w:t>
      </w:r>
      <m:oMath>
        <m:r>
          <m:t>400</m:t>
        </m:r>
      </m:oMath>
      <w:r>
        <w:t xml:space="preserve"> </w:t>
      </w:r>
      <w:r>
        <w:t xml:space="preserve">calls),</w:t>
      </w:r>
      <w:r>
        <w:t xml:space="preserve"> </w:t>
      </w:r>
      <w:r>
        <w:rPr>
          <w:rStyle w:val="VerbatimChar"/>
        </w:rPr>
        <w:t xml:space="preserve">blackwell_pair2_n40</w:t>
      </w:r>
      <w:r>
        <w:t xml:space="preserve"> </w:t>
      </w:r>
      <w:r>
        <w:t xml:space="preserve">(second source pair; the reported</w:t>
      </w:r>
      <w:r>
        <w:t xml:space="preserve"> </w:t>
      </w:r>
      <m:oMath>
        <m:sSub>
          <m:e>
            <m:r>
              <m:t>L</m:t>
            </m:r>
          </m:e>
          <m:sub>
            <m:r>
              <m:rPr>
                <m:scr m:val="script"/>
                <m:sty m:val="p"/>
              </m:rPr>
              <m:t>D</m:t>
            </m:r>
          </m:sub>
        </m:sSub>
      </m:oMath>
      <w:r>
        <w:t xml:space="preserve">,</w:t>
      </w:r>
      <w:r>
        <w:t xml:space="preserve"> </w:t>
      </w:r>
      <m:oMath>
        <m:sSub>
          <m:e>
            <m:r>
              <m:t>U</m:t>
            </m:r>
          </m:e>
          <m:sub>
            <m:r>
              <m:rPr>
                <m:scr m:val="script"/>
                <m:sty m:val="p"/>
              </m:rPr>
              <m:t>D</m:t>
            </m:r>
          </m:sub>
        </m:sSub>
      </m:oMath>
      <w:r>
        <w:t xml:space="preserve"> </w:t>
      </w:r>
      <w:r>
        <w:t xml:space="preserve">and</w:t>
      </w:r>
      <w:r>
        <w:t xml:space="preserve"> </w:t>
      </w:r>
      <m:oMath>
        <m:sSub>
          <m:e>
            <m:r>
              <m:rPr>
                <m:sty m:val="p"/>
              </m:rPr>
              <m:t>Δ</m:t>
            </m:r>
          </m:e>
          <m:sub>
            <m:r>
              <m:t>T</m:t>
            </m:r>
          </m:sub>
        </m:sSub>
      </m:oMath>
      <w:r>
        <w:t xml:space="preserve"> </w:t>
      </w:r>
      <w:r>
        <w:t xml:space="preserve">all come from this file) and</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blackwell_xml_arm_v2</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46"/>
    <w:bookmarkStart w:id="282" w:name="compute-and-cost."/>
    <w:p>
      <w:pPr>
        <w:pStyle w:val="Heading4"/>
      </w:pPr>
      <w:r>
        <w:t xml:space="preserve">Compute and cost.</w:t>
      </w:r>
    </w:p>
    <w:p>
      <w:pPr>
        <w:pStyle w:val="FirstParagraph"/>
      </w:pPr>
      <w:r>
        <w:t xml:space="preserve">Total measured Anthropic spend was approximately $147: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Start w:id="281" w:name="refs"/>
    <w:bookmarkStart w:id="148"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47">
        <w:r>
          <w:rPr>
            <w:rStyle w:val="Hyperlink"/>
          </w:rPr>
          <w:t xml:space="preserve">https://arxiv.org/abs/2512.23617</w:t>
        </w:r>
      </w:hyperlink>
      <w:r>
        <w:t xml:space="preserve">.</w:t>
      </w:r>
    </w:p>
    <w:bookmarkEnd w:id="148"/>
    <w:bookmarkStart w:id="150"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49">
        <w:r>
          <w:rPr>
            <w:rStyle w:val="Hyperlink"/>
          </w:rPr>
          <w:t xml:space="preserve">https://doi.org/10.5281/zenodo.20800175</w:t>
        </w:r>
      </w:hyperlink>
      <w:r>
        <w:t xml:space="preserve">.</w:t>
      </w:r>
    </w:p>
    <w:bookmarkEnd w:id="150"/>
    <w:bookmarkStart w:id="152"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1">
        <w:r>
          <w:rPr>
            <w:rStyle w:val="Hyperlink"/>
          </w:rPr>
          <w:t xml:space="preserve">https://doi.org/10.5281/zenodo.20800031</w:t>
        </w:r>
      </w:hyperlink>
      <w:r>
        <w:t xml:space="preserve">.</w:t>
      </w:r>
    </w:p>
    <w:bookmarkEnd w:id="152"/>
    <w:bookmarkStart w:id="154" w:name="ref-alpila2026lmrecall"/>
    <w:p>
      <w:pPr>
        <w:pStyle w:val="Bibliography"/>
      </w:pPr>
      <w:r>
        <w:t xml:space="preserve">Alpila, Pia. 2026c.</w:t>
      </w:r>
      <w:r>
        <w:t xml:space="preserve"> </w:t>
      </w:r>
      <w:r>
        <w:rPr>
          <w:i/>
          <w:iCs/>
        </w:rPr>
        <w:t xml:space="preserve">LM Recall</w:t>
      </w:r>
      <w:r>
        <w:rPr>
          <w:i/>
          <w:iCs/>
        </w:rPr>
        <w:t xml:space="preserve">: Code and Data for</w:t>
      </w:r>
      <w:r>
        <w:rPr>
          <w:i/>
          <w:iCs/>
        </w:rPr>
        <w:t xml:space="preserve"> </w:t>
      </w:r>
      <w:r>
        <w:rPr>
          <w:i/>
          <w:iCs/>
        </w:rPr>
        <w:t xml:space="preserve">“Context Selection as Approximate Sufficiency”</w:t>
      </w:r>
      <w:r>
        <w:t xml:space="preserve">. Zenodo.</w:t>
      </w:r>
      <w:r>
        <w:t xml:space="preserve"> </w:t>
      </w:r>
      <w:hyperlink r:id="rId153">
        <w:r>
          <w:rPr>
            <w:rStyle w:val="Hyperlink"/>
          </w:rPr>
          <w:t xml:space="preserve">https://doi.org/10.5281/zenodo.20800209</w:t>
        </w:r>
      </w:hyperlink>
      <w:r>
        <w:t xml:space="preserve">.</w:t>
      </w:r>
    </w:p>
    <w:bookmarkEnd w:id="154"/>
    <w:bookmarkStart w:id="155"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55"/>
    <w:bookmarkStart w:id="157" w:name="ref-bertschinger2014nolattice"/>
    <w:p>
      <w:pPr>
        <w:pStyle w:val="Bibliography"/>
      </w:pPr>
      <w:r>
        <w:t xml:space="preserve">Bertschinger, Nils, and Johannes Rauh. 2014.</w:t>
      </w:r>
      <w:r>
        <w:t xml:space="preserve"> </w:t>
      </w:r>
      <w:r>
        <w:t xml:space="preserve">“The</w:t>
      </w:r>
      <w:r>
        <w:t xml:space="preserve"> </w:t>
      </w:r>
      <w:r>
        <w:t xml:space="preserve">Blackwell</w:t>
      </w:r>
      <w:r>
        <w:t xml:space="preserve"> </w:t>
      </w:r>
      <w:r>
        <w:t xml:space="preserve">Relation Defines No Lattice.”</w:t>
      </w:r>
      <w:r>
        <w:t xml:space="preserve"> </w:t>
      </w:r>
      <w:r>
        <w:rPr>
          <w:i/>
          <w:iCs/>
        </w:rPr>
        <w:t xml:space="preserve">2014 IEEE International Symposium on Information Theory (ISIT)</w:t>
      </w:r>
      <w:r>
        <w:t xml:space="preserve">, 2479–83.</w:t>
      </w:r>
      <w:r>
        <w:t xml:space="preserve"> </w:t>
      </w:r>
      <w:hyperlink r:id="rId156">
        <w:r>
          <w:rPr>
            <w:rStyle w:val="Hyperlink"/>
          </w:rPr>
          <w:t xml:space="preserve">https://doi.org/10.1109/ISIT.2014.6875280</w:t>
        </w:r>
      </w:hyperlink>
      <w:r>
        <w:t xml:space="preserve">.</w:t>
      </w:r>
    </w:p>
    <w:bookmarkEnd w:id="157"/>
    <w:bookmarkStart w:id="159"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58">
        <w:r>
          <w:rPr>
            <w:rStyle w:val="Hyperlink"/>
          </w:rPr>
          <w:t xml:space="preserve">https://doi.org/10.1214/aoms/1177729032</w:t>
        </w:r>
      </w:hyperlink>
      <w:r>
        <w:t xml:space="preserve">.</w:t>
      </w:r>
    </w:p>
    <w:bookmarkEnd w:id="159"/>
    <w:bookmarkStart w:id="160"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0"/>
    <w:bookmarkStart w:id="162"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1">
        <w:r>
          <w:rPr>
            <w:rStyle w:val="Hyperlink"/>
          </w:rPr>
          <w:t xml:space="preserve">https://arxiv.org/abs/2503.01747</w:t>
        </w:r>
      </w:hyperlink>
      <w:r>
        <w:t xml:space="preserve">.</w:t>
      </w:r>
    </w:p>
    <w:bookmarkEnd w:id="162"/>
    <w:bookmarkStart w:id="164"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3">
        <w:r>
          <w:rPr>
            <w:rStyle w:val="Hyperlink"/>
          </w:rPr>
          <w:t xml:space="preserve">https://arxiv.org/abs/2411.01533</w:t>
        </w:r>
      </w:hyperlink>
      <w:r>
        <w:t xml:space="preserve">.</w:t>
      </w:r>
    </w:p>
    <w:bookmarkEnd w:id="164"/>
    <w:bookmarkStart w:id="166"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5">
        <w:r>
          <w:rPr>
            <w:rStyle w:val="Hyperlink"/>
          </w:rPr>
          <w:t xml:space="preserve">https://doi.org/10.1145/290941.291025</w:t>
        </w:r>
      </w:hyperlink>
      <w:r>
        <w:t xml:space="preserve">.</w:t>
      </w:r>
    </w:p>
    <w:bookmarkEnd w:id="166"/>
    <w:bookmarkStart w:id="168"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67">
        <w:r>
          <w:rPr>
            <w:rStyle w:val="Hyperlink"/>
          </w:rPr>
          <w:t xml:space="preserve">https://arxiv.org/abs/2511.17908</w:t>
        </w:r>
      </w:hyperlink>
      <w:r>
        <w:t xml:space="preserve">.</w:t>
      </w:r>
    </w:p>
    <w:bookmarkEnd w:id="168"/>
    <w:bookmarkStart w:id="170"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69">
        <w:r>
          <w:rPr>
            <w:rStyle w:val="Hyperlink"/>
          </w:rPr>
          <w:t xml:space="preserve">https://arxiv.org/abs/2507.03279</w:t>
        </w:r>
      </w:hyperlink>
      <w:r>
        <w:t xml:space="preserve">.</w:t>
      </w:r>
    </w:p>
    <w:bookmarkEnd w:id="170"/>
    <w:bookmarkStart w:id="172"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1">
        <w:r>
          <w:rPr>
            <w:rStyle w:val="Hyperlink"/>
          </w:rPr>
          <w:t xml:space="preserve">https://arxiv.org/abs/2601.16478</w:t>
        </w:r>
      </w:hyperlink>
      <w:r>
        <w:t xml:space="preserve">.</w:t>
      </w:r>
    </w:p>
    <w:bookmarkEnd w:id="172"/>
    <w:bookmarkStart w:id="174"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3">
        <w:r>
          <w:rPr>
            <w:rStyle w:val="Hyperlink"/>
          </w:rPr>
          <w:t xml:space="preserve">https://arxiv.org/abs/2508.21184</w:t>
        </w:r>
      </w:hyperlink>
      <w:r>
        <w:t xml:space="preserve">.</w:t>
      </w:r>
    </w:p>
    <w:bookmarkEnd w:id="174"/>
    <w:bookmarkStart w:id="176"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75">
        <w:r>
          <w:rPr>
            <w:rStyle w:val="Hyperlink"/>
          </w:rPr>
          <w:t xml:space="preserve">https://doi.org/10.1093/biomet/26.4.404</w:t>
        </w:r>
      </w:hyperlink>
      <w:r>
        <w:t xml:space="preserve">.</w:t>
      </w:r>
    </w:p>
    <w:bookmarkEnd w:id="176"/>
    <w:bookmarkStart w:id="178"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77">
        <w:r>
          <w:rPr>
            <w:rStyle w:val="Hyperlink"/>
          </w:rPr>
          <w:t xml:space="preserve">https://arxiv.org/abs/2401.14887</w:t>
        </w:r>
      </w:hyperlink>
      <w:r>
        <w:t xml:space="preserve">.</w:t>
      </w:r>
    </w:p>
    <w:bookmarkEnd w:id="178"/>
    <w:bookmarkStart w:id="180"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79">
        <w:r>
          <w:rPr>
            <w:rStyle w:val="Hyperlink"/>
          </w:rPr>
          <w:t xml:space="preserve">https://arxiv.org/abs/2503.01478</w:t>
        </w:r>
      </w:hyperlink>
      <w:r>
        <w:t xml:space="preserve">.</w:t>
      </w:r>
    </w:p>
    <w:bookmarkEnd w:id="180"/>
    <w:bookmarkStart w:id="182"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1">
        <w:r>
          <w:rPr>
            <w:rStyle w:val="Hyperlink"/>
          </w:rPr>
          <w:t xml:space="preserve">http://www.vldb.org/pvldb/vol6/p37-dong.pdf</w:t>
        </w:r>
      </w:hyperlink>
      <w:r>
        <w:t xml:space="preserve">.</w:t>
      </w:r>
    </w:p>
    <w:bookmarkEnd w:id="182"/>
    <w:bookmarkStart w:id="184"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3">
        <w:r>
          <w:rPr>
            <w:rStyle w:val="Hyperlink"/>
          </w:rPr>
          <w:t xml:space="preserve">https://arxiv.org/abs/2510.05381</w:t>
        </w:r>
      </w:hyperlink>
      <w:r>
        <w:t xml:space="preserve">.</w:t>
      </w:r>
    </w:p>
    <w:bookmarkEnd w:id="184"/>
    <w:bookmarkStart w:id="186"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85">
        <w:r>
          <w:rPr>
            <w:rStyle w:val="Hyperlink"/>
          </w:rPr>
          <w:t xml:space="preserve">https://doi.org/10.1214/aoms/1177728174</w:t>
        </w:r>
      </w:hyperlink>
      <w:r>
        <w:t xml:space="preserve">.</w:t>
      </w:r>
    </w:p>
    <w:bookmarkEnd w:id="186"/>
    <w:bookmarkStart w:id="187"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87"/>
    <w:bookmarkStart w:id="189"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88">
        <w:r>
          <w:rPr>
            <w:rStyle w:val="Hyperlink"/>
          </w:rPr>
          <w:t xml:space="preserve">https://arxiv.org/abs/2601.11273</w:t>
        </w:r>
      </w:hyperlink>
      <w:r>
        <w:t xml:space="preserve">.</w:t>
      </w:r>
    </w:p>
    <w:bookmarkEnd w:id="189"/>
    <w:bookmarkStart w:id="191"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0">
        <w:r>
          <w:rPr>
            <w:rStyle w:val="Hyperlink"/>
          </w:rPr>
          <w:t xml:space="preserve">https://arxiv.org/abs/2503.05491</w:t>
        </w:r>
      </w:hyperlink>
      <w:r>
        <w:t xml:space="preserve">.</w:t>
      </w:r>
    </w:p>
    <w:bookmarkEnd w:id="191"/>
    <w:bookmarkStart w:id="193"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2">
        <w:r>
          <w:rPr>
            <w:rStyle w:val="Hyperlink"/>
          </w:rPr>
          <w:t xml:space="preserve">https://arxiv.org/abs/2608.26762</w:t>
        </w:r>
      </w:hyperlink>
      <w:r>
        <w:t xml:space="preserve">.</w:t>
      </w:r>
    </w:p>
    <w:bookmarkEnd w:id="193"/>
    <w:bookmarkStart w:id="195"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4">
        <w:r>
          <w:rPr>
            <w:rStyle w:val="Hyperlink"/>
          </w:rPr>
          <w:t xml:space="preserve">https://doi.org/10.1007/s10791-008-9045-0</w:t>
        </w:r>
      </w:hyperlink>
      <w:r>
        <w:t xml:space="preserve">.</w:t>
      </w:r>
    </w:p>
    <w:bookmarkEnd w:id="195"/>
    <w:bookmarkStart w:id="197"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96">
        <w:r>
          <w:rPr>
            <w:rStyle w:val="Hyperlink"/>
          </w:rPr>
          <w:t xml:space="preserve">https://arxiv.org/abs/2410.20247</w:t>
        </w:r>
      </w:hyperlink>
      <w:r>
        <w:t xml:space="preserve">.</w:t>
      </w:r>
    </w:p>
    <w:bookmarkEnd w:id="197"/>
    <w:bookmarkStart w:id="199"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198">
        <w:r>
          <w:rPr>
            <w:rStyle w:val="Hyperlink"/>
          </w:rPr>
          <w:t xml:space="preserve">https://arxiv.org/abs/2606.20047</w:t>
        </w:r>
      </w:hyperlink>
      <w:r>
        <w:t xml:space="preserve">.</w:t>
      </w:r>
    </w:p>
    <w:bookmarkEnd w:id="199"/>
    <w:bookmarkStart w:id="201"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0">
        <w:r>
          <w:rPr>
            <w:rStyle w:val="Hyperlink"/>
          </w:rPr>
          <w:t xml:space="preserve">https://aclanthology.org/2026.findings-acl.583/</w:t>
        </w:r>
      </w:hyperlink>
      <w:r>
        <w:t xml:space="preserve">.</w:t>
      </w:r>
    </w:p>
    <w:bookmarkEnd w:id="201"/>
    <w:bookmarkStart w:id="203"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02">
        <w:r>
          <w:rPr>
            <w:rStyle w:val="Hyperlink"/>
          </w:rPr>
          <w:t xml:space="preserve">https://arxiv.org/abs/2412.17031</w:t>
        </w:r>
      </w:hyperlink>
      <w:r>
        <w:t xml:space="preserve">.</w:t>
      </w:r>
    </w:p>
    <w:bookmarkEnd w:id="203"/>
    <w:bookmarkStart w:id="205"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04">
        <w:r>
          <w:rPr>
            <w:rStyle w:val="Hyperlink"/>
          </w:rPr>
          <w:t xml:space="preserve">https://aclanthology.org/2025.fever-1.2/</w:t>
        </w:r>
      </w:hyperlink>
      <w:r>
        <w:t xml:space="preserve">.</w:t>
      </w:r>
    </w:p>
    <w:bookmarkEnd w:id="205"/>
    <w:bookmarkStart w:id="207"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06">
        <w:r>
          <w:rPr>
            <w:rStyle w:val="Hyperlink"/>
          </w:rPr>
          <w:t xml:space="preserve">https://arxiv.org/abs/2304.04576</w:t>
        </w:r>
      </w:hyperlink>
      <w:r>
        <w:t xml:space="preserve">.</w:t>
      </w:r>
    </w:p>
    <w:bookmarkEnd w:id="207"/>
    <w:bookmarkStart w:id="209"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08">
        <w:r>
          <w:rPr>
            <w:rStyle w:val="Hyperlink"/>
          </w:rPr>
          <w:t xml:space="preserve">https://www.trychroma.com/research/context-rot</w:t>
        </w:r>
      </w:hyperlink>
      <w:r>
        <w:t xml:space="preserve">.</w:t>
      </w:r>
    </w:p>
    <w:bookmarkEnd w:id="209"/>
    <w:bookmarkStart w:id="211"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0">
        <w:r>
          <w:rPr>
            <w:rStyle w:val="Hyperlink"/>
          </w:rPr>
          <w:t xml:space="preserve">https://arxiv.org/abs/2510.00079</w:t>
        </w:r>
      </w:hyperlink>
      <w:r>
        <w:t xml:space="preserve">.</w:t>
      </w:r>
    </w:p>
    <w:bookmarkEnd w:id="211"/>
    <w:bookmarkStart w:id="213"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2">
        <w:r>
          <w:rPr>
            <w:rStyle w:val="Hyperlink"/>
          </w:rPr>
          <w:t xml:space="preserve">https://arxiv.org/abs/2512.06464</w:t>
        </w:r>
      </w:hyperlink>
      <w:r>
        <w:t xml:space="preserve">.</w:t>
      </w:r>
    </w:p>
    <w:bookmarkEnd w:id="213"/>
    <w:bookmarkStart w:id="215"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4">
        <w:r>
          <w:rPr>
            <w:rStyle w:val="Hyperlink"/>
          </w:rPr>
          <w:t xml:space="preserve">https://arxiv.org/abs/2601.05027</w:t>
        </w:r>
      </w:hyperlink>
      <w:r>
        <w:t xml:space="preserve">.</w:t>
      </w:r>
    </w:p>
    <w:bookmarkEnd w:id="215"/>
    <w:bookmarkStart w:id="217"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16">
        <w:r>
          <w:rPr>
            <w:rStyle w:val="Hyperlink"/>
          </w:rPr>
          <w:t xml:space="preserve">https://arxiv.org/abs/2410.05983</w:t>
        </w:r>
      </w:hyperlink>
      <w:r>
        <w:t xml:space="preserve">.</w:t>
      </w:r>
    </w:p>
    <w:bookmarkEnd w:id="217"/>
    <w:bookmarkStart w:id="219"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18">
        <w:r>
          <w:rPr>
            <w:rStyle w:val="Hyperlink"/>
          </w:rPr>
          <w:t xml:space="preserve">https://arxiv.org/abs/2411.06037</w:t>
        </w:r>
      </w:hyperlink>
      <w:r>
        <w:t xml:space="preserve">.</w:t>
      </w:r>
    </w:p>
    <w:bookmarkEnd w:id="219"/>
    <w:bookmarkStart w:id="221" w:name="ref-khan2025blackwell"/>
    <w:p>
      <w:pPr>
        <w:pStyle w:val="Bibliography"/>
      </w:pPr>
      <w:r>
        <w:t xml:space="preserve">Khan, M. Ali, Haomiao Yu, and Zhixiang Zhang. 2025.</w:t>
      </w:r>
      <w:r>
        <w:t xml:space="preserve"> </w:t>
      </w:r>
      <w:r>
        <w:t xml:space="preserve">“A Simple Proof of</w:t>
      </w:r>
      <w:r>
        <w:t xml:space="preserve"> </w:t>
      </w:r>
      <w:r>
        <w:t xml:space="preserve">Blackwell</w:t>
      </w:r>
      <w:r>
        <w:t xml:space="preserve">’s Theorem on the Comparison of Experiments for a General State Space.”</w:t>
      </w:r>
      <w:r>
        <w:t xml:space="preserve"> </w:t>
      </w:r>
      <w:r>
        <w:rPr>
          <w:i/>
          <w:iCs/>
        </w:rPr>
        <w:t xml:space="preserve">Economics Letters</w:t>
      </w:r>
      <w:r>
        <w:t xml:space="preserve"> </w:t>
      </w:r>
      <w:r>
        <w:t xml:space="preserve">247: 112146.</w:t>
      </w:r>
      <w:r>
        <w:t xml:space="preserve"> </w:t>
      </w:r>
      <w:hyperlink r:id="rId220">
        <w:r>
          <w:rPr>
            <w:rStyle w:val="Hyperlink"/>
          </w:rPr>
          <w:t xml:space="preserve">https://doi.org/10.1016/j.econlet.2024.112146</w:t>
        </w:r>
      </w:hyperlink>
      <w:r>
        <w:t xml:space="preserve">.</w:t>
      </w:r>
    </w:p>
    <w:bookmarkEnd w:id="221"/>
    <w:bookmarkStart w:id="223"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2">
        <w:r>
          <w:rPr>
            <w:rStyle w:val="Hyperlink"/>
          </w:rPr>
          <w:t xml:space="preserve">https://doi.org/10.1214/aoms/1177700372</w:t>
        </w:r>
      </w:hyperlink>
      <w:r>
        <w:t xml:space="preserve">.</w:t>
      </w:r>
    </w:p>
    <w:bookmarkEnd w:id="223"/>
    <w:bookmarkStart w:id="225"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24">
        <w:r>
          <w:rPr>
            <w:rStyle w:val="Hyperlink"/>
          </w:rPr>
          <w:t xml:space="preserve">https://doi.org/10.1007/978-1-4612-4946-7</w:t>
        </w:r>
      </w:hyperlink>
      <w:r>
        <w:t xml:space="preserve">.</w:t>
      </w:r>
    </w:p>
    <w:bookmarkEnd w:id="225"/>
    <w:bookmarkStart w:id="227"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26">
        <w:r>
          <w:rPr>
            <w:rStyle w:val="Hyperlink"/>
          </w:rPr>
          <w:t xml:space="preserve">https://arxiv.org/abs/2504.07104</w:t>
        </w:r>
      </w:hyperlink>
      <w:r>
        <w:t xml:space="preserve">.</w:t>
      </w:r>
    </w:p>
    <w:bookmarkEnd w:id="227"/>
    <w:bookmarkStart w:id="229"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28">
        <w:r>
          <w:rPr>
            <w:rStyle w:val="Hyperlink"/>
          </w:rPr>
          <w:t xml:space="preserve">https://arxiv.org/abs/2503.04388</w:t>
        </w:r>
      </w:hyperlink>
      <w:r>
        <w:t xml:space="preserve">.</w:t>
      </w:r>
    </w:p>
    <w:bookmarkEnd w:id="229"/>
    <w:bookmarkStart w:id="231"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0">
        <w:r>
          <w:rPr>
            <w:rStyle w:val="Hyperlink"/>
          </w:rPr>
          <w:t xml:space="preserve">https://arxiv.org/abs/2605.05716</w:t>
        </w:r>
      </w:hyperlink>
      <w:r>
        <w:t xml:space="preserve">.</w:t>
      </w:r>
    </w:p>
    <w:bookmarkEnd w:id="231"/>
    <w:bookmarkStart w:id="233"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2">
        <w:r>
          <w:rPr>
            <w:rStyle w:val="Hyperlink"/>
          </w:rPr>
          <w:t xml:space="preserve">https://arxiv.org/abs/2307.03172</w:t>
        </w:r>
      </w:hyperlink>
      <w:r>
        <w:t xml:space="preserve">.</w:t>
      </w:r>
    </w:p>
    <w:bookmarkEnd w:id="233"/>
    <w:bookmarkStart w:id="235"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34">
        <w:r>
          <w:rPr>
            <w:rStyle w:val="Hyperlink"/>
          </w:rPr>
          <w:t xml:space="preserve">https://arxiv.org/abs/2411.00640</w:t>
        </w:r>
      </w:hyperlink>
      <w:r>
        <w:t xml:space="preserve">.</w:t>
      </w:r>
    </w:p>
    <w:bookmarkEnd w:id="235"/>
    <w:bookmarkStart w:id="237"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36">
        <w:r>
          <w:rPr>
            <w:rStyle w:val="Hyperlink"/>
          </w:rPr>
          <w:t xml:space="preserve">https://doi.org/10.1007/978-3-032-19099-4_23</w:t>
        </w:r>
      </w:hyperlink>
      <w:r>
        <w:t xml:space="preserve">.</w:t>
      </w:r>
    </w:p>
    <w:bookmarkEnd w:id="237"/>
    <w:bookmarkStart w:id="239"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38">
        <w:r>
          <w:rPr>
            <w:rStyle w:val="Hyperlink"/>
          </w:rPr>
          <w:t xml:space="preserve">https://arxiv.org/abs/2604.06621</w:t>
        </w:r>
      </w:hyperlink>
      <w:r>
        <w:t xml:space="preserve">.</w:t>
      </w:r>
    </w:p>
    <w:bookmarkEnd w:id="239"/>
    <w:bookmarkStart w:id="241"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0">
        <w:r>
          <w:rPr>
            <w:rStyle w:val="Hyperlink"/>
          </w:rPr>
          <w:t xml:space="preserve">https://arxiv.org/abs/2605.03534</w:t>
        </w:r>
      </w:hyperlink>
      <w:r>
        <w:t xml:space="preserve">.</w:t>
      </w:r>
    </w:p>
    <w:bookmarkEnd w:id="241"/>
    <w:bookmarkStart w:id="243"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2">
        <w:r>
          <w:rPr>
            <w:rStyle w:val="Hyperlink"/>
          </w:rPr>
          <w:t xml:space="preserve">https://doi.org/10.1108/eb026647</w:t>
        </w:r>
      </w:hyperlink>
      <w:r>
        <w:t xml:space="preserve">.</w:t>
      </w:r>
    </w:p>
    <w:bookmarkEnd w:id="243"/>
    <w:bookmarkStart w:id="245"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44">
        <w:r>
          <w:rPr>
            <w:rStyle w:val="Hyperlink"/>
          </w:rPr>
          <w:t xml:space="preserve">https://arxiv.org/abs/1402.4884</w:t>
        </w:r>
      </w:hyperlink>
      <w:r>
        <w:t xml:space="preserve">.</w:t>
      </w:r>
    </w:p>
    <w:bookmarkEnd w:id="245"/>
    <w:bookmarkStart w:id="247"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46">
        <w:r>
          <w:rPr>
            <w:rStyle w:val="Hyperlink"/>
          </w:rPr>
          <w:t xml:space="preserve">https://arxiv.org/abs/2302.00093</w:t>
        </w:r>
      </w:hyperlink>
      <w:r>
        <w:t xml:space="preserve">.</w:t>
      </w:r>
    </w:p>
    <w:bookmarkEnd w:id="247"/>
    <w:bookmarkStart w:id="249"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48">
        <w:r>
          <w:rPr>
            <w:rStyle w:val="Hyperlink"/>
          </w:rPr>
          <w:t xml:space="preserve">https://arxiv.org/abs/2304.09542</w:t>
        </w:r>
      </w:hyperlink>
      <w:r>
        <w:t xml:space="preserve">.</w:t>
      </w:r>
    </w:p>
    <w:bookmarkEnd w:id="249"/>
    <w:bookmarkStart w:id="251"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0">
        <w:r>
          <w:rPr>
            <w:rStyle w:val="Hyperlink"/>
          </w:rPr>
          <w:t xml:space="preserve">https://doi.org/10.1017/CBO9780511666353</w:t>
        </w:r>
      </w:hyperlink>
      <w:r>
        <w:t xml:space="preserve">.</w:t>
      </w:r>
    </w:p>
    <w:bookmarkEnd w:id="251"/>
    <w:bookmarkStart w:id="253"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52">
        <w:r>
          <w:rPr>
            <w:rStyle w:val="Hyperlink"/>
          </w:rPr>
          <w:t xml:space="preserve">https://arxiv.org/abs/2402.11750</w:t>
        </w:r>
      </w:hyperlink>
      <w:r>
        <w:t xml:space="preserve">.</w:t>
      </w:r>
    </w:p>
    <w:bookmarkEnd w:id="253"/>
    <w:bookmarkStart w:id="255"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54">
        <w:r>
          <w:rPr>
            <w:rStyle w:val="Hyperlink"/>
          </w:rPr>
          <w:t xml:space="preserve">https://arxiv.org/abs/2602.08294</w:t>
        </w:r>
      </w:hyperlink>
      <w:r>
        <w:t xml:space="preserve">.</w:t>
      </w:r>
    </w:p>
    <w:bookmarkEnd w:id="255"/>
    <w:bookmarkStart w:id="257"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56">
        <w:r>
          <w:rPr>
            <w:rStyle w:val="Hyperlink"/>
          </w:rPr>
          <w:t xml:space="preserve">https://doi.org/10.1145/1571941.1571963</w:t>
        </w:r>
      </w:hyperlink>
      <w:r>
        <w:t xml:space="preserve">.</w:t>
      </w:r>
    </w:p>
    <w:bookmarkEnd w:id="257"/>
    <w:bookmarkStart w:id="259"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58">
        <w:r>
          <w:rPr>
            <w:rStyle w:val="Hyperlink"/>
          </w:rPr>
          <w:t xml:space="preserve">https://arxiv.org/abs/2410.07523</w:t>
        </w:r>
      </w:hyperlink>
      <w:r>
        <w:t xml:space="preserve">.</w:t>
      </w:r>
    </w:p>
    <w:bookmarkEnd w:id="259"/>
    <w:bookmarkStart w:id="261"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0">
        <w:r>
          <w:rPr>
            <w:rStyle w:val="Hyperlink"/>
          </w:rPr>
          <w:t xml:space="preserve">https://arxiv.org/abs/2403.08319</w:t>
        </w:r>
      </w:hyperlink>
      <w:r>
        <w:t xml:space="preserve">.</w:t>
      </w:r>
    </w:p>
    <w:bookmarkEnd w:id="261"/>
    <w:bookmarkStart w:id="263"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62">
        <w:r>
          <w:rPr>
            <w:rStyle w:val="Hyperlink"/>
          </w:rPr>
          <w:t xml:space="preserve">https://arxiv.org/abs/2302.05698</w:t>
        </w:r>
      </w:hyperlink>
      <w:r>
        <w:t xml:space="preserve">.</w:t>
      </w:r>
    </w:p>
    <w:bookmarkEnd w:id="263"/>
    <w:bookmarkStart w:id="265"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64">
        <w:r>
          <w:rPr>
            <w:rStyle w:val="Hyperlink"/>
          </w:rPr>
          <w:t xml:space="preserve">https://arxiv.org/abs/2407.02485</w:t>
        </w:r>
      </w:hyperlink>
      <w:r>
        <w:t xml:space="preserve">.</w:t>
      </w:r>
    </w:p>
    <w:bookmarkEnd w:id="265"/>
    <w:bookmarkStart w:id="267"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66">
        <w:r>
          <w:rPr>
            <w:rStyle w:val="Hyperlink"/>
          </w:rPr>
          <w:t xml:space="preserve">https://arxiv.org/abs/2504.15630</w:t>
        </w:r>
      </w:hyperlink>
      <w:r>
        <w:t xml:space="preserve">.</w:t>
      </w:r>
    </w:p>
    <w:bookmarkEnd w:id="267"/>
    <w:bookmarkStart w:id="269"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68">
        <w:r>
          <w:rPr>
            <w:rStyle w:val="Hyperlink"/>
          </w:rPr>
          <w:t xml:space="preserve">https://arxiv.org/abs/2510.11358</w:t>
        </w:r>
      </w:hyperlink>
      <w:r>
        <w:t xml:space="preserve">.</w:t>
      </w:r>
    </w:p>
    <w:bookmarkEnd w:id="269"/>
    <w:bookmarkStart w:id="271"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0">
        <w:r>
          <w:rPr>
            <w:rStyle w:val="Hyperlink"/>
          </w:rPr>
          <w:t xml:space="preserve">https://arxiv.org/abs/2604.08920</w:t>
        </w:r>
      </w:hyperlink>
      <w:r>
        <w:t xml:space="preserve">.</w:t>
      </w:r>
    </w:p>
    <w:bookmarkEnd w:id="271"/>
    <w:bookmarkStart w:id="273"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72">
        <w:r>
          <w:rPr>
            <w:rStyle w:val="Hyperlink"/>
          </w:rPr>
          <w:t xml:space="preserve">https://arxiv.org/abs/2605.06028</w:t>
        </w:r>
      </w:hyperlink>
      <w:r>
        <w:t xml:space="preserve">.</w:t>
      </w:r>
    </w:p>
    <w:bookmarkEnd w:id="273"/>
    <w:bookmarkStart w:id="274"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74"/>
    <w:bookmarkStart w:id="276"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75">
        <w:r>
          <w:rPr>
            <w:rStyle w:val="Hyperlink"/>
          </w:rPr>
          <w:t xml:space="preserve">https://arxiv.org/abs/2405.18253</w:t>
        </w:r>
      </w:hyperlink>
      <w:r>
        <w:t xml:space="preserve">.</w:t>
      </w:r>
    </w:p>
    <w:bookmarkEnd w:id="276"/>
    <w:bookmarkStart w:id="278"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77">
        <w:r>
          <w:rPr>
            <w:rStyle w:val="Hyperlink"/>
          </w:rPr>
          <w:t xml:space="preserve">https://doi.org/10.1145/3802111</w:t>
        </w:r>
      </w:hyperlink>
      <w:r>
        <w:t xml:space="preserve">.</w:t>
      </w:r>
    </w:p>
    <w:bookmarkEnd w:id="278"/>
    <w:bookmarkStart w:id="280"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79">
        <w:r>
          <w:rPr>
            <w:rStyle w:val="Hyperlink"/>
          </w:rPr>
          <w:t xml:space="preserve">https://doi.org/10.1007/978-3-642-12275-0_32</w:t>
        </w:r>
      </w:hyperlink>
      <w:r>
        <w:t xml:space="preserve">.</w:t>
      </w:r>
    </w:p>
    <w:bookmarkEnd w:id="280"/>
    <w:bookmarkEnd w:id="281"/>
    <w:bookmarkEnd w:id="282"/>
    <w:bookmarkEnd w:id="2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1" Target="http://www.vldb.org/pvldb/vol6/p37-dong.pdf" TargetMode="External" /><Relationship Type="http://schemas.openxmlformats.org/officeDocument/2006/relationships/hyperlink" Id="rId204" Target="https://aclanthology.org/2025.fever-1.2/" TargetMode="External" /><Relationship Type="http://schemas.openxmlformats.org/officeDocument/2006/relationships/hyperlink" Id="rId200" Target="https://aclanthology.org/2026.findings-acl.583/" TargetMode="External" /><Relationship Type="http://schemas.openxmlformats.org/officeDocument/2006/relationships/hyperlink" Id="rId244" Target="https://arxiv.org/abs/1402.4884" TargetMode="External" /><Relationship Type="http://schemas.openxmlformats.org/officeDocument/2006/relationships/hyperlink" Id="rId246" Target="https://arxiv.org/abs/2302.00093" TargetMode="External" /><Relationship Type="http://schemas.openxmlformats.org/officeDocument/2006/relationships/hyperlink" Id="rId262" Target="https://arxiv.org/abs/2302.05698" TargetMode="External" /><Relationship Type="http://schemas.openxmlformats.org/officeDocument/2006/relationships/hyperlink" Id="rId206" Target="https://arxiv.org/abs/2304.04576" TargetMode="External" /><Relationship Type="http://schemas.openxmlformats.org/officeDocument/2006/relationships/hyperlink" Id="rId248" Target="https://arxiv.org/abs/2304.09542" TargetMode="External" /><Relationship Type="http://schemas.openxmlformats.org/officeDocument/2006/relationships/hyperlink" Id="rId232" Target="https://arxiv.org/abs/2307.03172" TargetMode="External" /><Relationship Type="http://schemas.openxmlformats.org/officeDocument/2006/relationships/hyperlink" Id="rId177" Target="https://arxiv.org/abs/2401.14887" TargetMode="External" /><Relationship Type="http://schemas.openxmlformats.org/officeDocument/2006/relationships/hyperlink" Id="rId252" Target="https://arxiv.org/abs/2402.11750" TargetMode="External" /><Relationship Type="http://schemas.openxmlformats.org/officeDocument/2006/relationships/hyperlink" Id="rId260" Target="https://arxiv.org/abs/2403.08319" TargetMode="External" /><Relationship Type="http://schemas.openxmlformats.org/officeDocument/2006/relationships/hyperlink" Id="rId275" Target="https://arxiv.org/abs/2405.18253" TargetMode="External" /><Relationship Type="http://schemas.openxmlformats.org/officeDocument/2006/relationships/hyperlink" Id="rId264" Target="https://arxiv.org/abs/2407.02485" TargetMode="External" /><Relationship Type="http://schemas.openxmlformats.org/officeDocument/2006/relationships/hyperlink" Id="rId216" Target="https://arxiv.org/abs/2410.05983" TargetMode="External" /><Relationship Type="http://schemas.openxmlformats.org/officeDocument/2006/relationships/hyperlink" Id="rId258" Target="https://arxiv.org/abs/2410.07523" TargetMode="External" /><Relationship Type="http://schemas.openxmlformats.org/officeDocument/2006/relationships/hyperlink" Id="rId196" Target="https://arxiv.org/abs/2410.20247" TargetMode="External" /><Relationship Type="http://schemas.openxmlformats.org/officeDocument/2006/relationships/hyperlink" Id="rId234" Target="https://arxiv.org/abs/2411.00640" TargetMode="External" /><Relationship Type="http://schemas.openxmlformats.org/officeDocument/2006/relationships/hyperlink" Id="rId163" Target="https://arxiv.org/abs/2411.01533" TargetMode="External" /><Relationship Type="http://schemas.openxmlformats.org/officeDocument/2006/relationships/hyperlink" Id="rId218" Target="https://arxiv.org/abs/2411.06037" TargetMode="External" /><Relationship Type="http://schemas.openxmlformats.org/officeDocument/2006/relationships/hyperlink" Id="rId202" Target="https://arxiv.org/abs/2412.17031" TargetMode="External" /><Relationship Type="http://schemas.openxmlformats.org/officeDocument/2006/relationships/hyperlink" Id="rId179" Target="https://arxiv.org/abs/2503.01478" TargetMode="External" /><Relationship Type="http://schemas.openxmlformats.org/officeDocument/2006/relationships/hyperlink" Id="rId161" Target="https://arxiv.org/abs/2503.01747" TargetMode="External" /><Relationship Type="http://schemas.openxmlformats.org/officeDocument/2006/relationships/hyperlink" Id="rId228" Target="https://arxiv.org/abs/2503.04388" TargetMode="External" /><Relationship Type="http://schemas.openxmlformats.org/officeDocument/2006/relationships/hyperlink" Id="rId190" Target="https://arxiv.org/abs/2503.05491" TargetMode="External" /><Relationship Type="http://schemas.openxmlformats.org/officeDocument/2006/relationships/hyperlink" Id="rId226" Target="https://arxiv.org/abs/2504.07104" TargetMode="External" /><Relationship Type="http://schemas.openxmlformats.org/officeDocument/2006/relationships/hyperlink" Id="rId266" Target="https://arxiv.org/abs/2504.15630" TargetMode="External" /><Relationship Type="http://schemas.openxmlformats.org/officeDocument/2006/relationships/hyperlink" Id="rId169" Target="https://arxiv.org/abs/2507.03279" TargetMode="External" /><Relationship Type="http://schemas.openxmlformats.org/officeDocument/2006/relationships/hyperlink" Id="rId173" Target="https://arxiv.org/abs/2508.21184" TargetMode="External" /><Relationship Type="http://schemas.openxmlformats.org/officeDocument/2006/relationships/hyperlink" Id="rId210" Target="https://arxiv.org/abs/2510.00079" TargetMode="External" /><Relationship Type="http://schemas.openxmlformats.org/officeDocument/2006/relationships/hyperlink" Id="rId183" Target="https://arxiv.org/abs/2510.05381" TargetMode="External" /><Relationship Type="http://schemas.openxmlformats.org/officeDocument/2006/relationships/hyperlink" Id="rId268" Target="https://arxiv.org/abs/2510.11358" TargetMode="External" /><Relationship Type="http://schemas.openxmlformats.org/officeDocument/2006/relationships/hyperlink" Id="rId167" Target="https://arxiv.org/abs/2511.17908" TargetMode="External" /><Relationship Type="http://schemas.openxmlformats.org/officeDocument/2006/relationships/hyperlink" Id="rId212" Target="https://arxiv.org/abs/2512.06464" TargetMode="External" /><Relationship Type="http://schemas.openxmlformats.org/officeDocument/2006/relationships/hyperlink" Id="rId147" Target="https://arxiv.org/abs/2512.23617" TargetMode="External" /><Relationship Type="http://schemas.openxmlformats.org/officeDocument/2006/relationships/hyperlink" Id="rId214" Target="https://arxiv.org/abs/2601.05027" TargetMode="External" /><Relationship Type="http://schemas.openxmlformats.org/officeDocument/2006/relationships/hyperlink" Id="rId188" Target="https://arxiv.org/abs/2601.11273" TargetMode="External" /><Relationship Type="http://schemas.openxmlformats.org/officeDocument/2006/relationships/hyperlink" Id="rId171" Target="https://arxiv.org/abs/2601.16478" TargetMode="External" /><Relationship Type="http://schemas.openxmlformats.org/officeDocument/2006/relationships/hyperlink" Id="rId254" Target="https://arxiv.org/abs/2602.08294" TargetMode="External" /><Relationship Type="http://schemas.openxmlformats.org/officeDocument/2006/relationships/hyperlink" Id="rId238" Target="https://arxiv.org/abs/2604.06621" TargetMode="External" /><Relationship Type="http://schemas.openxmlformats.org/officeDocument/2006/relationships/hyperlink" Id="rId270" Target="https://arxiv.org/abs/2604.08920" TargetMode="External" /><Relationship Type="http://schemas.openxmlformats.org/officeDocument/2006/relationships/hyperlink" Id="rId240" Target="https://arxiv.org/abs/2605.03534" TargetMode="External" /><Relationship Type="http://schemas.openxmlformats.org/officeDocument/2006/relationships/hyperlink" Id="rId230" Target="https://arxiv.org/abs/2605.05716" TargetMode="External" /><Relationship Type="http://schemas.openxmlformats.org/officeDocument/2006/relationships/hyperlink" Id="rId272" Target="https://arxiv.org/abs/2605.06028" TargetMode="External" /><Relationship Type="http://schemas.openxmlformats.org/officeDocument/2006/relationships/hyperlink" Id="rId198" Target="https://arxiv.org/abs/2606.20047" TargetMode="External" /><Relationship Type="http://schemas.openxmlformats.org/officeDocument/2006/relationships/hyperlink" Id="rId192" Target="https://arxiv.org/abs/2608.26762" TargetMode="External" /><Relationship Type="http://schemas.openxmlformats.org/officeDocument/2006/relationships/hyperlink" Id="rId224" Target="https://doi.org/10.1007/978-1-4612-4946-7" TargetMode="External" /><Relationship Type="http://schemas.openxmlformats.org/officeDocument/2006/relationships/hyperlink" Id="rId236" Target="https://doi.org/10.1007/978-3-032-19099-4_23" TargetMode="External" /><Relationship Type="http://schemas.openxmlformats.org/officeDocument/2006/relationships/hyperlink" Id="rId279" Target="https://doi.org/10.1007/978-3-642-12275-0_32" TargetMode="External" /><Relationship Type="http://schemas.openxmlformats.org/officeDocument/2006/relationships/hyperlink" Id="rId194" Target="https://doi.org/10.1007/s10791-008-9045-0" TargetMode="External" /><Relationship Type="http://schemas.openxmlformats.org/officeDocument/2006/relationships/hyperlink" Id="rId220" Target="https://doi.org/10.1016/j.econlet.2024.112146" TargetMode="External" /><Relationship Type="http://schemas.openxmlformats.org/officeDocument/2006/relationships/hyperlink" Id="rId250" Target="https://doi.org/10.1017/CBO9780511666353" TargetMode="External" /><Relationship Type="http://schemas.openxmlformats.org/officeDocument/2006/relationships/hyperlink" Id="rId175" Target="https://doi.org/10.1093/biomet/26.4.404" TargetMode="External" /><Relationship Type="http://schemas.openxmlformats.org/officeDocument/2006/relationships/hyperlink" Id="rId242" Target="https://doi.org/10.1108/eb026647" TargetMode="External" /><Relationship Type="http://schemas.openxmlformats.org/officeDocument/2006/relationships/hyperlink" Id="rId156" Target="https://doi.org/10.1109/ISIT.2014.6875280" TargetMode="External" /><Relationship Type="http://schemas.openxmlformats.org/officeDocument/2006/relationships/hyperlink" Id="rId256" Target="https://doi.org/10.1145/1571941.1571963" TargetMode="External" /><Relationship Type="http://schemas.openxmlformats.org/officeDocument/2006/relationships/hyperlink" Id="rId165" Target="https://doi.org/10.1145/290941.291025" TargetMode="External" /><Relationship Type="http://schemas.openxmlformats.org/officeDocument/2006/relationships/hyperlink" Id="rId277" Target="https://doi.org/10.1145/3802111" TargetMode="External" /><Relationship Type="http://schemas.openxmlformats.org/officeDocument/2006/relationships/hyperlink" Id="rId222" Target="https://doi.org/10.1214/aoms/1177700372" TargetMode="External" /><Relationship Type="http://schemas.openxmlformats.org/officeDocument/2006/relationships/hyperlink" Id="rId185" Target="https://doi.org/10.1214/aoms/1177728174" TargetMode="External" /><Relationship Type="http://schemas.openxmlformats.org/officeDocument/2006/relationships/hyperlink" Id="rId158" Target="https://doi.org/10.1214/aoms/1177729032" TargetMode="External" /><Relationship Type="http://schemas.openxmlformats.org/officeDocument/2006/relationships/hyperlink" Id="rId151" Target="https://doi.org/10.5281/zenodo.20800031" TargetMode="External" /><Relationship Type="http://schemas.openxmlformats.org/officeDocument/2006/relationships/hyperlink" Id="rId149" Target="https://doi.org/10.5281/zenodo.20800175" TargetMode="External" /><Relationship Type="http://schemas.openxmlformats.org/officeDocument/2006/relationships/hyperlink" Id="rId153" Target="https://doi.org/10.5281/zenodo.20800209" TargetMode="External" /><Relationship Type="http://schemas.openxmlformats.org/officeDocument/2006/relationships/hyperlink" Id="rId71" Target="https://github.com/abilous-ti/blackwell-llm-context" TargetMode="External" /><Relationship Type="http://schemas.openxmlformats.org/officeDocument/2006/relationships/hyperlink" Id="rId208"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1" Target="http://www.vldb.org/pvldb/vol6/p37-dong.pdf" TargetMode="External" /><Relationship Type="http://schemas.openxmlformats.org/officeDocument/2006/relationships/hyperlink" Id="rId204" Target="https://aclanthology.org/2025.fever-1.2/" TargetMode="External" /><Relationship Type="http://schemas.openxmlformats.org/officeDocument/2006/relationships/hyperlink" Id="rId200" Target="https://aclanthology.org/2026.findings-acl.583/" TargetMode="External" /><Relationship Type="http://schemas.openxmlformats.org/officeDocument/2006/relationships/hyperlink" Id="rId244" Target="https://arxiv.org/abs/1402.4884" TargetMode="External" /><Relationship Type="http://schemas.openxmlformats.org/officeDocument/2006/relationships/hyperlink" Id="rId246" Target="https://arxiv.org/abs/2302.00093" TargetMode="External" /><Relationship Type="http://schemas.openxmlformats.org/officeDocument/2006/relationships/hyperlink" Id="rId262" Target="https://arxiv.org/abs/2302.05698" TargetMode="External" /><Relationship Type="http://schemas.openxmlformats.org/officeDocument/2006/relationships/hyperlink" Id="rId206" Target="https://arxiv.org/abs/2304.04576" TargetMode="External" /><Relationship Type="http://schemas.openxmlformats.org/officeDocument/2006/relationships/hyperlink" Id="rId248" Target="https://arxiv.org/abs/2304.09542" TargetMode="External" /><Relationship Type="http://schemas.openxmlformats.org/officeDocument/2006/relationships/hyperlink" Id="rId232" Target="https://arxiv.org/abs/2307.03172" TargetMode="External" /><Relationship Type="http://schemas.openxmlformats.org/officeDocument/2006/relationships/hyperlink" Id="rId177" Target="https://arxiv.org/abs/2401.14887" TargetMode="External" /><Relationship Type="http://schemas.openxmlformats.org/officeDocument/2006/relationships/hyperlink" Id="rId252" Target="https://arxiv.org/abs/2402.11750" TargetMode="External" /><Relationship Type="http://schemas.openxmlformats.org/officeDocument/2006/relationships/hyperlink" Id="rId260" Target="https://arxiv.org/abs/2403.08319" TargetMode="External" /><Relationship Type="http://schemas.openxmlformats.org/officeDocument/2006/relationships/hyperlink" Id="rId275" Target="https://arxiv.org/abs/2405.18253" TargetMode="External" /><Relationship Type="http://schemas.openxmlformats.org/officeDocument/2006/relationships/hyperlink" Id="rId264" Target="https://arxiv.org/abs/2407.02485" TargetMode="External" /><Relationship Type="http://schemas.openxmlformats.org/officeDocument/2006/relationships/hyperlink" Id="rId216" Target="https://arxiv.org/abs/2410.05983" TargetMode="External" /><Relationship Type="http://schemas.openxmlformats.org/officeDocument/2006/relationships/hyperlink" Id="rId258" Target="https://arxiv.org/abs/2410.07523" TargetMode="External" /><Relationship Type="http://schemas.openxmlformats.org/officeDocument/2006/relationships/hyperlink" Id="rId196" Target="https://arxiv.org/abs/2410.20247" TargetMode="External" /><Relationship Type="http://schemas.openxmlformats.org/officeDocument/2006/relationships/hyperlink" Id="rId234" Target="https://arxiv.org/abs/2411.00640" TargetMode="External" /><Relationship Type="http://schemas.openxmlformats.org/officeDocument/2006/relationships/hyperlink" Id="rId163" Target="https://arxiv.org/abs/2411.01533" TargetMode="External" /><Relationship Type="http://schemas.openxmlformats.org/officeDocument/2006/relationships/hyperlink" Id="rId218" Target="https://arxiv.org/abs/2411.06037" TargetMode="External" /><Relationship Type="http://schemas.openxmlformats.org/officeDocument/2006/relationships/hyperlink" Id="rId202" Target="https://arxiv.org/abs/2412.17031" TargetMode="External" /><Relationship Type="http://schemas.openxmlformats.org/officeDocument/2006/relationships/hyperlink" Id="rId179" Target="https://arxiv.org/abs/2503.01478" TargetMode="External" /><Relationship Type="http://schemas.openxmlformats.org/officeDocument/2006/relationships/hyperlink" Id="rId161" Target="https://arxiv.org/abs/2503.01747" TargetMode="External" /><Relationship Type="http://schemas.openxmlformats.org/officeDocument/2006/relationships/hyperlink" Id="rId228" Target="https://arxiv.org/abs/2503.04388" TargetMode="External" /><Relationship Type="http://schemas.openxmlformats.org/officeDocument/2006/relationships/hyperlink" Id="rId190" Target="https://arxiv.org/abs/2503.05491" TargetMode="External" /><Relationship Type="http://schemas.openxmlformats.org/officeDocument/2006/relationships/hyperlink" Id="rId226" Target="https://arxiv.org/abs/2504.07104" TargetMode="External" /><Relationship Type="http://schemas.openxmlformats.org/officeDocument/2006/relationships/hyperlink" Id="rId266" Target="https://arxiv.org/abs/2504.15630" TargetMode="External" /><Relationship Type="http://schemas.openxmlformats.org/officeDocument/2006/relationships/hyperlink" Id="rId169" Target="https://arxiv.org/abs/2507.03279" TargetMode="External" /><Relationship Type="http://schemas.openxmlformats.org/officeDocument/2006/relationships/hyperlink" Id="rId173" Target="https://arxiv.org/abs/2508.21184" TargetMode="External" /><Relationship Type="http://schemas.openxmlformats.org/officeDocument/2006/relationships/hyperlink" Id="rId210" Target="https://arxiv.org/abs/2510.00079" TargetMode="External" /><Relationship Type="http://schemas.openxmlformats.org/officeDocument/2006/relationships/hyperlink" Id="rId183" Target="https://arxiv.org/abs/2510.05381" TargetMode="External" /><Relationship Type="http://schemas.openxmlformats.org/officeDocument/2006/relationships/hyperlink" Id="rId268" Target="https://arxiv.org/abs/2510.11358" TargetMode="External" /><Relationship Type="http://schemas.openxmlformats.org/officeDocument/2006/relationships/hyperlink" Id="rId167" Target="https://arxiv.org/abs/2511.17908" TargetMode="External" /><Relationship Type="http://schemas.openxmlformats.org/officeDocument/2006/relationships/hyperlink" Id="rId212" Target="https://arxiv.org/abs/2512.06464" TargetMode="External" /><Relationship Type="http://schemas.openxmlformats.org/officeDocument/2006/relationships/hyperlink" Id="rId147" Target="https://arxiv.org/abs/2512.23617" TargetMode="External" /><Relationship Type="http://schemas.openxmlformats.org/officeDocument/2006/relationships/hyperlink" Id="rId214" Target="https://arxiv.org/abs/2601.05027" TargetMode="External" /><Relationship Type="http://schemas.openxmlformats.org/officeDocument/2006/relationships/hyperlink" Id="rId188" Target="https://arxiv.org/abs/2601.11273" TargetMode="External" /><Relationship Type="http://schemas.openxmlformats.org/officeDocument/2006/relationships/hyperlink" Id="rId171" Target="https://arxiv.org/abs/2601.16478" TargetMode="External" /><Relationship Type="http://schemas.openxmlformats.org/officeDocument/2006/relationships/hyperlink" Id="rId254" Target="https://arxiv.org/abs/2602.08294" TargetMode="External" /><Relationship Type="http://schemas.openxmlformats.org/officeDocument/2006/relationships/hyperlink" Id="rId238" Target="https://arxiv.org/abs/2604.06621" TargetMode="External" /><Relationship Type="http://schemas.openxmlformats.org/officeDocument/2006/relationships/hyperlink" Id="rId270" Target="https://arxiv.org/abs/2604.08920" TargetMode="External" /><Relationship Type="http://schemas.openxmlformats.org/officeDocument/2006/relationships/hyperlink" Id="rId240" Target="https://arxiv.org/abs/2605.03534" TargetMode="External" /><Relationship Type="http://schemas.openxmlformats.org/officeDocument/2006/relationships/hyperlink" Id="rId230" Target="https://arxiv.org/abs/2605.05716" TargetMode="External" /><Relationship Type="http://schemas.openxmlformats.org/officeDocument/2006/relationships/hyperlink" Id="rId272" Target="https://arxiv.org/abs/2605.06028" TargetMode="External" /><Relationship Type="http://schemas.openxmlformats.org/officeDocument/2006/relationships/hyperlink" Id="rId198" Target="https://arxiv.org/abs/2606.20047" TargetMode="External" /><Relationship Type="http://schemas.openxmlformats.org/officeDocument/2006/relationships/hyperlink" Id="rId192" Target="https://arxiv.org/abs/2608.26762" TargetMode="External" /><Relationship Type="http://schemas.openxmlformats.org/officeDocument/2006/relationships/hyperlink" Id="rId224" Target="https://doi.org/10.1007/978-1-4612-4946-7" TargetMode="External" /><Relationship Type="http://schemas.openxmlformats.org/officeDocument/2006/relationships/hyperlink" Id="rId236" Target="https://doi.org/10.1007/978-3-032-19099-4_23" TargetMode="External" /><Relationship Type="http://schemas.openxmlformats.org/officeDocument/2006/relationships/hyperlink" Id="rId279" Target="https://doi.org/10.1007/978-3-642-12275-0_32" TargetMode="External" /><Relationship Type="http://schemas.openxmlformats.org/officeDocument/2006/relationships/hyperlink" Id="rId194" Target="https://doi.org/10.1007/s10791-008-9045-0" TargetMode="External" /><Relationship Type="http://schemas.openxmlformats.org/officeDocument/2006/relationships/hyperlink" Id="rId220" Target="https://doi.org/10.1016/j.econlet.2024.112146" TargetMode="External" /><Relationship Type="http://schemas.openxmlformats.org/officeDocument/2006/relationships/hyperlink" Id="rId250" Target="https://doi.org/10.1017/CBO9780511666353" TargetMode="External" /><Relationship Type="http://schemas.openxmlformats.org/officeDocument/2006/relationships/hyperlink" Id="rId175" Target="https://doi.org/10.1093/biomet/26.4.404" TargetMode="External" /><Relationship Type="http://schemas.openxmlformats.org/officeDocument/2006/relationships/hyperlink" Id="rId242" Target="https://doi.org/10.1108/eb026647" TargetMode="External" /><Relationship Type="http://schemas.openxmlformats.org/officeDocument/2006/relationships/hyperlink" Id="rId156" Target="https://doi.org/10.1109/ISIT.2014.6875280" TargetMode="External" /><Relationship Type="http://schemas.openxmlformats.org/officeDocument/2006/relationships/hyperlink" Id="rId256" Target="https://doi.org/10.1145/1571941.1571963" TargetMode="External" /><Relationship Type="http://schemas.openxmlformats.org/officeDocument/2006/relationships/hyperlink" Id="rId165" Target="https://doi.org/10.1145/290941.291025" TargetMode="External" /><Relationship Type="http://schemas.openxmlformats.org/officeDocument/2006/relationships/hyperlink" Id="rId277" Target="https://doi.org/10.1145/3802111" TargetMode="External" /><Relationship Type="http://schemas.openxmlformats.org/officeDocument/2006/relationships/hyperlink" Id="rId222" Target="https://doi.org/10.1214/aoms/1177700372" TargetMode="External" /><Relationship Type="http://schemas.openxmlformats.org/officeDocument/2006/relationships/hyperlink" Id="rId185" Target="https://doi.org/10.1214/aoms/1177728174" TargetMode="External" /><Relationship Type="http://schemas.openxmlformats.org/officeDocument/2006/relationships/hyperlink" Id="rId158" Target="https://doi.org/10.1214/aoms/1177729032" TargetMode="External" /><Relationship Type="http://schemas.openxmlformats.org/officeDocument/2006/relationships/hyperlink" Id="rId151" Target="https://doi.org/10.5281/zenodo.20800031" TargetMode="External" /><Relationship Type="http://schemas.openxmlformats.org/officeDocument/2006/relationships/hyperlink" Id="rId149" Target="https://doi.org/10.5281/zenodo.20800175" TargetMode="External" /><Relationship Type="http://schemas.openxmlformats.org/officeDocument/2006/relationships/hyperlink" Id="rId153" Target="https://doi.org/10.5281/zenodo.20800209" TargetMode="External" /><Relationship Type="http://schemas.openxmlformats.org/officeDocument/2006/relationships/hyperlink" Id="rId71" Target="https://github.com/abilous-ti/blackwell-llm-context" TargetMode="External" /><Relationship Type="http://schemas.openxmlformats.org/officeDocument/2006/relationships/hyperlink" Id="rId208"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 Vasyl Lytvyn ^{1}, Petro Pukach ^{2,\ast}, Zoriana Rybchak ^{1} ^{1} Department of Information Systems and Networks, Institute of Computer Science and Information Technologies, Lviv Polytechnic National University, S. Bandery St. 12, 79013 Lviv, Ukraine; andriy.bilous@uitware.com (A.B.); vasyl.v.lytvyn@lpnu.ua (V.L.); zoriana.l.rybchak@lpnu.ua (Z.R.) ^{2} Institute of Applied Mathematics and Fundamental Sciences, Lviv Polytechnic National University, S. Bandery St. 12, 79013 Lviv, Ukraine ^{\ast} Correspondence: petro.y.pukach@lpnu.ua</dc:creator>
  <cp:keywords/>
  <dcterms:created xsi:type="dcterms:W3CDTF">2026-09-09T09:29:48Z</dcterms:created>
  <dcterms:modified xsi:type="dcterms:W3CDTF">2026-09-09T09:29:48Z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goes into a language model’s prompt is usually chosen by scoring each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On six models from four vendors we verify (\geq 90\% confidence, both directions) that two hand-built sources are incomparable. On a designed trap, a lexical score, two dense retrievers and a cross-encoder prefer the wrong source, while a listwise LLM reranker that reads the deciding detail gets it right. Adding a larger source can also hurt: a strict superset verifiably lowers pass rates on eleven of twelve cells, falling as far as 100\% to 0\%; on one model, a length-matched padding control and a reversed-order control leave the collapse unexplained by either. Treat context selection as a partial order and compare sources by a verified pass-rate test, not a relevance number. Scaling the implied rule to large corpora is the main open problem.</vt:lpwstr>
  </property>
  <property fmtid="{D5CDD505-2E9C-101B-9397-08002B2CF9AE}" pid="3" name="bibliography">
    <vt:lpwstr>blackwell-paper.bib</vt:lpwstr>
  </property>
  <property fmtid="{D5CDD505-2E9C-101B-9397-08002B2CF9AE}" pid="4" name="date">
    <vt:lpwstr/>
  </property>
</Properties>
</file>