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w:t>
      </w:r>
      <w:r>
        <w:br/>
      </w:r>
      <w:r>
        <w:t xml:space="preserve">Department of Information Systems and Networks</w:t>
      </w:r>
      <w:r>
        <w:br/>
      </w:r>
      <w:r>
        <w:t xml:space="preserve">Lviv Polytechnic National University, Lviv, Ukraine</w:t>
      </w:r>
      <w:r>
        <w:br/>
      </w:r>
      <w:r>
        <w:t xml:space="preserve">ORCID: 0009-0006-5467-7932</w:t>
      </w:r>
      <w:r>
        <w:br/>
      </w:r>
      <w:r>
        <w:rPr>
          <w:rStyle w:val="VerbatimChar"/>
        </w:rPr>
        <w:t xml:space="preserve">andriy.bilous@uitware.com</w:t>
      </w:r>
    </w:p>
    <w:p>
      <w:pPr>
        <w:pStyle w:val="AbstractTitle"/>
      </w:pPr>
      <w:r>
        <w:t xml:space="preserve">Abstract</w:t>
      </w:r>
    </w:p>
    <w:p>
      <w:pPr>
        <w:pStyle w:val="Abstract"/>
      </w:pPr>
      <w:r>
        <w:t xml:space="preserve">Choosing what to put in a language model’s prompt is almost always done by</w:t>
      </w:r>
      <w:r>
        <w:t xml:space="preserve"> </w:t>
      </w:r>
      <w:r>
        <w:t xml:space="preserve">scoring each candidate source with a single number and keeping the top few. We</w:t>
      </w:r>
      <w:r>
        <w:t xml:space="preserve"> </w:t>
      </w:r>
      <w:r>
        <w:t xml:space="preserve">argue this is the wrong approach. The best context for one task is often useless</w:t>
      </w:r>
      <w:r>
        <w:t xml:space="preserve"> </w:t>
      </w:r>
      <w:r>
        <w:t xml:space="preserve">for another. Two sources can be</w:t>
      </w:r>
      <w:r>
        <w:t xml:space="preserve"> </w:t>
      </w:r>
      <w:r>
        <w:rPr>
          <w:i/>
          <w:iCs/>
        </w:rPr>
        <w:t xml:space="preserve">incomparable</w:t>
      </w:r>
      <w:r>
        <w:t xml:space="preserve">, in the exact sense of</w:t>
      </w:r>
      <w:r>
        <w:t xml:space="preserve"> </w:t>
      </w:r>
      <w:r>
        <w:t xml:space="preserve">Blackwell’s 1953 comparison of experiments </w:t>
      </w:r>
      <w:r>
        <w:t xml:space="preserve">(</w:t>
      </w:r>
      <w:hyperlink w:anchor="ref-blackwell1953">
        <w:r>
          <w:rPr>
            <w:rStyle w:val="Hyperlink"/>
          </w:rPr>
          <w:t xml:space="preserve">Blackwell 1953</w:t>
        </w:r>
      </w:hyperlink>
      <w:r>
        <w:t xml:space="preserve">)</w:t>
      </w:r>
      <w:r>
        <w:t xml:space="preserve">, and when they</w:t>
      </w:r>
      <w:r>
        <w:t xml:space="preserve"> </w:t>
      </w:r>
      <w:r>
        <w:t xml:space="preserve">are, no single relevance score can rank them correctly for every task. To test</w:t>
      </w:r>
      <w:r>
        <w:t xml:space="preserve"> </w:t>
      </w:r>
      <w:r>
        <w:t xml:space="preserve">this on real systems we use a simple check: run each source through a battery of</w:t>
      </w:r>
      <w:r>
        <w:t xml:space="preserve"> </w:t>
      </w:r>
      <w:r>
        <w:t xml:space="preserve">pass/fail tasks, compare the pass rates, and attach confidence intervals so the</w:t>
      </w:r>
      <w:r>
        <w:t xml:space="preserve"> </w:t>
      </w:r>
      <w:r>
        <w:t xml:space="preserve">comparison is auditable (a distribution-free</w:t>
      </w:r>
      <w:r>
        <w:t xml:space="preserve"> </w:t>
      </w:r>
      <w:r>
        <w:rPr>
          <w:i/>
          <w:iCs/>
        </w:rPr>
        <w:t xml:space="preserve">verification</w:t>
      </w:r>
      <w:r>
        <w:t xml:space="preserve">). On six</w:t>
      </w:r>
      <w:r>
        <w:t xml:space="preserve"> </w:t>
      </w:r>
      <w:r>
        <w:t xml:space="preserve">language models from four vendors we confirm (</w:t>
      </w:r>
      <m:oMath>
        <m:r>
          <m:rPr>
            <m:sty m:val="p"/>
          </m:rPr>
          <m:t>≥</m:t>
        </m:r>
        <m:r>
          <m:t>90</m:t>
        </m:r>
        <m:r>
          <m:rPr>
            <m:sty m:val="p"/>
          </m:rPr>
          <m:t>%</m:t>
        </m:r>
      </m:oMath>
      <w:r>
        <w:t xml:space="preserve"> </w:t>
      </w:r>
      <w:r>
        <w:t xml:space="preserve">confidence, both</w:t>
      </w:r>
      <w:r>
        <w:t xml:space="preserve"> </w:t>
      </w:r>
      <w:r>
        <w:t xml:space="preserve">directions) that two hand-built sources are incomparable. On a designed trap</w:t>
      </w:r>
      <w:r>
        <w:t xml:space="preserve"> </w:t>
      </w:r>
      <w:r>
        <w:t xml:space="preserve">task a lexical score, two dense</w:t>
      </w:r>
      <w:r>
        <w:t xml:space="preserve"> </w:t>
      </w:r>
      <w:r>
        <w:t xml:space="preserve">retrievers, and a cross-encoder reranker all prefer the wrong source; only a</w:t>
      </w:r>
      <w:r>
        <w:t xml:space="preserve"> </w:t>
      </w:r>
      <w:r>
        <w:t xml:space="preserve">listwise LLM reranker, which reads the deciding detail, gets it right, exactly</w:t>
      </w:r>
      <w:r>
        <w:t xml:space="preserve"> </w:t>
      </w:r>
      <w:r>
        <w:t xml:space="preserve">the boundary the theory predicts. We also find that adding a strictly larger</w:t>
      </w:r>
      <w:r>
        <w:t xml:space="preserve"> </w:t>
      </w:r>
      <w:r>
        <w:t xml:space="preserve">source can</w:t>
      </w:r>
      <w:r>
        <w:t xml:space="preserve"> </w:t>
      </w:r>
      <w:r>
        <w:rPr>
          <w:i/>
          <w:iCs/>
        </w:rPr>
        <w:t xml:space="preserve">hurt</w:t>
      </w:r>
      <w:r>
        <w:t xml:space="preserve">: pass rates fall from</w:t>
      </w:r>
      <w:r>
        <w:t xml:space="preserve"> </w:t>
      </w:r>
      <m:oMath>
        <m:r>
          <m:t>100</m:t>
        </m:r>
        <m:r>
          <m:rPr>
            <m:sty m:val="p"/>
          </m:rPr>
          <m:t>%</m:t>
        </m:r>
      </m:oMath>
      <w:r>
        <w:t xml:space="preserve"> </w:t>
      </w:r>
      <w:r>
        <w:t xml:space="preserve">to as low as</w:t>
      </w:r>
      <w:r>
        <w:t xml:space="preserve"> </w:t>
      </w:r>
      <m:oMath>
        <m:r>
          <m:t>0</m:t>
        </m:r>
        <m:r>
          <m:rPr>
            <m:sty m:val="p"/>
          </m:rPr>
          <m:t>%</m:t>
        </m:r>
      </m:oMath>
      <w:r>
        <w:t xml:space="preserve">, and</w:t>
      </w:r>
      <w:r>
        <w:t xml:space="preserve"> </w:t>
      </w:r>
      <w:r>
        <w:t xml:space="preserve">controls rule out word order and length as the cause. The lesson is practical:</w:t>
      </w:r>
      <w:r>
        <w:t xml:space="preserve"> </w:t>
      </w:r>
      <w:r>
        <w:t xml:space="preserve">treat context selection as a partial-order problem, not a scalar ranking, and</w:t>
      </w:r>
      <w:r>
        <w:t xml:space="preserve"> </w:t>
      </w:r>
      <w:r>
        <w:t xml:space="preserve">compare sources by a verified pass-rate test rather than a relevance number. A</w:t>
      </w:r>
      <w:r>
        <w:t xml:space="preserve"> </w:t>
      </w:r>
      <w:r>
        <w:t xml:space="preserve">companion paper gives the selection rule this implies; scaling it to large</w:t>
      </w:r>
      <w:r>
        <w:t xml:space="preserve"> </w:t>
      </w:r>
      <w:r>
        <w:t xml:space="preserve">corpora is the main open problem.</w:t>
      </w:r>
    </w:p>
    <w:bookmarkStart w:id="18"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w:t>
      </w:r>
      <w:hyperlink w:anchor="ref-blackwell1953">
        <w:r>
          <w:rPr>
            <w:rStyle w:val="Hyperlink"/>
          </w:rPr>
          <w:t xml:space="preserve">Blackwell 1953</w:t>
        </w:r>
      </w:hyperlink>
      <w:r>
        <w:t xml:space="preserve">)</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X2abf0849039852c2efd6e0deadbd09e41a7187f"/>
    <w:p>
      <w:pPr>
        <w:pStyle w:val="Heading4"/>
      </w:pPr>
      <w:r>
        <w:t xml:space="preserve">A folklore observation, restated as structure.</w:t>
      </w:r>
    </w:p>
    <w:p>
      <w:pPr>
        <w:pStyle w:val="FirstParagraph"/>
      </w:pPr>
      <w:r>
        <w:t xml:space="preserve">Practitioners already know the phenomenon:</w:t>
      </w:r>
      <w:r>
        <w:t xml:space="preserve"> </w:t>
      </w:r>
      <w:r>
        <w:rPr>
          <w:i/>
          <w:iCs/>
        </w:rPr>
        <w:t xml:space="preserve">relevance does not transfer across tasks</w:t>
      </w:r>
      <w:r>
        <w:t xml:space="preserve">. A</w:t>
      </w:r>
      <w:r>
        <w:t xml:space="preserve"> </w:t>
      </w:r>
      <w:r>
        <w:t xml:space="preserve">source that helps one task hurts another, so</w:t>
      </w:r>
      <w:r>
        <w:t xml:space="preserve"> </w:t>
      </w:r>
      <w:r>
        <w:t xml:space="preserve">“the best context”</w:t>
      </w:r>
      <w:r>
        <w:t xml:space="preserve"> </w:t>
      </w:r>
      <w:r>
        <w:t xml:space="preserve">depends on the task, and this is</w:t>
      </w:r>
      <w:r>
        <w:t xml:space="preserve"> </w:t>
      </w:r>
      <w:r>
        <w:t xml:space="preserve">usually treated as a nuisance to engineer away with better rankers. We show it is instead the</w:t>
      </w:r>
      <w:r>
        <w:t xml:space="preserve"> </w:t>
      </w:r>
      <w:r>
        <w:t xml:space="preserve">signature of a</w:t>
      </w:r>
      <w:r>
        <w:t xml:space="preserve"> </w:t>
      </w:r>
      <w:r>
        <w:rPr>
          <w:i/>
          <w:iCs/>
        </w:rPr>
        <w:t xml:space="preserve">partial order</w:t>
      </w:r>
      <w:r>
        <w:t xml:space="preserve">. Model a context source</w:t>
      </w:r>
      <w:r>
        <w:t xml:space="preserve"> </w:t>
      </w:r>
      <m:oMath>
        <m:r>
          <m:t>W</m:t>
        </m:r>
      </m:oMath>
      <w:r>
        <w:t xml:space="preserve"> </w:t>
      </w:r>
      <w:r>
        <w:t xml:space="preserve">as a statistical experiment on what</w:t>
      </w:r>
      <w:r>
        <w:t xml:space="preserve"> </w:t>
      </w:r>
      <w:r>
        <w:t xml:space="preserve">the task actually needs,</w:t>
      </w:r>
      <w:r>
        <w:t xml:space="preserve"> </w:t>
      </w:r>
      <m:oMath>
        <m:r>
          <m:t>S</m:t>
        </m:r>
      </m:oMath>
      <w:r>
        <w:t xml:space="preserve"> </w:t>
      </w:r>
      <w:r>
        <w:t xml:space="preserve">(the thing a verifier checks; §3). Blackwell</w:t>
      </w:r>
      <w:r>
        <w:t xml:space="preserve"> </w:t>
      </w:r>
      <w:r>
        <w:t xml:space="preserve">compares two experiments by asking whether one is a blurred copy of the other: we write</w:t>
      </w:r>
      <w:r>
        <w:t xml:space="preserve"> </w:t>
      </w:r>
      <m:oMath>
        <m:sSub>
          <m:e>
            <m:r>
              <m:t>W</m:t>
            </m:r>
          </m:e>
          <m:sub>
            <m:r>
              <m:t>1</m:t>
            </m:r>
          </m:sub>
        </m:sSub>
        <m:sSub>
          <m:e>
            <m:r>
              <m:rPr>
                <m:sty m:val="p"/>
              </m:rPr>
              <m:t>≽</m:t>
            </m:r>
          </m:e>
          <m:sub>
            <m:r>
              <m:t>B</m:t>
            </m:r>
          </m:sub>
        </m:sSub>
        <m:sSub>
          <m:e>
            <m:r>
              <m:t>W</m:t>
            </m:r>
          </m:e>
          <m:sub>
            <m:r>
              <m:t>2</m:t>
            </m:r>
          </m:sub>
        </m:sSub>
      </m:oMath>
      <w:r>
        <w:t xml:space="preserve"> </w:t>
      </w:r>
      <w:r>
        <w:t xml:space="preserve">when</w:t>
      </w:r>
      <w:r>
        <w:t xml:space="preserve"> </w:t>
      </w:r>
      <m:oMath>
        <m:sSub>
          <m:e>
            <m:r>
              <m:t>W</m:t>
            </m:r>
          </m:e>
          <m:sub>
            <m:r>
              <m:t>2</m:t>
            </m:r>
          </m:sub>
        </m:sSub>
      </m:oMath>
      <w:r>
        <w:t xml:space="preserve">’s signal is a noised version of</w:t>
      </w:r>
      <w:r>
        <w:t xml:space="preserve"> </w:t>
      </w:r>
      <m:oMath>
        <m:sSub>
          <m:e>
            <m:r>
              <m:t>W</m:t>
            </m:r>
          </m:e>
          <m:sub>
            <m:r>
              <m:t>1</m:t>
            </m:r>
          </m:sub>
        </m:sSub>
      </m:oMath>
      <w:r>
        <w:t xml:space="preserve">’s, and by the</w:t>
      </w:r>
      <w:r>
        <w:t xml:space="preserve"> </w:t>
      </w:r>
      <w:r>
        <w:t xml:space="preserve">Blackwell–Sherman–Stein theorem this holds exactly when an ideal decision-maker does at least as</w:t>
      </w:r>
      <w:r>
        <w:t xml:space="preserve"> </w:t>
      </w:r>
      <w:r>
        <w:t xml:space="preserve">well with</w:t>
      </w:r>
      <w:r>
        <w:t xml:space="preserve"> </w:t>
      </w:r>
      <m:oMath>
        <m:sSub>
          <m:e>
            <m:r>
              <m:t>W</m:t>
            </m:r>
          </m:e>
          <m:sub>
            <m:r>
              <m:t>1</m:t>
            </m:r>
          </m:sub>
        </m:sSub>
      </m:oMath>
      <w:r>
        <w:t xml:space="preserve"> </w:t>
      </w:r>
      <w:r>
        <w:t xml:space="preserve">as with</w:t>
      </w:r>
      <w:r>
        <w:t xml:space="preserve"> </w:t>
      </w:r>
      <m:oMath>
        <m:sSub>
          <m:e>
            <m:r>
              <m:t>W</m:t>
            </m:r>
          </m:e>
          <m:sub>
            <m:r>
              <m:t>2</m:t>
            </m:r>
          </m:sub>
        </m:sSub>
      </m:oMath>
      <w:r>
        <w:t xml:space="preserve"> </w:t>
      </w:r>
      <w:r>
        <w:t xml:space="preserve">on</w:t>
      </w:r>
      <w:r>
        <w:t xml:space="preserve"> </w:t>
      </w:r>
      <w:r>
        <w:rPr>
          <w:i/>
          <w:iCs/>
        </w:rPr>
        <w:t xml:space="preserve">every</w:t>
      </w:r>
      <w:r>
        <w:t xml:space="preserve"> </w:t>
      </w:r>
      <w:r>
        <w:t xml:space="preserve">task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 The catch</w:t>
      </w:r>
      <w:r>
        <w:t xml:space="preserve"> </w:t>
      </w:r>
      <w:r>
        <w:t xml:space="preserve">is that the order is only</w:t>
      </w:r>
      <w:r>
        <w:t xml:space="preserve"> </w:t>
      </w:r>
      <w:r>
        <w:rPr>
          <w:i/>
          <w:iCs/>
        </w:rPr>
        <w:t xml:space="preserve">partial</w:t>
      </w:r>
      <w:r>
        <w:t xml:space="preserve">: often neither source is a blurred copy of the other, so</w:t>
      </w:r>
      <w:r>
        <w:t xml:space="preserve"> </w:t>
      </w:r>
      <w:r>
        <w:t xml:space="preserve">the two are</w:t>
      </w:r>
      <w:r>
        <w:t xml:space="preserve"> </w:t>
      </w:r>
      <w:r>
        <w:rPr>
          <w:i/>
          <w:iCs/>
        </w:rPr>
        <w:t xml:space="preserve">incomparable</w:t>
      </w:r>
      <w:r>
        <w:t xml:space="preserve">. A single score cannot capture a partial order. A score forces</w:t>
      </w:r>
      <w:r>
        <w:t xml:space="preserve"> </w:t>
      </w:r>
      <w:r>
        <w:t xml:space="preserve">every source into one line, but two incomparable sources each win on some task, so whichever way</w:t>
      </w:r>
      <w:r>
        <w:t xml:space="preserve"> </w:t>
      </w:r>
      <w:r>
        <w:t xml:space="preserve">the score orders them, it is wrong on one.</w:t>
      </w:r>
    </w:p>
    <w:p>
      <w:pPr>
        <w:pStyle w:val="BodyText"/>
      </w:pPr>
      <w:r>
        <w:t xml:space="preserve">A note on the scope of the title. A total order is refuted by a single incomparable pair, so the</w:t>
      </w:r>
      <w:r>
        <w:t xml:space="preserve"> </w:t>
      </w:r>
      <w:r>
        <w:t xml:space="preserve">claim in the title is licensed by exhibiting verified incomparable pairs, which we do on six</w:t>
      </w:r>
      <w:r>
        <w:t xml:space="preserve"> </w:t>
      </w:r>
      <w:r>
        <w:t xml:space="preserve">production models across two source domains (§7). Beyond that existential</w:t>
      </w:r>
      <w:r>
        <w:t xml:space="preserve"> </w:t>
      </w:r>
      <w:r>
        <w:t xml:space="preserve">core, the partial order is offered as a</w:t>
      </w:r>
      <w:r>
        <w:t xml:space="preserve"> </w:t>
      </w:r>
      <w:r>
        <w:rPr>
          <w:i/>
          <w:iCs/>
        </w:rPr>
        <w:t xml:space="preserve">framework</w:t>
      </w:r>
      <w:r>
        <w:t xml:space="preserve"> </w:t>
      </w:r>
      <w:r>
        <w:t xml:space="preserve">for the general phenomenon, and every</w:t>
      </w:r>
      <w:r>
        <w:t xml:space="preserve"> </w:t>
      </w:r>
      <w:r>
        <w:t xml:space="preserve">empirical claim in the paper is stated model-relative, not as a law over all context selection.</w:t>
      </w:r>
    </w:p>
    <w:bookmarkEnd w:id="9"/>
    <w:bookmarkStart w:id="10"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what is new is applying it to context selection, reading cross-task</w:t>
      </w:r>
      <w:r>
        <w:t xml:space="preserve"> </w:t>
      </w:r>
      <w:r>
        <w:t xml:space="preserve">non-transfer as a partial order, and giving a test that checks it on a real model</w:t>
      </w:r>
      <w:r>
        <w:t xml:space="preserve"> </w:t>
      </w:r>
      <w:r>
        <w:t xml:space="preserve">(§2). 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(§4); and we call our</w:t>
      </w:r>
      <w:r>
        <w:t xml:space="preserve"> </w:t>
      </w:r>
      <w:r>
        <w:t xml:space="preserve">estimator a</w:t>
      </w:r>
      <w:r>
        <w:t xml:space="preserve"> </w:t>
      </w:r>
      <w:r>
        <w:rPr>
          <w:i/>
          <w:iCs/>
        </w:rPr>
        <w:t xml:space="preserve">value-deficiency surrogate</w:t>
      </w:r>
      <w:r>
        <w:t xml:space="preserve">, not a Le Cam deficiency (§6).</w:t>
      </w:r>
    </w:p>
    <w:bookmarkEnd w:id="10"/>
    <w:bookmarkStart w:id="11" w:name="X9dd93aab3e7d4daf67ece92ba62beeb03b6ebb5"/>
    <w:p>
      <w:pPr>
        <w:pStyle w:val="Heading4"/>
      </w:pPr>
      <w:r>
        <w:t xml:space="preserve">A latent-coordinate model that makes the order non-vacuous.</w:t>
      </w:r>
    </w:p>
    <w:p>
      <w:pPr>
        <w:pStyle w:val="FirstParagraph"/>
      </w:pPr>
      <w:r>
        <w:t xml:space="preserve">One technical point keeps the framing from being empty. A fixed string of text looks like a</w:t>
      </w:r>
      <w:r>
        <w:t xml:space="preserve"> </w:t>
      </w:r>
      <w:r>
        <w:t xml:space="preserve">constant, and a constant carries no information in Blackwell’s sense. We avoid this by treating the</w:t>
      </w:r>
      <w:r>
        <w:t xml:space="preserve"> </w:t>
      </w:r>
      <w:r>
        <w:t xml:space="preserve">hidden requirement as a list of separate facts and each source as revealing some of them; two</w:t>
      </w:r>
      <w:r>
        <w:t xml:space="preserve"> </w:t>
      </w:r>
      <w:r>
        <w:t xml:space="preserve">sources are then incomparable exactly when each reveals a fact the other hides, which is easy to</w:t>
      </w:r>
      <w:r>
        <w:t xml:space="preserve"> </w:t>
      </w:r>
      <w:r>
        <w:t xml:space="preserve">check and holds for our pair (Lemma 1).</w:t>
      </w:r>
    </w:p>
    <w:bookmarkEnd w:id="11"/>
    <w:bookmarkStart w:id="12" w:name="empirical-findings."/>
    <w:p>
      <w:pPr>
        <w:pStyle w:val="Heading4"/>
      </w:pPr>
      <w:r>
        <w:t xml:space="preserve">Empirical findings.</w:t>
      </w:r>
    </w:p>
    <w:p>
      <w:pPr>
        <w:pStyle w:val="FirstParagraph"/>
      </w:pPr>
      <w:r>
        <w:t xml:space="preserve">We test the theory on the two notes from the opening example: an API call contract</w:t>
      </w:r>
      <w:r>
        <w:t xml:space="preserve"> </w:t>
      </w:r>
      <m:oMath>
        <m:sSub>
          <m:e>
            <m:r>
              <m:t>W</m:t>
            </m:r>
          </m:e>
          <m:sub>
            <m:r>
              <m:t>1</m:t>
            </m:r>
          </m:sub>
        </m:sSub>
      </m:oMath>
      <w:r>
        <w:t xml:space="preserve"> </w:t>
      </w:r>
      <w:r>
        <w:t xml:space="preserve">and a</w:t>
      </w:r>
      <w:r>
        <w:t xml:space="preserve"> </w:t>
      </w:r>
      <w:r>
        <w:t xml:space="preserve">wire-encoding rule</w:t>
      </w:r>
      <w:r>
        <w:t xml:space="preserve"> </w:t>
      </w:r>
      <m:oMath>
        <m:sSub>
          <m:e>
            <m:r>
              <m:t>W</m:t>
            </m:r>
          </m:e>
          <m:sub>
            <m:r>
              <m:t>2</m:t>
            </m:r>
          </m:sub>
        </m:sSub>
      </m:oMath>
      <w:r>
        <w:t xml:space="preserve"> </w:t>
      </w:r>
      <w:r>
        <w:t xml:space="preserve">for the same module (§7), graded by a small battery</w:t>
      </w:r>
      <w:r>
        <w:t xml:space="preserve"> </w:t>
      </w:r>
      <w:r>
        <w:t xml:space="preserve">of tasks whose verifier returns pass or fail (exit code</w:t>
      </w:r>
      <w:r>
        <w:t xml:space="preserve"> </w:t>
      </w:r>
      <m:oMath>
        <m:r>
          <m:t>0</m:t>
        </m:r>
      </m:oMath>
      <w:r>
        <w:t xml:space="preserve"> </w:t>
      </w:r>
      <w:r>
        <w:t xml:space="preserve">is pass). The battery is a fixed,</w:t>
      </w:r>
      <w:r>
        <w:t xml:space="preserve"> </w:t>
      </w:r>
      <w:r>
        <w:t xml:space="preserve">hand-built opposition, not a random sample of tasks, and the verified result rests on one API task</w:t>
      </w:r>
      <w:r>
        <w:t xml:space="preserve"> </w:t>
      </w:r>
      <w:r>
        <w:t xml:space="preserve">and one encoding task; we say so plainly and do not call it a</w:t>
      </w:r>
      <w:r>
        <w:t xml:space="preserve"> </w:t>
      </w:r>
      <w:r>
        <w:t xml:space="preserve">“distribution.”</w:t>
      </w:r>
      <w:r>
        <w:t xml:space="preserve"> </w:t>
      </w:r>
      <w:r>
        <w:t xml:space="preserve">On this setup, from</w:t>
      </w:r>
      <w:r>
        <w:t xml:space="preserve"> </w:t>
      </w:r>
      <w:r>
        <w:rPr>
          <w:i/>
          <w:iCs/>
        </w:rPr>
        <w:t xml:space="preserve">real</w:t>
      </w:r>
      <w:r>
        <w:t xml:space="preserve"> </w:t>
      </w:r>
      <w:r>
        <w:t xml:space="preserve">model calls with no invented numbers, we find:</w:t>
      </w:r>
    </w:p>
    <w:p>
      <w:pPr>
        <w:numPr>
          <w:ilvl w:val="0"/>
          <w:numId w:val="1001"/>
        </w:numPr>
      </w:pPr>
      <w:r>
        <w:rPr>
          <w:b/>
          <w:bCs/>
        </w:rPr>
        <w:t xml:space="preserve">Verified empirical incomparability on all six models.</w:t>
      </w:r>
      <w:r>
        <w:t xml:space="preserve"> </w:t>
      </w:r>
      <w:r>
        <w:t xml:space="preserve">The</w:t>
      </w:r>
      <w:r>
        <w:t xml:space="preserve"> </w:t>
      </w:r>
      <w:r>
        <w:t xml:space="preserve">uniform verification clears</w:t>
      </w:r>
      <w:r>
        <w:t xml:space="preserve"> </w:t>
      </w:r>
      <m:oMath>
        <m:r>
          <m:rPr>
            <m:sty m:val="p"/>
          </m:rPr>
          <m:t>≥</m:t>
        </m:r>
        <m:r>
          <m:t>90</m:t>
        </m:r>
        <m:r>
          <m:rPr>
            <m:sty m:val="p"/>
          </m:rPr>
          <m:t>%</m:t>
        </m:r>
      </m:oMath>
      <w:r>
        <w:t xml:space="preserve"> </w:t>
      </w:r>
      <w:r>
        <w:t xml:space="preserve">confidence in</w:t>
      </w:r>
      <w:r>
        <w:t xml:space="preserve"> </w:t>
      </w:r>
      <w:r>
        <w:rPr>
          <w:i/>
          <w:iCs/>
        </w:rPr>
        <w:t xml:space="preserve">both</w:t>
      </w:r>
      <w:r>
        <w:t xml:space="preserve"> </w:t>
      </w:r>
      <w:r>
        <w:t xml:space="preserve">directions:</w:t>
      </w:r>
      <w:r>
        <w:t xml:space="preserve"> </w:t>
      </w:r>
      <w:r>
        <w:t xml:space="preserve">the two-sided lower bounds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r>
          <m:rPr>
            <m:sty m:val="p"/>
          </m:rPr>
          <m:t>/</m:t>
        </m:r>
        <m:r>
          <m:t> </m:t>
        </m:r>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 </w:t>
      </w:r>
      <w:r>
        <w:t xml:space="preserve">are</w:t>
      </w:r>
      <w:r>
        <w:t xml:space="preserve"> </w:t>
      </w:r>
      <w:r>
        <w:t xml:space="preserve">Haiku-4.5</w:t>
      </w:r>
      <w:r>
        <w:t xml:space="preserve"> </w:t>
      </w:r>
      <m:oMath>
        <m:r>
          <m:rPr>
            <m:sty m:val="p"/>
          </m:rPr>
          <m:t>+</m:t>
        </m:r>
        <m:r>
          <m:t>0.76</m:t>
        </m:r>
        <m:r>
          <m:t> </m:t>
        </m:r>
        <m:r>
          <m:rPr>
            <m:sty m:val="p"/>
          </m:rPr>
          <m:t>/</m:t>
        </m:r>
        <m:r>
          <m:t> </m:t>
        </m:r>
        <m:r>
          <m:rPr>
            <m:sty m:val="p"/>
          </m:rPr>
          <m:t>+</m:t>
        </m:r>
        <m:r>
          <m:t>0.76</m:t>
        </m:r>
      </m:oMath>
      <w:r>
        <w:t xml:space="preserve">,</w:t>
      </w:r>
      <w:r>
        <w:t xml:space="preserve"> </w:t>
      </w:r>
      <w:r>
        <w:t xml:space="preserve">Sonnet-4.6</w:t>
      </w:r>
      <w:r>
        <w:t xml:space="preserve"> </w:t>
      </w:r>
      <m:oMath>
        <m:r>
          <m:rPr>
            <m:sty m:val="p"/>
          </m:rPr>
          <m:t>+</m:t>
        </m:r>
        <m:r>
          <m:t>0.72</m:t>
        </m:r>
        <m:r>
          <m:t> </m:t>
        </m:r>
        <m:r>
          <m:rPr>
            <m:sty m:val="p"/>
          </m:rPr>
          <m:t>/</m:t>
        </m:r>
        <m:r>
          <m:t> </m:t>
        </m:r>
        <m:r>
          <m:rPr>
            <m:sty m:val="p"/>
          </m:rPr>
          <m:t>+</m:t>
        </m:r>
        <m:r>
          <m:t>0.76</m:t>
        </m:r>
      </m:oMath>
      <w:r>
        <w:t xml:space="preserve">,</w:t>
      </w:r>
      <w:r>
        <w:t xml:space="preserve"> </w:t>
      </w:r>
      <w:r>
        <w:t xml:space="preserve">Opus-4.8</w:t>
      </w:r>
      <w:r>
        <w:t xml:space="preserve"> </w:t>
      </w:r>
      <m:oMath>
        <m:r>
          <m:rPr>
            <m:sty m:val="p"/>
          </m:rPr>
          <m:t>+</m:t>
        </m:r>
        <m:r>
          <m:t>0.72</m:t>
        </m:r>
        <m:r>
          <m:t> </m:t>
        </m:r>
        <m:r>
          <m:rPr>
            <m:sty m:val="p"/>
          </m:rPr>
          <m:t>/</m:t>
        </m:r>
        <m:r>
          <m:t> </m:t>
        </m:r>
        <m:r>
          <m:rPr>
            <m:sty m:val="p"/>
          </m:rPr>
          <m:t>+</m:t>
        </m:r>
        <m:r>
          <m:t>0.76</m:t>
        </m:r>
      </m:oMath>
      <w:r>
        <w:t xml:space="preserve">,</w:t>
      </w:r>
      <w:r>
        <w:t xml:space="preserve"> </w:t>
      </w:r>
      <w:r>
        <w:t xml:space="preserve">GPT-5.5</w:t>
      </w:r>
      <w:r>
        <w:t xml:space="preserve"> </w:t>
      </w:r>
      <m:oMath>
        <m:r>
          <m:rPr>
            <m:sty m:val="p"/>
          </m:rPr>
          <m:t>+</m:t>
        </m:r>
        <m:r>
          <m:t>0.76</m:t>
        </m:r>
        <m:r>
          <m:t> </m:t>
        </m:r>
        <m:r>
          <m:rPr>
            <m:sty m:val="p"/>
          </m:rPr>
          <m:t>/</m:t>
        </m:r>
        <m:r>
          <m:t> </m:t>
        </m:r>
        <m:r>
          <m:rPr>
            <m:sty m:val="p"/>
          </m:rPr>
          <m:t>+</m:t>
        </m:r>
        <m:r>
          <m:t>0.76</m:t>
        </m:r>
      </m:oMath>
      <w:r>
        <w:t xml:space="preserve">,</w:t>
      </w:r>
      <w:r>
        <w:t xml:space="preserve"> </w:t>
      </w:r>
      <w:r>
        <w:t xml:space="preserve">DeepSeek-V4-Pro</w:t>
      </w:r>
      <w:r>
        <w:t xml:space="preserve"> </w:t>
      </w:r>
      <m:oMath>
        <m:r>
          <m:rPr>
            <m:sty m:val="p"/>
          </m:rPr>
          <m:t>+</m:t>
        </m:r>
        <m:r>
          <m:t>0.35</m:t>
        </m:r>
        <m:r>
          <m:t> </m:t>
        </m:r>
        <m:r>
          <m:rPr>
            <m:sty m:val="p"/>
          </m:rPr>
          <m:t>/</m:t>
        </m:r>
        <m:r>
          <m:t> </m:t>
        </m:r>
        <m:r>
          <m:rPr>
            <m:sty m:val="p"/>
          </m:rPr>
          <m:t>+</m:t>
        </m:r>
        <m:r>
          <m:t>0.72</m:t>
        </m:r>
      </m:oMath>
      <w:r>
        <w:t xml:space="preserve">, and</w:t>
      </w:r>
      <w:r>
        <w:t xml:space="preserve"> </w:t>
      </w:r>
      <w:r>
        <w:t xml:space="preserve">Kimi-K2.6</w:t>
      </w:r>
      <w:r>
        <w:t xml:space="preserve"> </w:t>
      </w:r>
      <m:oMath>
        <m:r>
          <m:rPr>
            <m:sty m:val="p"/>
          </m:rPr>
          <m:t>+</m:t>
        </m:r>
        <m:r>
          <m:t>0.68</m:t>
        </m:r>
        <m:r>
          <m:t> </m:t>
        </m:r>
        <m:r>
          <m:rPr>
            <m:sty m:val="p"/>
          </m:rPr>
          <m:t>/</m:t>
        </m:r>
        <m:r>
          <m:t> </m:t>
        </m:r>
        <m:r>
          <m:rPr>
            <m:sty m:val="p"/>
          </m:rPr>
          <m:t>+</m:t>
        </m:r>
        <m:r>
          <m:t>0.76</m:t>
        </m:r>
      </m:oMath>
      <w:r>
        <w:t xml:space="preserve"> </w:t>
      </w:r>
      <w:r>
        <w:t xml:space="preserve">(all</w:t>
      </w:r>
      <w:r>
        <w:t xml:space="preserve"> </w:t>
      </w:r>
      <m:oMath>
        <m:r>
          <m:t>n</m:t>
        </m:r>
        <m:r>
          <m:rPr>
            <m:sty m:val="p"/>
          </m:rPr>
          <m:t>=</m:t>
        </m:r>
        <m:r>
          <m:t>40</m:t>
        </m:r>
      </m:oMath>
      <w:r>
        <w:t xml:space="preserve">). Incomparability is therefore not a</w:t>
      </w:r>
      <w:r>
        <w:t xml:space="preserve"> </w:t>
      </w:r>
      <w:r>
        <w:t xml:space="preserve">single-lab artifact.</w:t>
      </w:r>
    </w:p>
    <w:p>
      <w:pPr>
        <w:numPr>
          <w:ilvl w:val="0"/>
          <w:numId w:val="1001"/>
        </w:numPr>
      </w:pPr>
      <w:r>
        <w:rPr>
          <w:b/>
          <w:bCs/>
        </w:rPr>
        <w:t xml:space="preserve">Representative topical rankers mis-rank the pair.</w:t>
      </w:r>
      <w:r>
        <w:t xml:space="preserve"> </w:t>
      </w:r>
      <w:r>
        <w:t xml:space="preserve">On a trap task</w:t>
      </w:r>
      <w:r>
        <w:t xml:space="preserve"> </w:t>
      </w:r>
      <w:r>
        <w:t xml:space="preserve">saturated with encoding vocabulary, query-conditioned lexical relevance scores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w:t>
      </w:r>
      <w:r>
        <w:t xml:space="preserve"> </w:t>
      </w:r>
      <w:r>
        <w:t xml:space="preserve">realized PASS ranks</w:t>
      </w:r>
      <w:r>
        <w:t xml:space="preserve"> </w:t>
      </w:r>
      <m:oMath>
        <m:sSub>
          <m:e>
            <m:r>
              <m:t>W</m:t>
            </m:r>
          </m:e>
          <m:sub>
            <m:r>
              <m:t>1</m:t>
            </m:r>
          </m:sub>
        </m:sSub>
        <m:r>
          <m:rPr>
            <m:sty m:val="p"/>
          </m:rPr>
          <m:t>≫</m:t>
        </m:r>
        <m:sSub>
          <m:e>
            <m:r>
              <m:t>W</m:t>
            </m:r>
          </m:e>
          <m:sub>
            <m:r>
              <m:t>2</m:t>
            </m:r>
          </m:sub>
        </m:sSub>
      </m:oMath>
      <w:r>
        <w:t xml:space="preserve"> </w:t>
      </w:r>
      <w:r>
        <w:t xml:space="preserve">(e.g. </w:t>
      </w:r>
      <m:oMath>
        <m:r>
          <m:t>96</m:t>
        </m:r>
      </m:oMath>
      <w:r>
        <w:t xml:space="preserve">–</w:t>
      </w:r>
      <m:oMath>
        <m:r>
          <m:t>100</m:t>
        </m:r>
        <m:r>
          <m:rPr>
            <m:sty m:val="p"/>
          </m:rPr>
          <m:t>%</m:t>
        </m:r>
      </m:oMath>
      <w:r>
        <w:t xml:space="preserve"> </w:t>
      </w:r>
      <w:r>
        <w:t xml:space="preserve">vs. </w:t>
      </w:r>
      <m:oMath>
        <m:r>
          <m:t>0</m:t>
        </m:r>
        <m:r>
          <m:rPr>
            <m:sty m:val="p"/>
          </m:rPr>
          <m:t>%</m:t>
        </m:r>
      </m:oMath>
      <w:r>
        <w:t xml:space="preserve">), and the</w:t>
      </w:r>
      <w:r>
        <w:t xml:space="preserve"> </w:t>
      </w:r>
      <w:r>
        <w:t xml:space="preserve">same mis-rank is realized by two dense bi-encoders and a cross-encoder</w:t>
      </w:r>
      <w:r>
        <w:t xml:space="preserve"> </w:t>
      </w:r>
      <w:r>
        <w:t xml:space="preserve">reranker, while an LLM listwise reranker ranks the trap correctly</w:t>
      </w:r>
      <w:r>
        <w:t xml:space="preserve"> </w:t>
      </w:r>
      <w:r>
        <w:t xml:space="preserve">(§7.4.2). On the honest tasks every ranker agrees with</w:t>
      </w:r>
      <w:r>
        <w:t xml:space="preserve"> </w:t>
      </w:r>
      <w:r>
        <w:t xml:space="preserve">PASS; failure occurs</w:t>
      </w:r>
      <w:r>
        <w:t xml:space="preserve"> </w:t>
      </w:r>
      <w:r>
        <w:rPr>
          <w:i/>
          <w:iCs/>
        </w:rPr>
        <w:t xml:space="preserve">only</w:t>
      </w:r>
      <w:r>
        <w:t xml:space="preserve"> </w:t>
      </w:r>
      <w:r>
        <w:t xml:space="preserve">where surface relevance diverges from</w:t>
      </w:r>
      <w:r>
        <w:t xml:space="preserve"> </w:t>
      </w:r>
      <w:r>
        <w:t xml:space="preserve">verifier-decisive content, exactly the boundary</w:t>
      </w:r>
      <w:r>
        <w:t xml:space="preserve"> </w:t>
      </w:r>
      <w:r>
        <w:t xml:space="preserve">Proposition 2 predicts: topical feature-based</w:t>
      </w:r>
      <w:r>
        <w:t xml:space="preserve"> </w:t>
      </w:r>
      <w:r>
        <w:t xml:space="preserve">rankers must fail there, while rankers that read the decisive coordinate can</w:t>
      </w:r>
      <w:r>
        <w:t xml:space="preserve"> </w:t>
      </w:r>
      <w:r>
        <w:t xml:space="preserve">escape.</w:t>
      </w:r>
    </w:p>
    <w:p>
      <w:pPr>
        <w:numPr>
          <w:ilvl w:val="0"/>
          <w:numId w:val="1001"/>
        </w:numPr>
      </w:pPr>
      <w:r>
        <w:rPr>
          <w:b/>
          <w:bCs/>
        </w:rPr>
        <w:t xml:space="preserve">Verified anti-monotonicity.</w:t>
      </w:r>
      <w:r>
        <w:t xml:space="preserve"> </w:t>
      </w:r>
      <w:r>
        <w:t xml:space="preserve">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(the operator</w:t>
      </w:r>
      <w:r>
        <w:t xml:space="preserve"> </w:t>
      </w:r>
      <m:oMath>
        <m:r>
          <m:t> </m:t>
        </m:r>
        <m:r>
          <m:rPr>
            <m:sty m:val="p"/>
          </m:rPr>
          <m:t>+</m:t>
        </m:r>
        <m:r>
          <m:rPr>
            <m:sty m:val="p"/>
          </m:rPr>
          <m:t>+</m:t>
        </m:r>
        <m:r>
          <m:t> </m:t>
        </m:r>
      </m:oMath>
      <w:r>
        <w:t xml:space="preserve"> </w:t>
      </w:r>
      <w:r>
        <w:t xml:space="preserve">is text concatenation:</w:t>
      </w:r>
      <w:r>
        <w:t xml:space="preserve"> </w:t>
      </w:r>
      <m:oMath>
        <m:sSub>
          <m:e>
            <m:r>
              <m:t>W</m:t>
            </m:r>
          </m:e>
          <m:sub>
            <m:r>
              <m:t>2</m:t>
            </m:r>
          </m:sub>
        </m:sSub>
      </m:oMath>
      <w:r>
        <w:t xml:space="preserve">’s note followed by</w:t>
      </w:r>
      <w:r>
        <w:t xml:space="preserve"> </w:t>
      </w:r>
      <m:oMath>
        <m:sSub>
          <m:e>
            <m:r>
              <m:t>W</m:t>
            </m:r>
          </m:e>
          <m:sub>
            <m:r>
              <m:t>1</m:t>
            </m:r>
          </m:sub>
        </m:sSub>
      </m:oMath>
      <w:r>
        <w:t xml:space="preserve">’s),</w:t>
      </w:r>
      <w:r>
        <w:t xml:space="preserve"> </w:t>
      </w:r>
      <w:r>
        <w:t xml:space="preserve">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Sonnet and Kimi collapse</w:t>
      </w:r>
      <w:r>
        <w:t xml:space="preserve"> </w:t>
      </w:r>
      <m:oMath>
        <m:r>
          <m:t>100</m:t>
        </m:r>
        <m:r>
          <m:rPr>
            <m:sty m:val="p"/>
          </m:rPr>
          <m:t>%</m:t>
        </m:r>
        <m:r>
          <m:rPr>
            <m:sty m:val="p"/>
          </m:rPr>
          <m:t>→</m:t>
        </m:r>
        <m:r>
          <m:t>0</m:t>
        </m:r>
        <m:r>
          <m:rPr>
            <m:sty m:val="p"/>
          </m:rPr>
          <m:t>%</m:t>
        </m:r>
      </m:oMath>
      <w:r>
        <w:t xml:space="preserve"> </w:t>
      </w:r>
      <w:r>
        <w:t xml:space="preserve">(interference</w:t>
      </w:r>
      <w:r>
        <w:t xml:space="preserve"> </w:t>
      </w:r>
      <m:oMath>
        <m:sSub>
          <m:e>
            <m:r>
              <m:rPr>
                <m:sty m:val="p"/>
              </m:rPr>
              <m:t>Ψ</m:t>
            </m:r>
          </m:e>
          <m:sub>
            <m:r>
              <m:t>T</m:t>
            </m:r>
          </m:sub>
        </m:sSub>
        <m:r>
          <m:rPr>
            <m:sty m:val="p"/>
          </m:rPr>
          <m:t>=</m:t>
        </m:r>
        <m:r>
          <m:rPr>
            <m:sty m:val="p"/>
          </m:rPr>
          <m:t>−</m:t>
        </m:r>
        <m:r>
          <m:t>1.00</m:t>
        </m:r>
      </m:oMath>
      <w:r>
        <w:t xml:space="preserve">,</w:t>
      </w:r>
      <w:r>
        <w:t xml:space="preserve"> </w:t>
      </w:r>
      <w:r>
        <w:t xml:space="preserve">verified upper bound</w:t>
      </w:r>
      <w:r>
        <w:t xml:space="preserve"> </w:t>
      </w:r>
      <m:oMath>
        <m:r>
          <m:rPr>
            <m:sty m:val="p"/>
          </m:rPr>
          <m:t>≤</m:t>
        </m:r>
        <m:r>
          <m:rPr>
            <m:sty m:val="p"/>
          </m:rPr>
          <m:t>−</m:t>
        </m:r>
        <m:r>
          <m:t>0.69</m:t>
        </m:r>
      </m:oMath>
      <w:r>
        <w:t xml:space="preserve">); GPT-5.5 verifies</w:t>
      </w:r>
      <w:r>
        <w:t xml:space="preserve"> </w:t>
      </w:r>
      <m:oMath>
        <m:sSub>
          <m:e>
            <m:r>
              <m:rPr>
                <m:sty m:val="p"/>
              </m:rPr>
              <m:t>Ψ</m:t>
            </m:r>
          </m:e>
          <m:sub>
            <m:r>
              <m:t>T</m:t>
            </m:r>
          </m:sub>
        </m:sSub>
        <m:r>
          <m:rPr>
            <m:sty m:val="p"/>
          </m:rPr>
          <m:t>≤</m:t>
        </m:r>
        <m:r>
          <m:rPr>
            <m:sty m:val="p"/>
          </m:rPr>
          <m:t>−</m:t>
        </m:r>
        <m:r>
          <m:t>0.60</m:t>
        </m:r>
      </m:oMath>
      <w:r>
        <w:t xml:space="preserve"> </w:t>
      </w:r>
      <w:r>
        <w:t xml:space="preserve">on</w:t>
      </w:r>
      <w:r>
        <w:t xml:space="preserve"> </w:t>
      </w:r>
      <w:r>
        <w:rPr>
          <w:rStyle w:val="VerbatimChar"/>
        </w:rPr>
        <w:t xml:space="preserve">api_post_ok</w:t>
      </w:r>
      <w:r>
        <w:t xml:space="preserve">. The interference verification clears on at least one</w:t>
      </w:r>
      <w:r>
        <w:t xml:space="preserve"> </w:t>
      </w:r>
      <w:r>
        <w:t xml:space="preserve">cell for five of six models (Opus reproduces the collapse,</w:t>
      </w:r>
      <w:r>
        <w:t xml:space="preserve"> </w:t>
      </w:r>
      <m:oMath>
        <m:r>
          <m:t>100</m:t>
        </m:r>
        <m:r>
          <m:rPr>
            <m:sty m:val="p"/>
          </m:rPr>
          <m:t>%</m:t>
        </m:r>
        <m:r>
          <m:rPr>
            <m:sty m:val="p"/>
          </m:rPr>
          <m:t>→</m:t>
        </m:r>
        <m:r>
          <m:t>38</m:t>
        </m:r>
        <m:r>
          <m:rPr>
            <m:sty m:val="p"/>
          </m:rPr>
          <m:t>%</m:t>
        </m:r>
      </m:oMath>
      <w:r>
        <w:t xml:space="preserve">,</w:t>
      </w:r>
      <w:r>
        <w:t xml:space="preserve"> </w:t>
      </w:r>
      <w:r>
        <w:t xml:space="preserve">but its milder drop and partly-guessable baseline keep it below the bar;</w:t>
      </w:r>
      <w:r>
        <w:t xml:space="preserve"> </w:t>
      </w:r>
      <w:r>
        <w:t xml:space="preserve">§7.4.3). A</w:t>
      </w:r>
      <w:r>
        <w:t xml:space="preserve"> </w:t>
      </w:r>
      <w:r>
        <w:t xml:space="preserve">length-matched padding control shows equal-length irrelevant text is</w:t>
      </w:r>
      <w:r>
        <w:t xml:space="preserve"> </w:t>
      </w:r>
      <w:r>
        <w:t xml:space="preserve">harmless, so the harm is the added signal, not token count or position. One</w:t>
      </w:r>
      <w:r>
        <w:t xml:space="preserve"> </w:t>
      </w:r>
      <w:r>
        <w:t xml:space="preserve">caveat: the effect is large and robust across the capability ladder but is</w:t>
      </w:r>
      <w:r>
        <w:t xml:space="preserve"> </w:t>
      </w:r>
      <w:r>
        <w:rPr>
          <w:i/>
          <w:iCs/>
        </w:rPr>
        <w:t xml:space="preserve">not</w:t>
      </w:r>
      <w:r>
        <w:t xml:space="preserve"> </w:t>
      </w:r>
      <w:r>
        <w:t xml:space="preserve">monotone in capability (Sonnet, the middle model, is the starkest;</w:t>
      </w:r>
      <w:r>
        <w:t xml:space="preserve"> </w:t>
      </w:r>
      <w:r>
        <w:t xml:space="preserve">Opus, the strongest, less so), so we claim no capability trend.</w:t>
      </w:r>
    </w:p>
    <w:p>
      <w:pPr>
        <w:numPr>
          <w:ilvl w:val="0"/>
          <w:numId w:val="1001"/>
        </w:numPr>
      </w:pPr>
      <w:r>
        <w:rPr>
          <w:b/>
          <w:bCs/>
        </w:rPr>
        <w:t xml:space="preserve">A supporting observation: private-context value is model-relative.</w:t>
      </w:r>
      <w:r>
        <w:t xml:space="preserve"> </w:t>
      </w:r>
      <w:r>
        <w:t xml:space="preserve">The</w:t>
      </w:r>
      <w:r>
        <w:t xml:space="preserve"> </w:t>
      </w:r>
      <w:r>
        <w:rPr>
          <w:rStyle w:val="VerbatimChar"/>
        </w:rPr>
        <w:t xml:space="preserve">none</w:t>
      </w:r>
      <w:r>
        <w:t xml:space="preserve">-arm baselines span</w:t>
      </w:r>
      <w:r>
        <w:t xml:space="preserve"> </w:t>
      </w:r>
      <m:oMath>
        <m:r>
          <m:t>0</m:t>
        </m:r>
        <m:r>
          <m:rPr>
            <m:sty m:val="p"/>
          </m:rPr>
          <m:t>%</m:t>
        </m:r>
      </m:oMath>
      <w:r>
        <w:t xml:space="preserve">–</w:t>
      </w:r>
      <m:oMath>
        <m:r>
          <m:t>75</m:t>
        </m:r>
        <m:r>
          <m:rPr>
            <m:sty m:val="p"/>
          </m:rPr>
          <m:t>%</m:t>
        </m:r>
      </m:oMath>
      <w:r>
        <w:t xml:space="preserve"> </w:t>
      </w:r>
      <w:r>
        <w:t xml:space="preserve">guessability across vendors</w:t>
      </w:r>
      <w:r>
        <w:t xml:space="preserve"> </w:t>
      </w:r>
      <w:r>
        <w:t xml:space="preserve">(§7.4.4), an empirical instance of the theory’s</w:t>
      </w:r>
      <w:r>
        <w:t xml:space="preserve"> </w:t>
      </w:r>
      <m:oMath>
        <m:r>
          <m:t>θ</m:t>
        </m:r>
      </m:oMath>
      <w:r>
        <w:t xml:space="preserve">-dependence; we report it as supporting evidence that caps which cells</w:t>
      </w:r>
      <w:r>
        <w:t xml:space="preserve"> </w:t>
      </w:r>
      <w:r>
        <w:t xml:space="preserve">can be verified per model, not as a headline claim.</w:t>
      </w:r>
    </w:p>
    <w:bookmarkEnd w:id="12"/>
    <w:bookmarkStart w:id="13" w:name="how-we-ran-the-models."/>
    <w:p>
      <w:pPr>
        <w:pStyle w:val="Heading4"/>
      </w:pPr>
      <w:r>
        <w:t xml:space="preserve">How we ran the models.</w:t>
      </w:r>
    </w:p>
    <w:p>
      <w:pPr>
        <w:pStyle w:val="FirstParagraph"/>
      </w:pPr>
      <w:r>
        <w:t xml:space="preserve">All six models are run the same way: a single API call per attempt, from which we extract the</w:t>
      </w:r>
      <w:r>
        <w:t xml:space="preserve"> </w:t>
      </w:r>
      <w:r>
        <w:t xml:space="preserve">candidate code and grade it with the verifier. This keeps the setup uniform across vendors, so a</w:t>
      </w:r>
      <w:r>
        <w:t xml:space="preserve"> </w:t>
      </w:r>
      <w:r>
        <w:t xml:space="preserve">difference between models reflects the model, not how it was run.</w:t>
      </w:r>
    </w:p>
    <w:bookmarkEnd w:id="13"/>
    <w:bookmarkStart w:id="14" w:name="contributions."/>
    <w:p>
      <w:pPr>
        <w:pStyle w:val="Heading4"/>
      </w:pPr>
      <w:r>
        <w:t xml:space="preserve">Contributions.</w:t>
      </w:r>
    </w:p>
    <w:p>
      <w:pPr>
        <w:pStyle w:val="FirstParagraph"/>
      </w:pPr>
      <w:r>
        <w:t xml:space="preserve">The paper makes one claim, context selection is a partial-order</w:t>
      </w:r>
      <w:r>
        <w:t xml:space="preserve"> </w:t>
      </w:r>
      <w:r>
        <w:t xml:space="preserve">problem rather than a scalar-ranking problem, and contributes exactly the three pieces that</w:t>
      </w:r>
      <w:r>
        <w:t xml:space="preserve"> </w:t>
      </w:r>
      <w:r>
        <w:t xml:space="preserve">claim needs.</w:t>
      </w:r>
    </w:p>
    <w:p>
      <w:pPr>
        <w:numPr>
          <w:ilvl w:val="0"/>
          <w:numId w:val="1002"/>
        </w:numPr>
      </w:pPr>
      <w:r>
        <w:rPr>
          <w:b/>
          <w:bCs/>
        </w:rPr>
        <w:t xml:space="preserve">Theory: context sources form a Blackwell partial order</w:t>
      </w:r>
      <w:r>
        <w:t xml:space="preserve"> </w:t>
      </w:r>
      <w:r>
        <w:t xml:space="preserve">(§4,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The central consequence is incomparability: Blackwell-incomparable sources cannot be</w:t>
      </w:r>
      <w:r>
        <w:t xml:space="preserve"> </w:t>
      </w:r>
      <w:r>
        <w:t xml:space="preserve">ranked by</w:t>
      </w:r>
      <w:r>
        <w:t xml:space="preserve"> </w:t>
      </w:r>
      <w:r>
        <w:rPr>
          <w:i/>
          <w:iCs/>
        </w:rPr>
        <w:t xml:space="preserve">any</w:t>
      </w:r>
      <w:r>
        <w:t xml:space="preserve"> </w:t>
      </w:r>
      <w:r>
        <w:t xml:space="preserve">query-independent scalar</w:t>
      </w:r>
      <w:r>
        <w:t xml:space="preserve"> </w:t>
      </w:r>
      <m:oMath>
        <m:r>
          <m:t>φ</m:t>
        </m:r>
        <m:r>
          <m:rPr>
            <m:sty m:val="p"/>
          </m:rPr>
          <m:t>(</m:t>
        </m:r>
        <m:r>
          <m:t>W</m:t>
        </m:r>
        <m:r>
          <m:rPr>
            <m:sty m:val="p"/>
          </m:rPr>
          <m:t>)</m:t>
        </m:r>
      </m:oMath>
      <w:r>
        <w:t xml:space="preserve"> </w:t>
      </w:r>
      <w:r>
        <w:t xml:space="preserve">for all tasks</w:t>
      </w:r>
      <w:r>
        <w:t xml:space="preserve"> </w:t>
      </w:r>
      <w:r>
        <w:t xml:space="preserve">(Theorem 2), with the query-conditioned topical case isolated separately</w:t>
      </w:r>
      <w:r>
        <w:t xml:space="preserve"> </w:t>
      </w:r>
      <w:r>
        <w:t xml:space="preserve">(Proposition 2). Information retrieval has long argued that no single</w:t>
      </w:r>
      <w:r>
        <w:t xml:space="preserve"> </w:t>
      </w:r>
      <w:r>
        <w:t xml:space="preserve">fixed document score is optimal once documents interact (§2.1); we derive the</w:t>
      </w:r>
      <w:r>
        <w:t xml:space="preserve"> </w:t>
      </w:r>
      <w:r>
        <w:t xml:space="preserve">impossibility as a theorem in the Blackwell frame.</w:t>
      </w:r>
    </w:p>
    <w:p>
      <w:pPr>
        <w:numPr>
          <w:ilvl w:val="0"/>
          <w:numId w:val="1002"/>
        </w:numPr>
      </w:pPr>
      <w:r>
        <w:rPr>
          <w:b/>
          <w:bCs/>
        </w:rPr>
        <w:t xml:space="preserve">Verification: a measurable deficiency surrogate with finite-sample</w:t>
      </w:r>
      <w:r>
        <w:rPr>
          <w:b/>
          <w:bCs/>
        </w:rPr>
        <w:t xml:space="preserve"> </w:t>
      </w:r>
      <w:r>
        <w:rPr>
          <w:b/>
          <w:bCs/>
        </w:rPr>
        <w:t xml:space="preserve">guarantees</w:t>
      </w:r>
      <w:r>
        <w:t xml:space="preserve"> </w:t>
      </w:r>
      <w:r>
        <w:t xml:space="preserve">(§6).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w:t>
      </w:r>
      <w:hyperlink w:anchor="ref-clopperpearson1934">
        <w:r>
          <w:rPr>
            <w:rStyle w:val="Hyperlink"/>
          </w:rPr>
          <w:t xml:space="preserve">Clopper and Pearson 1934</w:t>
        </w:r>
      </w:hyperlink>
      <w:r>
        <w:t xml:space="preserve">)</w:t>
      </w:r>
      <w:r>
        <w:t xml:space="preserve"> </w:t>
      </w:r>
      <w:r>
        <w:t xml:space="preserve">at Bonferroni</w:t>
      </w:r>
      <w:r>
        <w:t xml:space="preserve"> </w:t>
      </w:r>
      <w:r>
        <w:t xml:space="preserve">level </w:t>
      </w:r>
      <w:r>
        <w:t xml:space="preserve">(</w:t>
      </w:r>
      <w:hyperlink w:anchor="ref-bonferroni1936">
        <w:r>
          <w:rPr>
            <w:rStyle w:val="Hyperlink"/>
          </w:rPr>
          <w:t xml:space="preserve">Bonferroni 1936</w:t>
        </w:r>
      </w:hyperlink>
      <w:r>
        <w:t xml:space="preserve">)</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we argue why a naive DKW bound </w:t>
      </w:r>
      <w:r>
        <w:t xml:space="preserve">(</w:t>
      </w:r>
      <w:hyperlink w:anchor="ref-dvoretzky1956">
        <w:r>
          <w:rPr>
            <w:rStyle w:val="Hyperlink"/>
          </w:rPr>
          <w:t xml:space="preserve">Dvoretzky et al. 1956</w:t>
        </w:r>
      </w:hyperlink>
      <w:r>
        <w:t xml:space="preserve">)</w:t>
      </w:r>
      <w:r>
        <w:t xml:space="preserve"> </w:t>
      </w:r>
      <w:r>
        <w:t xml:space="preserve">under-covers the</w:t>
      </w:r>
      <w:r>
        <w:t xml:space="preserve"> </w:t>
      </w:r>
      <w:r>
        <w:t xml:space="preserve">supremum, and give the matching interference verification. This is the instrument that makes the</w:t>
      </w:r>
      <w:r>
        <w:t xml:space="preserve"> </w:t>
      </w:r>
      <w:r>
        <w:t xml:space="preserve">partial order testable on a real model behind a real verifier.</w:t>
      </w:r>
    </w:p>
    <w:p>
      <w:pPr>
        <w:numPr>
          <w:ilvl w:val="0"/>
          <w:numId w:val="1002"/>
        </w:numPr>
      </w:pPr>
      <w:r>
        <w:rPr>
          <w:b/>
          <w:bCs/>
        </w:rPr>
        <w:t xml:space="preserve">Evidence: verified incomparability and scalar-ranking failure on</w:t>
      </w:r>
      <w:r>
        <w:rPr>
          <w:b/>
          <w:bCs/>
        </w:rPr>
        <w:t xml:space="preserve"> </w:t>
      </w:r>
      <w:r>
        <w:rPr>
          <w:b/>
          <w:bCs/>
        </w:rPr>
        <w:t xml:space="preserve">live models</w:t>
      </w:r>
      <w:r>
        <w:t xml:space="preserve"> </w:t>
      </w:r>
      <w:r>
        <w:t xml:space="preserve">(§7).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§8.6.</w:t>
      </w:r>
    </w:p>
    <w:bookmarkEnd w:id="14"/>
    <w:bookmarkStart w:id="15" w:name="roadmap."/>
    <w:p>
      <w:pPr>
        <w:pStyle w:val="Heading4"/>
      </w:pPr>
      <w:r>
        <w:t xml:space="preserve">Roadmap.</w:t>
      </w:r>
    </w:p>
    <w:p>
      <w:pPr>
        <w:pStyle w:val="FirstParagraph"/>
      </w:pPr>
      <w:r>
        <w:t xml:space="preserve">§2 positions the work against scalar context-selection criteria</w:t>
      </w:r>
      <w:r>
        <w:t xml:space="preserve"> </w:t>
      </w:r>
      <w:r>
        <w:t xml:space="preserve">and the recent transport of comparison-of-experiments into machine learning, and</w:t>
      </w:r>
      <w:r>
        <w:t xml:space="preserve"> </w:t>
      </w:r>
      <w:r>
        <w:t xml:space="preserve">frames our delta as application-plus-framing-plus-estimator rather than new core</w:t>
      </w:r>
      <w:r>
        <w:t xml:space="preserve"> </w:t>
      </w:r>
      <w:r>
        <w:t xml:space="preserve">mathematics. §3 gives the latent-coordinate experiment</w:t>
      </w:r>
      <w:r>
        <w:t xml:space="preserve"> </w:t>
      </w:r>
      <w:r>
        <w:t xml:space="preserve">model and defines</w:t>
      </w:r>
      <w:r>
        <w:t xml:space="preserve"> </w:t>
      </w:r>
      <m:oMath>
        <m:r>
          <m:t>θ</m:t>
        </m:r>
      </m:oMath>
      <w:r>
        <w:t xml:space="preserve">. §4 develops the partial order, the</w:t>
      </w:r>
      <w:r>
        <w:t xml:space="preserve"> </w:t>
      </w:r>
      <m:oMath>
        <m:sSub>
          <m:e>
            <m:r>
              <m:t>δ</m:t>
            </m:r>
          </m:e>
          <m:sub>
            <m:r>
              <m:t>M</m:t>
            </m:r>
          </m:sub>
        </m:sSub>
      </m:oMath>
      <w:r>
        <w:t xml:space="preserve">-restricted order, the non-refinement construction, and the bridging lemma, and §5 proves</w:t>
      </w:r>
      <w:r>
        <w:t xml:space="preserve"> </w:t>
      </w:r>
      <w:r>
        <w:t xml:space="preserve">the source-level incomparability statement and isolates the query-conditioned</w:t>
      </w:r>
      <w:r>
        <w:t xml:space="preserve"> </w:t>
      </w:r>
      <w:r>
        <w:t xml:space="preserve">case (C1). §6 defines the surrogate, the uniform verification,</w:t>
      </w:r>
      <w:r>
        <w:t xml:space="preserve"> </w:t>
      </w:r>
      <w:r>
        <w:t xml:space="preserve">and the interference verification, and relates the surrogate to the true Le Cam</w:t>
      </w:r>
      <w:r>
        <w:t xml:space="preserve"> </w:t>
      </w:r>
      <w:r>
        <w:t xml:space="preserve">deficiency (C2). §7 reports the six-model program with full</w:t>
      </w:r>
      <w:r>
        <w:t xml:space="preserve"> </w:t>
      </w:r>
      <w:r>
        <w:t xml:space="preserve">per-cell tables (C3). §8.6 states threats to validity and</w:t>
      </w:r>
      <w:r>
        <w:t xml:space="preserve"> </w:t>
      </w:r>
      <w:r>
        <w:t xml:space="preserve">scope, and §9 concludes. Proofs of the two central impossibility results</w:t>
      </w:r>
      <w:r>
        <w:t xml:space="preserve"> </w:t>
      </w:r>
      <w:r>
        <w:t xml:space="preserve">(Theorem 2, Proposition 2) accompany their</w:t>
      </w:r>
      <w:r>
        <w:t xml:space="preserve"> </w:t>
      </w:r>
      <w:r>
        <w:t xml:space="preserve">statements; the remaining proofs and technical material are deferred to</w:t>
      </w:r>
      <w:r>
        <w:t xml:space="preserve"> </w:t>
      </w:r>
      <w:r>
        <w:t xml:space="preserve">Appendix A, the extended experimental record to Appendix B, and</w:t>
      </w:r>
      <w:r>
        <w:t xml:space="preserve"> </w:t>
      </w:r>
      <w:r>
        <w:t xml:space="preserve">protocol and artifact details to Appendix C. Every reference has been verified</w:t>
      </w:r>
      <w:r>
        <w:t xml:space="preserve"> </w:t>
      </w:r>
      <w:r>
        <w:t xml:space="preserve">against arXiv/DBLP/publisher records, and the two impossibility results are machine-checked in</w:t>
      </w:r>
      <w:r>
        <w:t xml:space="preserve"> </w:t>
      </w:r>
      <w:r>
        <w:t xml:space="preserve">Lean 4 (Remark 3).</w:t>
      </w:r>
    </w:p>
    <w:bookmarkEnd w:id="15"/>
    <w:bookmarkStart w:id="17" w:name="how-to-read-the-formal-terms."/>
    <w:p>
      <w:pPr>
        <w:pStyle w:val="Heading4"/>
      </w:pPr>
      <w:r>
        <w:t xml:space="preserve">How to read the formal terms.</w:t>
      </w:r>
    </w:p>
    <w:p>
      <w:pPr>
        <w:pStyle w:val="FirstParagraph"/>
      </w:pPr>
      <w:r>
        <w:t xml:space="preserve">The argument is necessarily phrased in the language of statistical decision theory.</w:t>
      </w:r>
      <w:r>
        <w:t xml:space="preserve"> </w:t>
      </w:r>
      <w:r>
        <w:t xml:space="preserve">Table 1 gives the engineering reading of each recurring term; the empirical</w:t>
      </w:r>
      <w:r>
        <w:t xml:space="preserve"> </w:t>
      </w:r>
      <w:r>
        <w:t xml:space="preserve">sections (§7 onward) can be followed with the right-hand column alone.</w:t>
      </w:r>
    </w:p>
    <w:bookmarkStart w:id="16"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Ψ</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with no distributional assumptions</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surrogate</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sSup>
                <m:e>
                  <m:r>
                    <m:t>W</m:t>
                  </m:r>
                </m:e>
                <m:sup>
                  <m:r>
                    <m:rPr>
                      <m:sty m:val="p"/>
                    </m:rPr>
                    <m:t>′</m:t>
                  </m:r>
                </m:sup>
              </m:sSup>
            </m:oMath>
            <w:r>
              <w:t xml:space="preserve"> </w:t>
            </w:r>
            <w:r>
              <w:t xml:space="preserve">in place of</w:t>
            </w:r>
            <w:r>
              <w:t xml:space="preserve"> </w:t>
            </w:r>
            <m:oMath>
              <m:r>
                <m:t>W</m:t>
              </m:r>
            </m:oMath>
            <w:r>
              <w:t xml:space="preserve"> </w:t>
            </w:r>
            <w:r>
              <w:t xml:space="preserve">on the task family</w:t>
            </w:r>
          </w:p>
        </w:tc>
      </w:tr>
    </w:tbl>
    <w:bookmarkEnd w:id="16"/>
    <w:bookmarkEnd w:id="17"/>
    <w:bookmarkEnd w:id="18"/>
    <w:bookmarkStart w:id="28" w:name="sec:related"/>
    <w:p>
      <w:pPr>
        <w:pStyle w:val="Heading1"/>
      </w:pPr>
      <w:r>
        <w:t xml:space="preserve">Related Work</w:t>
      </w:r>
    </w:p>
    <w:bookmarkStart w:id="19" w:name="positioning."/>
    <w:p>
      <w:pPr>
        <w:pStyle w:val="Heading4"/>
      </w:pPr>
      <w:r>
        <w:t xml:space="preserve">Positioning.</w:t>
      </w:r>
    </w:p>
    <w:p>
      <w:pPr>
        <w:pStyle w:val="FirstParagraph"/>
      </w:pPr>
      <w:r>
        <w:t xml:space="preserve">The tools we use are classical, Blackwell’s garbling order </w:t>
      </w:r>
      <w:r>
        <w:t xml:space="preserve">(</w:t>
      </w:r>
      <w:hyperlink w:anchor="ref-blackwell1953">
        <w:r>
          <w:rPr>
            <w:rStyle w:val="Hyperlink"/>
          </w:rPr>
          <w:t xml:space="preserve">Blackwell 1953</w:t>
        </w:r>
      </w:hyperlink>
      <w:r>
        <w:t xml:space="preserve">)</w:t>
      </w:r>
      <w:r>
        <w:t xml:space="preserve"> </w:t>
      </w:r>
      <w:r>
        <w:t xml:space="preserve">and Le Cam’s</w:t>
      </w:r>
      <w:r>
        <w:t xml:space="preserve"> </w:t>
      </w:r>
      <w:r>
        <w:t xml:space="preserve">deficiency </w:t>
      </w:r>
      <w:r>
        <w:t xml:space="preserve">(</w:t>
      </w:r>
      <w:hyperlink w:anchor="ref-lecam1964">
        <w:r>
          <w:rPr>
            <w:rStyle w:val="Hyperlink"/>
          </w:rPr>
          <w:t xml:space="preserve">Le Cam 1964</w:t>
        </w:r>
      </w:hyperlink>
      <w:r>
        <w:t xml:space="preserve">,</w:t>
      </w:r>
      <w:r>
        <w:t xml:space="preserve"> </w:t>
      </w:r>
      <w:hyperlink w:anchor="ref-lecam1986">
        <w:r>
          <w:rPr>
            <w:rStyle w:val="Hyperlink"/>
          </w:rPr>
          <w:t xml:space="preserve">1986</w:t>
        </w:r>
      </w:hyperlink>
      <w:r>
        <w:t xml:space="preserve">)</w:t>
      </w:r>
      <w:r>
        <w:t xml:space="preserve">; we add no new core mathematics. Our contribution is to</w:t>
      </w:r>
      <w:r>
        <w:t xml:space="preserve"> </w:t>
      </w:r>
      <w:r>
        <w:t xml:space="preserve">apply, frame, and measure. (i) We treat each candidate source as a statistical experiment on what</w:t>
      </w:r>
      <w:r>
        <w:t xml:space="preserve"> </w:t>
      </w:r>
      <w:r>
        <w:t xml:space="preserve">the task needs and rank sources by the Blackwell order, which gives a guarantee that holds for</w:t>
      </w:r>
      <w:r>
        <w:t xml:space="preserve"> </w:t>
      </w:r>
      <w:r>
        <w:t xml:space="preserve">every task at once, not just one (§4). (ii) We point out a direct consequence of</w:t>
      </w:r>
      <w:r>
        <w:t xml:space="preserve"> </w:t>
      </w:r>
      <w:r>
        <w:t xml:space="preserve">Blackwell’s theorem, that</w:t>
      </w:r>
      <w:r>
        <w:t xml:space="preserve"> </w:t>
      </w:r>
      <w:r>
        <w:rPr>
          <w:i/>
          <w:iCs/>
        </w:rPr>
        <w:t xml:space="preserve">incomparable</w:t>
      </w:r>
      <w:r>
        <w:t xml:space="preserve"> </w:t>
      </w:r>
      <w:r>
        <w:t xml:space="preserve">sources cannot be ranked by any scalar score for all</w:t>
      </w:r>
      <w:r>
        <w:t xml:space="preserve"> </w:t>
      </w:r>
      <w:r>
        <w:t xml:space="preserve">tasks (§5), turning the folklore</w:t>
      </w:r>
      <w:r>
        <w:t xml:space="preserve"> </w:t>
      </w:r>
      <w:r>
        <w:t xml:space="preserve">“relevance does not transfer across</w:t>
      </w:r>
      <w:r>
        <w:t xml:space="preserve"> </w:t>
      </w:r>
      <w:r>
        <w:t xml:space="preserve">tasks”</w:t>
      </w:r>
      <w:r>
        <w:t xml:space="preserve"> </w:t>
      </w:r>
      <w:r>
        <w:t xml:space="preserve">into a theorem and tying it to a limit information retrieval has long known for interacting</w:t>
      </w:r>
      <w:r>
        <w:t xml:space="preserve"> </w:t>
      </w:r>
      <w:r>
        <w:t xml:space="preserve">documents (§2.1). (iii) We supply a value-deficiency</w:t>
      </w:r>
      <w:r>
        <w:t xml:space="preserve"> </w:t>
      </w:r>
      <w:r>
        <w:rPr>
          <w:i/>
          <w:iCs/>
        </w:rPr>
        <w:t xml:space="preserve">surrogate</w:t>
      </w:r>
      <w:r>
        <w:t xml:space="preserve"> </w:t>
      </w:r>
      <w:r>
        <w:t xml:space="preserve">with a</w:t>
      </w:r>
      <w:r>
        <w:t xml:space="preserve"> </w:t>
      </w:r>
      <w:r>
        <w:t xml:space="preserve">verification that can be checked on a real model with a real verifier (§6). We</w:t>
      </w:r>
      <w:r>
        <w:t xml:space="preserve"> </w:t>
      </w:r>
      <w:r>
        <w:t xml:space="preserve">know of no prior work that uses the comparison of experiments to choose a language model’s context</w:t>
      </w:r>
      <w:r>
        <w:t xml:space="preserve"> </w:t>
      </w:r>
      <w:r>
        <w:t xml:space="preserve">at inference time.</w:t>
      </w:r>
    </w:p>
    <w:bookmarkEnd w:id="19"/>
    <w:bookmarkStart w:id="21" w:name="sec:related-scalar"/>
    <w:p>
      <w:pPr>
        <w:pStyle w:val="Heading2"/>
      </w:pPr>
      <w:r>
        <w:t xml:space="preserve">Scalar selection and its limits in information retrieval</w:t>
      </w:r>
    </w:p>
    <w:p>
      <w:pPr>
        <w:pStyle w:val="FirstParagraph"/>
      </w:pPr>
      <w:bookmarkStart w:id="20" w:name="sec:related-ir"/>
      <w:bookmarkEnd w:id="20"/>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w:t>
      </w:r>
      <w:hyperlink w:anchor="ref-rankrag2024">
        <w:r>
          <w:rPr>
            <w:rStyle w:val="Hyperlink"/>
          </w:rPr>
          <w:t xml:space="preserve">Yu et al. 2024</w:t>
        </w:r>
      </w:hyperlink>
      <w:r>
        <w:t xml:space="preserve">)</w:t>
      </w:r>
      <w:r>
        <w:t xml:space="preserve">;</w:t>
      </w:r>
      <w:r>
        <w:t xml:space="preserve"> </w:t>
      </w: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r>
        <w:t xml:space="preserve"> </w:t>
      </w:r>
      <w:hyperlink w:anchor="ref-cale2025">
        <w:r>
          <w:rPr>
            <w:rStyle w:val="Hyperlink"/>
          </w:rPr>
          <w:t xml:space="preserve">Yuan et al. 2025</w:t>
        </w:r>
      </w:hyperlink>
      <w:r>
        <w:t xml:space="preserve">)</w:t>
      </w:r>
      <w:r>
        <w:t xml:space="preserve">; expected information gain and Bayesian</w:t>
      </w:r>
      <w:r>
        <w:t xml:space="preserve"> </w:t>
      </w:r>
      <w:r>
        <w:t xml:space="preserve">experimental design </w:t>
      </w:r>
      <w:r>
        <w:t xml:space="preserve">(</w:t>
      </w:r>
      <w:hyperlink w:anchor="ref-bedllm2026">
        <w:r>
          <w:rPr>
            <w:rStyle w:val="Hyperlink"/>
          </w:rPr>
          <w:t xml:space="preserve">Choudhury et al. 2025</w:t>
        </w:r>
      </w:hyperlink>
      <w:r>
        <w:t xml:space="preserve">;</w:t>
      </w:r>
      <w:r>
        <w:t xml:space="preserve"> </w:t>
      </w:r>
      <w:hyperlink w:anchor="ref-conformalip2025">
        <w:r>
          <w:rPr>
            <w:rStyle w:val="Hyperlink"/>
          </w:rPr>
          <w:t xml:space="preserve">Chan et al. 2025</w:t>
        </w:r>
      </w:hyperlink>
      <w:r>
        <w:t xml:space="preserve">)</w:t>
      </w:r>
      <w:r>
        <w:t xml:space="preserve">; game-theoretic and influence-based</w:t>
      </w:r>
      <w:r>
        <w:t xml:space="preserve"> </w:t>
      </w:r>
      <w:r>
        <w:t xml:space="preserve">demonstration valuation </w:t>
      </w:r>
      <w:r>
        <w:t xml:space="preserve">(</w:t>
      </w:r>
      <w:hyperlink w:anchor="ref-demoshapley2024">
        <w:r>
          <w:rPr>
            <w:rStyle w:val="Hyperlink"/>
          </w:rPr>
          <w:t xml:space="preserve">Xie et al. 2024</w:t>
        </w:r>
      </w:hyperlink>
      <w:r>
        <w:t xml:space="preserve">;</w:t>
      </w:r>
      <w:r>
        <w:t xml:space="preserve"> </w:t>
      </w:r>
      <w:hyperlink w:anchor="ref-inficl2024">
        <w:r>
          <w:rPr>
            <w:rStyle w:val="Hyperlink"/>
          </w:rPr>
          <w:t xml:space="preserve">Vinay et al. 2024</w:t>
        </w:r>
      </w:hyperlink>
      <w:r>
        <w:t xml:space="preserve">)</w:t>
      </w:r>
      <w:r>
        <w:t xml:space="preserve">; and binary sufficient-context</w:t>
      </w:r>
      <w:r>
        <w:t xml:space="preserve"> </w:t>
      </w:r>
      <w:r>
        <w:t xml:space="preserve">detection </w:t>
      </w:r>
      <w:r>
        <w:t xml:space="preserve">(</w:t>
      </w:r>
      <w:hyperlink w:anchor="ref-sufficientcontext2024">
        <w:r>
          <w:rPr>
            <w:rStyle w:val="Hyperlink"/>
          </w:rPr>
          <w:t xml:space="preserve">Joren et al. 2024</w:t>
        </w:r>
      </w:hyperlink>
      <w:r>
        <w:t xml:space="preserve">)</w:t>
      </w:r>
      <w:r>
        <w:t xml:space="preserve">. Each collapses the comparison of two sources to one real</w:t>
      </w:r>
      <w:r>
        <w:t xml:space="preserve"> </w:t>
      </w:r>
      <w:r>
        <w:t xml:space="preserve">number and is therefore a scalar of the kind the paper rules out</w:t>
      </w:r>
      <w:r>
        <w:t xml:space="preserve"> </w:t>
      </w:r>
      <w:r>
        <w:t xml:space="preserve">(Theorem 2 for query-independent scores,</w:t>
      </w:r>
      <w:r>
        <w:t xml:space="preserve"> </w:t>
      </w:r>
      <w:r>
        <w:t xml:space="preserve">Proposition 2 for topical query-conditioned ones): not a</w:t>
      </w:r>
      <w:r>
        <w:t xml:space="preserve"> </w:t>
      </w:r>
      <w:r>
        <w:t xml:space="preserve">competitor to out-perform but an instance of the excluded class (we prove</w:t>
      </w:r>
      <w:r>
        <w:t xml:space="preserve"> </w:t>
      </w:r>
      <w:r>
        <w:t xml:space="preserve">Blackwell-monotonicity for the closest neighbour,</w:t>
      </w:r>
      <w:r>
        <w:t xml:space="preserve"> </w:t>
      </w:r>
      <m:oMath>
        <m:r>
          <m:rPr>
            <m:scr m:val="script"/>
            <m:sty m:val="p"/>
          </m:rPr>
          <m:t>V</m:t>
        </m:r>
      </m:oMath>
      <w:r>
        <w:t xml:space="preserve">-usable information, in</w:t>
      </w:r>
      <w:r>
        <w:t xml:space="preserve"> </w:t>
      </w:r>
      <w:r>
        <w:t xml:space="preserve">Proposition 1, and conjecture it for the rest). Two families sit at the</w:t>
      </w:r>
      <w:r>
        <w:t xml:space="preserve"> </w:t>
      </w:r>
      <w:r>
        <w:t xml:space="preserve">boundary of the class. Listwise LLM rerankers </w:t>
      </w:r>
      <w:r>
        <w:t xml:space="preserve">(</w:t>
      </w:r>
      <w:hyperlink w:anchor="ref-sun2023rankgpt">
        <w:r>
          <w:rPr>
            <w:rStyle w:val="Hyperlink"/>
          </w:rPr>
          <w:t xml:space="preserve">Sun et al. 2023</w:t>
        </w:r>
      </w:hyperlink>
      <w:r>
        <w:t xml:space="preserve">)</w:t>
      </w:r>
      <w:r>
        <w:t xml:space="preserve"> </w:t>
      </w:r>
      <w:r>
        <w:t xml:space="preserve">are query-conditioned</w:t>
      </w:r>
      <w:r>
        <w:t xml:space="preserve"> </w:t>
      </w:r>
      <w:r>
        <w:rPr>
          <w:i/>
          <w:iCs/>
        </w:rPr>
        <w:t xml:space="preserve">set</w:t>
      </w:r>
      <w:r>
        <w:t xml:space="preserve"> </w:t>
      </w:r>
      <w:r>
        <w:t xml:space="preserve">functions, outside the theorem’s scope, though they carry no dominance guarantee of any</w:t>
      </w:r>
      <w:r>
        <w:t xml:space="preserve"> </w:t>
      </w:r>
      <w:r>
        <w:t xml:space="preserve">kind; and diversity-aware selection, from MMR </w:t>
      </w:r>
      <w:r>
        <w:t xml:space="preserve">(</w:t>
      </w:r>
      <w:hyperlink w:anchor="ref-carbonell1998">
        <w:r>
          <w:rPr>
            <w:rStyle w:val="Hyperlink"/>
          </w:rPr>
          <w:t xml:space="preserve">Carbonell and Goldstein 1998</w:t>
        </w:r>
      </w:hyperlink>
      <w:r>
        <w:t xml:space="preserve">)</w:t>
      </w:r>
      <w:r>
        <w:t xml:space="preserve"> </w:t>
      </w:r>
      <w:r>
        <w:t xml:space="preserve">to</w:t>
      </w:r>
      <w:r>
        <w:t xml:space="preserve"> </w:t>
      </w:r>
      <w:r>
        <w:t xml:space="preserve">DPPs </w:t>
      </w:r>
      <w:r>
        <w:t xml:space="preserve">(</w:t>
      </w:r>
      <w:hyperlink w:anchor="ref-ye2023ceil">
        <w:r>
          <w:rPr>
            <w:rStyle w:val="Hyperlink"/>
          </w:rPr>
          <w:t xml:space="preserve">Ye et al. 2023</w:t>
        </w:r>
      </w:hyperlink>
      <w:r>
        <w:t xml:space="preserve">)</w:t>
      </w:r>
      <w:r>
        <w:t xml:space="preserve"> </w:t>
      </w:r>
      <w:r>
        <w:t xml:space="preserve">and submodular coverage </w:t>
      </w:r>
      <w:r>
        <w:t xml:space="preserve">(</w:t>
      </w:r>
      <w:hyperlink w:anchor="ref-huang2025gammacover">
        <w:r>
          <w:rPr>
            <w:rStyle w:val="Hyperlink"/>
          </w:rPr>
          <w:t xml:space="preserve">Huang 2025</w:t>
        </w:r>
      </w:hyperlink>
      <w:r>
        <w:t xml:space="preserve">)</w:t>
      </w:r>
      <w:r>
        <w:t xml:space="preserve">, optimizes set</w:t>
      </w:r>
      <w:r>
        <w:t xml:space="preserve"> </w:t>
      </w:r>
      <w:r>
        <w:t xml:space="preserve">objectives over embedding geometry, whose partial-order-grounded analogue (verified coverage of</w:t>
      </w:r>
      <w:r>
        <w:t xml:space="preserve"> </w:t>
      </w:r>
      <w:r>
        <w:t xml:space="preserve">latent coordinates) we develop in a companion paper.</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w:t>
      </w:r>
      <w:hyperlink w:anchor="ref-robertson1977">
        <w:r>
          <w:rPr>
            <w:rStyle w:val="Hyperlink"/>
          </w:rPr>
          <w:t xml:space="preserve">Robertson 1977</w:t>
        </w:r>
      </w:hyperlink>
      <w:r>
        <w:t xml:space="preserve">)</w:t>
      </w:r>
      <w:r>
        <w:t xml:space="preserve"> </w:t>
      </w:r>
      <w:r>
        <w:t xml:space="preserve">is optimal only under an independence assumption, its failure once</w:t>
      </w:r>
      <w:r>
        <w:t xml:space="preserve"> </w:t>
      </w:r>
      <w:r>
        <w:t xml:space="preserve">documents interact is long documented </w:t>
      </w:r>
      <w:r>
        <w:t xml:space="preserve">(</w:t>
      </w:r>
      <w:hyperlink w:anchor="ref-fuhr2008">
        <w:r>
          <w:rPr>
            <w:rStyle w:val="Hyperlink"/>
          </w:rPr>
          <w:t xml:space="preserve">Fuhr 2008</w:t>
        </w:r>
      </w:hyperlink>
      <w:r>
        <w:t xml:space="preserve">;</w:t>
      </w:r>
      <w:r>
        <w:t xml:space="preserve"> </w:t>
      </w:r>
      <w:hyperlink w:anchor="ref-carbonell1998">
        <w:r>
          <w:rPr>
            <w:rStyle w:val="Hyperlink"/>
          </w:rPr>
          <w:t xml:space="preserve">Carbonell and Goldstein 1998</w:t>
        </w:r>
      </w:hyperlink>
      <w:r>
        <w:t xml:space="preserve">)</w:t>
      </w:r>
      <w:r>
        <w:t xml:space="preserve">, and the LLM-era version,</w:t>
      </w:r>
      <w:r>
        <w:t xml:space="preserve"> </w:t>
      </w:r>
      <w:r>
        <w:t xml:space="preserve">relevance-maximizing retrieval degrading answer quality, is measured</w:t>
      </w:r>
      <w:r>
        <w:t xml:space="preserve"> </w:t>
      </w:r>
      <w:r>
        <w:t xml:space="preserve">directly </w:t>
      </w:r>
      <w:r>
        <w:t xml:space="preserve">(</w:t>
      </w:r>
      <w:hyperlink w:anchor="ref-relevanceutility2025">
        <w:r>
          <w:rPr>
            <w:rStyle w:val="Hyperlink"/>
          </w:rPr>
          <w:t xml:space="preserve">LeVine and Varjavand 2025</w:t>
        </w:r>
      </w:hyperlink>
      <w:r>
        <w:t xml:space="preserve">;</w:t>
      </w:r>
      <w:r>
        <w:t xml:space="preserve"> </w:t>
      </w:r>
      <w:hyperlink w:anchor="ref-sureRAG2026">
        <w:r>
          <w:rPr>
            <w:rStyle w:val="Hyperlink"/>
          </w:rPr>
          <w:t xml:space="preserve">Qiu et al. 2026</w:t>
        </w:r>
      </w:hyperlink>
      <w:r>
        <w:t xml:space="preserve">)</w:t>
      </w:r>
      <w:r>
        <w:t xml:space="preserve">. Our delta is the</w:t>
      </w:r>
      <w:r>
        <w:t xml:space="preserve"> </w:t>
      </w:r>
      <w:r>
        <w:rPr>
          <w:i/>
          <w:iCs/>
        </w:rPr>
        <w:t xml:space="preserve">form</w:t>
      </w:r>
      <w:r>
        <w:t xml:space="preserve"> </w:t>
      </w:r>
      <w:r>
        <w:t xml:space="preserve">of the statement:</w:t>
      </w:r>
      <w:r>
        <w:t xml:space="preserve"> </w:t>
      </w:r>
      <w:r>
        <w:t xml:space="preserve">the failure becomes a theorem in the comparison-of-experiments frame, with the precise structural</w:t>
      </w:r>
      <w:r>
        <w:t xml:space="preserve"> </w:t>
      </w:r>
      <w:r>
        <w:t xml:space="preserve">condition, Blackwell incomparability, under which every query-independent scalar must mis-rank,</w:t>
      </w:r>
      <w:r>
        <w:t xml:space="preserve"> </w:t>
      </w:r>
      <w:r>
        <w:t xml:space="preserve">and a verified live instance on six production models.</w:t>
      </w:r>
    </w:p>
    <w:bookmarkEnd w:id="21"/>
    <w:bookmarkStart w:id="22"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w:t>
      </w:r>
      <w:hyperlink w:anchor="ref-shi2023distracted">
        <w:r>
          <w:rPr>
            <w:rStyle w:val="Hyperlink"/>
          </w:rPr>
          <w:t xml:space="preserve">F. Shi et al. 2023</w:t>
        </w:r>
      </w:hyperlink>
      <w:r>
        <w:t xml:space="preserve">)</w:t>
      </w:r>
      <w:r>
        <w:t xml:space="preserve">; position matters </w:t>
      </w:r>
      <w:r>
        <w:t xml:space="preserve">(</w:t>
      </w:r>
      <w:hyperlink w:anchor="ref-liu2024lost">
        <w:r>
          <w:rPr>
            <w:rStyle w:val="Hyperlink"/>
          </w:rPr>
          <w:t xml:space="preserve">Liu et al. 2024</w:t>
        </w:r>
      </w:hyperlink>
      <w:r>
        <w:t xml:space="preserve">)</w:t>
      </w:r>
      <w:r>
        <w:t xml:space="preserve">;</w:t>
      </w:r>
      <w:r>
        <w:t xml:space="preserve"> </w:t>
      </w:r>
      <w:r>
        <w:t xml:space="preserve">high-scoring distractors hurt while random noise can help </w:t>
      </w:r>
      <w:r>
        <w:t xml:space="preserve">(</w:t>
      </w:r>
      <w:hyperlink w:anchor="ref-cuconasu2024noise">
        <w:r>
          <w:rPr>
            <w:rStyle w:val="Hyperlink"/>
          </w:rPr>
          <w:t xml:space="preserve">Cuconasu et al. 2024</w:t>
        </w:r>
      </w:hyperlink>
      <w:r>
        <w:t xml:space="preserve">)</w:t>
      </w:r>
      <w:r>
        <w:t xml:space="preserve">; retrieval</w:t>
      </w:r>
      <w:r>
        <w:t xml:space="preserve"> </w:t>
      </w:r>
      <w:r>
        <w:t xml:space="preserve">curves are inverted-U in passage count </w:t>
      </w:r>
      <w:r>
        <w:t xml:space="preserve">(</w:t>
      </w:r>
      <w:hyperlink w:anchor="ref-jin2024longrag">
        <w:r>
          <w:rPr>
            <w:rStyle w:val="Hyperlink"/>
          </w:rPr>
          <w:t xml:space="preserve">Jin et al. 2024</w:t>
        </w:r>
      </w:hyperlink>
      <w:r>
        <w:t xml:space="preserve">)</w:t>
      </w:r>
      <w:r>
        <w:t xml:space="preserve">; document count hurts at fixed</w:t>
      </w:r>
      <w:r>
        <w:t xml:space="preserve"> </w:t>
      </w:r>
      <w:r>
        <w:t xml:space="preserve">length </w:t>
      </w:r>
      <w:r>
        <w:t xml:space="preserve">(</w:t>
      </w:r>
      <w:hyperlink w:anchor="ref-levy2025moredocs">
        <w:r>
          <w:rPr>
            <w:rStyle w:val="Hyperlink"/>
          </w:rPr>
          <w:t xml:space="preserve">Levy et al. 2025</w:t>
        </w:r>
      </w:hyperlink>
      <w:r>
        <w:t xml:space="preserve">)</w:t>
      </w:r>
      <w:r>
        <w:t xml:space="preserve">; added length alone hurts </w:t>
      </w:r>
      <w:r>
        <w:t xml:space="preserve">(</w:t>
      </w:r>
      <w:hyperlink w:anchor="ref-contexthurts2025">
        <w:r>
          <w:rPr>
            <w:rStyle w:val="Hyperlink"/>
          </w:rPr>
          <w:t xml:space="preserve">Du et al. 2025</w:t>
        </w:r>
      </w:hyperlink>
      <w:r>
        <w:t xml:space="preserve">)</w:t>
      </w:r>
      <w:r>
        <w:t xml:space="preserve">; and the effect</w:t>
      </w:r>
      <w:r>
        <w:t xml:space="preserve"> </w:t>
      </w:r>
      <w:r>
        <w:t xml:space="preserve">persists across model generations </w:t>
      </w:r>
      <w:r>
        <w:t xml:space="preserve">(</w:t>
      </w:r>
      <w:hyperlink w:anchor="ref-hong2025contextrot">
        <w:r>
          <w:rPr>
            <w:rStyle w:val="Hyperlink"/>
          </w:rPr>
          <w:t xml:space="preserve">Hong et al. 2025</w:t>
        </w:r>
      </w:hyperlink>
      <w:r>
        <w:t xml:space="preserve">)</w:t>
      </w:r>
      <w:r>
        <w:t xml:space="preserve"> </w:t>
      </w:r>
      <w:r>
        <w:t xml:space="preserve">and agent-scaffold</w:t>
      </w:r>
      <w:r>
        <w:t xml:space="preserve"> </w:t>
      </w:r>
      <w:r>
        <w:t xml:space="preserve">components </w:t>
      </w:r>
      <w:r>
        <w:t xml:space="preserve">(</w:t>
      </w:r>
      <w:hyperlink w:anchor="ref-longcontextdegrade2026">
        <w:r>
          <w:rPr>
            <w:rStyle w:val="Hyperlink"/>
          </w:rPr>
          <w:t xml:space="preserve">Liu 2026</w:t>
        </w:r>
      </w:hyperlink>
      <w:r>
        <w:t xml:space="preserve">)</w:t>
      </w:r>
      <w:r>
        <w:t xml:space="preserve">. We do not claim to discover this genus. Our</w:t>
      </w:r>
      <w:r>
        <w:t xml:space="preserve"> </w:t>
      </w:r>
      <w:r>
        <w:t xml:space="preserve">anti-monotonicity finding contributes its order-theoretic form: a strict</w:t>
      </w:r>
      <w:r>
        <w:t xml:space="preserve"> </w:t>
      </w:r>
      <w:r>
        <w:rPr>
          <w:i/>
          <w:iCs/>
        </w:rPr>
        <w:t xml:space="preserve">superset</w:t>
      </w:r>
      <w:r>
        <w:t xml:space="preserve"> </w:t>
      </w:r>
      <w:r>
        <w:t xml:space="preserve">of a</w:t>
      </w:r>
      <w:r>
        <w:t xml:space="preserve"> </w:t>
      </w:r>
      <w:r>
        <w:t xml:space="preserve">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interference verification with position, length, and routing controls; the</w:t>
      </w:r>
      <w:r>
        <w:t xml:space="preserve"> </w:t>
      </w:r>
      <w:r>
        <w:t xml:space="preserve">algebraic object</w:t>
      </w:r>
      <w:r>
        <w:t xml:space="preserve"> </w:t>
      </w:r>
      <m:oMath>
        <m:sSub>
          <m:e>
            <m:r>
              <m:rPr>
                <m:sty m:val="p"/>
              </m:rPr>
              <m:t>Ψ</m:t>
            </m:r>
          </m:e>
          <m:sub>
            <m:r>
              <m:t>T</m:t>
            </m:r>
          </m:sub>
        </m:sSub>
        <m:r>
          <m:rPr>
            <m:sty m:val="p"/>
          </m:rPr>
          <m:t>&lt;</m:t>
        </m:r>
        <m:r>
          <m:t>0</m:t>
        </m:r>
      </m:oMath>
      <w:r>
        <w:t xml:space="preserve"> </w:t>
      </w:r>
      <w:r>
        <w:t xml:space="preserve">is one no monotone-submodular context-value scalar can carry.</w:t>
      </w:r>
      <w:r>
        <w:t xml:space="preserve"> </w:t>
      </w:r>
      <w:r>
        <w:t xml:space="preserve">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w:t>
      </w:r>
      <w:hyperlink w:anchor="ref-paretoprompts2025">
        <w:r>
          <w:rPr>
            <w:rStyle w:val="Hyperlink"/>
          </w:rPr>
          <w:t xml:space="preserve">Zhao et al. 2025</w:t>
        </w:r>
      </w:hyperlink>
      <w:r>
        <w:t xml:space="preserve">)</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22"/>
    <w:bookmarkStart w:id="25" w:name="sec:related-deficiency"/>
    <w:p>
      <w:pPr>
        <w:pStyle w:val="Heading2"/>
      </w:pPr>
      <w:r>
        <w:t xml:space="preserve">The comparison of experiments in machine learning</w:t>
      </w:r>
    </w:p>
    <w:p>
      <w:pPr>
        <w:pStyle w:val="FirstParagraph"/>
      </w:pPr>
      <w:bookmarkStart w:id="23" w:name="sec:related-llmrep"/>
      <w:bookmarkEnd w:id="23"/>
      <w:bookmarkStart w:id="24" w:name="sec:related-foundations"/>
      <w:bookmarkEnd w:id="24"/>
    </w:p>
    <w:p>
      <w:pPr>
        <w:pStyle w:val="BodyText"/>
      </w:pPr>
      <w:r>
        <w:t xml:space="preserve">The Blackwell–Le Cam apparatus has entered machine learning, but never for inference-time</w:t>
      </w:r>
      <w:r>
        <w:t xml:space="preserve"> </w:t>
      </w:r>
      <w:r>
        <w:t xml:space="preserve">context. The closest work is training-</w:t>
      </w:r>
      <w:r>
        <w:rPr>
          <w:i/>
          <w:iCs/>
        </w:rPr>
        <w:t xml:space="preserve">dataset</w:t>
      </w:r>
      <w:r>
        <w:t xml:space="preserve"> </w:t>
      </w:r>
      <w:r>
        <w:t xml:space="preserve">valuation:</w:t>
      </w:r>
      <w:r>
        <w:t xml:space="preserve"> </w:t>
      </w:r>
      <w:r>
        <w:t xml:space="preserve">Zheng et al. (</w:t>
      </w:r>
      <w:hyperlink w:anchor="ref-zheng2024pmi">
        <w:r>
          <w:rPr>
            <w:rStyle w:val="Hyperlink"/>
          </w:rPr>
          <w:t xml:space="preserve">2024</w:t>
        </w:r>
      </w:hyperlink>
      <w:r>
        <w:t xml:space="preserve">)</w:t>
      </w:r>
      <w:r>
        <w:t xml:space="preserve"> </w:t>
      </w:r>
      <w:r>
        <w:t xml:space="preserve">rank datasets</w:t>
      </w:r>
      <w:r>
        <w:t xml:space="preserve"> </w:t>
      </w:r>
      <w:r>
        <w:t xml:space="preserve">by Blackwell informativeness and show a pointwise-mutual-information</w:t>
      </w:r>
      <w:r>
        <w:t xml:space="preserve"> </w:t>
      </w:r>
      <w:r>
        <w:rPr>
          <w:i/>
          <w:iCs/>
        </w:rPr>
        <w:t xml:space="preserve">scalar</w:t>
      </w:r>
      <w:r>
        <w:t xml:space="preserve"> </w:t>
      </w:r>
      <w:r>
        <w:t xml:space="preserve">suffices in their</w:t>
      </w:r>
      <w:r>
        <w:t xml:space="preserve"> </w:t>
      </w:r>
      <w:r>
        <w:t xml:space="preserve">Bayes-optimal, white-box regime, the opposite of our finding that no query-independent scalar can</w:t>
      </w:r>
      <w:r>
        <w:t xml:space="preserve"> </w:t>
      </w:r>
      <w:r>
        <w:t xml:space="preserve">be faithful once the order is partial (Theorem 2). Nearby uses stop short of</w:t>
      </w:r>
      <w:r>
        <w:t xml:space="preserve"> </w:t>
      </w:r>
      <w:r>
        <w:t xml:space="preserve">what we do: garbling to harden LLM evaluations </w:t>
      </w:r>
      <w:r>
        <w:t xml:space="preserve">(</w:t>
      </w:r>
      <w:hyperlink w:anchor="ref-bradley2024garbling">
        <w:r>
          <w:rPr>
            <w:rStyle w:val="Hyperlink"/>
          </w:rPr>
          <w:t xml:space="preserve">Bradley 2024</w:t>
        </w:r>
      </w:hyperlink>
      <w:r>
        <w:t xml:space="preserve">)</w:t>
      </w:r>
      <w:r>
        <w:t xml:space="preserve">, statistical deficiency</w:t>
      </w:r>
      <w:r>
        <w:t xml:space="preserve"> </w:t>
      </w:r>
      <w:r>
        <w:t xml:space="preserve">to order training</w:t>
      </w:r>
      <w:r>
        <w:t xml:space="preserve"> </w:t>
      </w:r>
      <w:r>
        <w:rPr>
          <w:i/>
          <w:iCs/>
        </w:rPr>
        <w:t xml:space="preserve">tasks</w:t>
      </w:r>
      <w:r>
        <w:t xml:space="preserve"> </w:t>
      </w:r>
      <w:r>
        <w:t xml:space="preserve">(</w:t>
      </w:r>
      <w:hyperlink w:anchor="ref-fosse2025">
        <w:r>
          <w:rPr>
            <w:rStyle w:val="Hyperlink"/>
          </w:rPr>
          <w:t xml:space="preserve">Fosse et al. 2025</w:t>
        </w:r>
      </w:hyperlink>
      <w:r>
        <w:t xml:space="preserve">)</w:t>
      </w:r>
      <w:r>
        <w:t xml:space="preserve">, a deficiency-induced</w:t>
      </w:r>
      <w:r>
        <w:t xml:space="preserve"> </w:t>
      </w:r>
      <w:r>
        <w:rPr>
          <w:i/>
          <w:iCs/>
        </w:rPr>
        <w:t xml:space="preserve">directional</w:t>
      </w:r>
      <w:r>
        <w:t xml:space="preserve"> </w:t>
      </w:r>
      <w:r>
        <w:t xml:space="preserve">dominance</w:t>
      </w:r>
      <w:r>
        <w:t xml:space="preserve"> </w:t>
      </w:r>
      <w:r>
        <w:t xml:space="preserve">in transfer learning (no incomparability, no distribution-free bound, outside language</w:t>
      </w:r>
      <w:r>
        <w:t xml:space="preserve"> </w:t>
      </w:r>
      <w:r>
        <w:t xml:space="preserve">modeling) </w:t>
      </w:r>
      <w:r>
        <w:t xml:space="preserve">(</w:t>
      </w:r>
      <w:hyperlink w:anchor="ref-akdemir2025">
        <w:r>
          <w:rPr>
            <w:rStyle w:val="Hyperlink"/>
          </w:rPr>
          <w:t xml:space="preserve">Akdemir 2025</w:t>
        </w:r>
      </w:hyperlink>
      <w:r>
        <w:t xml:space="preserve">)</w:t>
      </w:r>
      <w:r>
        <w:t xml:space="preserve">, comparison-of-experiments ideas in loss</w:t>
      </w:r>
      <w:r>
        <w:t xml:space="preserve"> </w:t>
      </w:r>
      <w:r>
        <w:t xml:space="preserve">design </w:t>
      </w:r>
      <w:r>
        <w:t xml:space="preserve">(</w:t>
      </w:r>
      <w:hyperlink w:anchor="ref-vanrooyen2014">
        <w:r>
          <w:rPr>
            <w:rStyle w:val="Hyperlink"/>
          </w:rPr>
          <w:t xml:space="preserve">Rooyen and Williamson 2014</w:t>
        </w:r>
      </w:hyperlink>
      <w:r>
        <w:t xml:space="preserve">)</w:t>
      </w:r>
      <w:r>
        <w:t xml:space="preserve">, and a survey of Blackwell’s theorems for AI </w:t>
      </w:r>
      <w:r>
        <w:t xml:space="preserve">(</w:t>
      </w:r>
      <w:hyperlink w:anchor="ref-blackwellrep2026">
        <w:r>
          <w:rPr>
            <w:rStyle w:val="Hyperlink"/>
          </w:rPr>
          <w:t xml:space="preserve">Paxton 2026</w:t>
        </w:r>
      </w:hyperlink>
      <w:r>
        <w:t xml:space="preserve">)</w:t>
      </w:r>
      <w:r>
        <w:t xml:space="preserve">.</w:t>
      </w:r>
      <w:r>
        <w:t xml:space="preserve"> </w:t>
      </w:r>
      <w:r>
        <w:t xml:space="preserve">To our knowledge none states a Blackwell partial order over context sources, derives the</w:t>
      </w:r>
      <w:r>
        <w:t xml:space="preserve"> </w:t>
      </w:r>
      <w:r>
        <w:t xml:space="preserve">no-scalar-ranks consequence for language models, or supplies a verified decision-restricted</w:t>
      </w:r>
      <w:r>
        <w:t xml:space="preserve"> </w:t>
      </w:r>
      <w:r>
        <w:t xml:space="preserve">estimator, the three new pieces here.</w:t>
      </w:r>
    </w:p>
    <w:bookmarkEnd w:id="25"/>
    <w:bookmarkStart w:id="27" w:name="sec:related-designspace"/>
    <w:p>
      <w:pPr>
        <w:pStyle w:val="Heading2"/>
      </w:pPr>
      <w:r>
        <w:t xml:space="preserve">The design space: no cheap method represents the partial order</w:t>
      </w:r>
    </w:p>
    <w:p>
      <w:pPr>
        <w:pStyle w:val="FirstParagraph"/>
      </w:pPr>
      <w:r>
        <w:t xml:space="preserve">Table 2 places the methods above on three axes: whether the method is</w:t>
      </w:r>
      <w:r>
        <w:t xml:space="preserve"> </w:t>
      </w:r>
      <w:r>
        <w:rPr>
          <w:i/>
          <w:iCs/>
        </w:rPr>
        <w:t xml:space="preserve">cheap</w:t>
      </w:r>
      <w:r>
        <w:t xml:space="preserve"> </w:t>
      </w:r>
      <w:r>
        <w:t xml:space="preserve">(precomputable, or amortizable to a near-retrieval query-time cost), whether it models</w:t>
      </w:r>
      <w:r>
        <w:t xml:space="preserve"> </w:t>
      </w:r>
      <w:r>
        <w:rPr>
          <w:i/>
          <w:iCs/>
        </w:rPr>
        <w:t xml:space="preserve">interaction between sources</w:t>
      </w:r>
      <w:r>
        <w:t xml:space="preserve"> </w:t>
      </w:r>
      <w:r>
        <w:t xml:space="preserve">rather than scoring each in isolation, and whether it can</w:t>
      </w:r>
      <w:r>
        <w:t xml:space="preserve"> </w:t>
      </w:r>
      <w:r>
        <w:t xml:space="preserve">represent</w:t>
      </w:r>
      <w:r>
        <w:t xml:space="preserve"> </w:t>
      </w:r>
      <w:r>
        <w:rPr>
          <w:i/>
          <w:iCs/>
        </w:rPr>
        <w:t xml:space="preserve">incomparability</w:t>
      </w:r>
      <w:r>
        <w:t xml:space="preserve">. The pattern is uniform, and it is why we frame the problem as we</w:t>
      </w:r>
      <w:r>
        <w:t xml:space="preserve"> </w:t>
      </w:r>
      <w:r>
        <w:t xml:space="preserve">do. Every method cheap enough to run at retrieval scale emits a final scalar and therefore lives in</w:t>
      </w:r>
      <w:r>
        <w:t xml:space="preserve"> </w:t>
      </w:r>
      <w:r>
        <w:t xml:space="preserve">a total order, including multi-vector late interaction </w:t>
      </w:r>
      <w:r>
        <w:t xml:space="preserve">(</w:t>
      </w:r>
      <w:hyperlink w:anchor="ref-khattab2020colbert">
        <w:r>
          <w:rPr>
            <w:rStyle w:val="Hyperlink"/>
          </w:rPr>
          <w:t xml:space="preserve">Khattab and Zaharia 2020</w:t>
        </w:r>
      </w:hyperlink>
      <w:r>
        <w:t xml:space="preserve">)</w:t>
      </w:r>
      <w:r>
        <w:t xml:space="preserve">, whose per-token</w:t>
      </w:r>
      <w:r>
        <w:t xml:space="preserve"> </w:t>
      </w:r>
      <w:r>
        <w:t xml:space="preserve">match is query-dependent but still collapses to one document score, and retrievers trained on the</w:t>
      </w:r>
      <w:r>
        <w:t xml:space="preserve"> </w:t>
      </w:r>
      <w:r>
        <w:t xml:space="preserve">language model’s own likelihood </w:t>
      </w:r>
      <w:r>
        <w:t xml:space="preserve">(</w:t>
      </w:r>
      <w:hyperlink w:anchor="ref-shi2023replug">
        <w:r>
          <w:rPr>
            <w:rStyle w:val="Hyperlink"/>
          </w:rPr>
          <w:t xml:space="preserve">W. Shi et al. 2023</w:t>
        </w:r>
      </w:hyperlink>
      <w:r>
        <w:t xml:space="preserve">;</w:t>
      </w:r>
      <w:r>
        <w:t xml:space="preserve"> </w:t>
      </w:r>
      <w:hyperlink w:anchor="ref-guu2020realm">
        <w:r>
          <w:rPr>
            <w:rStyle w:val="Hyperlink"/>
          </w:rPr>
          <w:t xml:space="preserve">Guu et al. 2020</w:t>
        </w:r>
      </w:hyperlink>
      <w:r>
        <w:t xml:space="preserve">)</w:t>
      </w:r>
      <w:r>
        <w:t xml:space="preserve">, which amortize</w:t>
      </w:r>
      <w:r>
        <w:t xml:space="preserve"> </w:t>
      </w:r>
      <w:r>
        <w:t xml:space="preserve">“value to the</w:t>
      </w:r>
      <w:r>
        <w:t xml:space="preserve"> </w:t>
      </w:r>
      <w:r>
        <w:t xml:space="preserve">model”</w:t>
      </w:r>
      <w:r>
        <w:t xml:space="preserve"> </w:t>
      </w:r>
      <w:r>
        <w:t xml:space="preserve">into a</w:t>
      </w:r>
      <w:r>
        <w:t xml:space="preserve"> </w:t>
      </w:r>
      <w:r>
        <w:rPr>
          <w:i/>
          <w:iCs/>
        </w:rPr>
        <w:t xml:space="preserve">number</w:t>
      </w:r>
      <w:r>
        <w:t xml:space="preserve"> </w:t>
      </w:r>
      <w:r>
        <w:t xml:space="preserve">rather than the non-domination relation and so inherit the limitation</w:t>
      </w:r>
      <w:r>
        <w:t xml:space="preserve"> </w:t>
      </w:r>
      <w:r>
        <w:t xml:space="preserve">of Theorem 2. Every method that genuinely models interaction is in turn either</w:t>
      </w:r>
      <w:r>
        <w:t xml:space="preserve"> </w:t>
      </w:r>
      <w:r>
        <w:t xml:space="preserve">symmetric redundancy over embedding geometry (MMR, DPPs, submodular coverage), carries no dominance</w:t>
      </w:r>
      <w:r>
        <w:t xml:space="preserve"> </w:t>
      </w:r>
      <w:r>
        <w:t xml:space="preserve">guarantee (listwise rerankers), or is as costly as direct probing (Shapley valuation, expected</w:t>
      </w:r>
      <w:r>
        <w:t xml:space="preserve"> </w:t>
      </w:r>
      <w:r>
        <w:t xml:space="preserve">information gain). No prior row is both cheap and partial-order-faithful; that empty cell is the open</w:t>
      </w:r>
      <w:r>
        <w:t xml:space="preserve"> </w:t>
      </w:r>
      <w:r>
        <w:t xml:space="preserve">problem this paper isolates. We occupy the last row, paying probe cost for the guarantee, and leave</w:t>
      </w:r>
      <w:r>
        <w:t xml:space="preserve"> </w:t>
      </w:r>
      <w:r>
        <w:t xml:space="preserve">its amortization as the central open question.</w:t>
      </w:r>
    </w:p>
    <w:bookmarkStart w:id="26" w:name="tab:designspace"/>
    <w:p>
      <w:pPr>
        <w:pStyle w:val="TableCaption"/>
      </w:pPr>
      <w:r>
        <w:t xml:space="preserve">The design space of context selection.</w:t>
      </w:r>
      <w:r>
        <w:t xml:space="preserve"> </w:t>
      </w:r>
      <w:r>
        <w:t xml:space="preserve"> = yes,</w:t>
      </w:r>
      <w:r>
        <w:t xml:space="preserve"> </w:t>
      </w:r>
      <m:oMath>
        <m:r>
          <m:rPr>
            <m:sty m:val="p"/>
          </m:rPr>
          <m:t>×</m:t>
        </m:r>
      </m:oMath>
      <w:r>
        <w:t xml:space="preserve"> = no,</w:t>
      </w:r>
      <w:r>
        <w:t xml:space="preserve"> </w:t>
      </w:r>
      <m:oMath>
        <m:r>
          <m:rPr>
            <m:sty m:val="p"/>
          </m:rPr>
          <m:t>∼</m:t>
        </m:r>
      </m:oMath>
      <w:r>
        <w:t xml:space="preserve"> = partial.</w:t>
      </w:r>
      <w:r>
        <w:t xml:space="preserve"> </w:t>
      </w:r>
      <m:oMath>
        <m:sSup>
          <m:e>
            <m:r>
              <m:t>​</m:t>
            </m:r>
          </m:e>
          <m:sup>
            <m:r>
              <m:t>a</m:t>
            </m:r>
          </m:sup>
        </m:sSup>
      </m:oMath>
      <w:r>
        <w:t xml:space="preserve">amortized: trained once on the model’s signal, cheap at query time, but still a scalar.</w:t>
      </w:r>
      <w:r>
        <w:t xml:space="preserve"> </w:t>
      </w:r>
      <m:oMath>
        <m:sSup>
          <m:e>
            <m:r>
              <m:t>​</m:t>
            </m:r>
          </m:e>
          <m:sup>
            <m:r>
              <m:t>b</m:t>
            </m:r>
          </m:sup>
        </m:sSup>
      </m:oMath>
      <w:r>
        <w:t xml:space="preserve">symmetric redundancy over embedding geometry, not directional anti-monotonicity.</w:t>
      </w:r>
      <w:r>
        <w:t xml:space="preserve"> </w:t>
      </w:r>
      <m:oMath>
        <m:sSup>
          <m:e>
            <m:r>
              <m:t>​</m:t>
            </m:r>
          </m:e>
          <m:sup>
            <m:r>
              <m:t>c</m:t>
            </m:r>
          </m:sup>
        </m:sSup>
      </m:oMath>
      <w:r>
        <w:t xml:space="preserve">query-conditioned and interaction-aware, but per-query (not precomputable) and with no</w:t>
      </w:r>
      <w:r>
        <w:t xml:space="preserve"> </w:t>
      </w:r>
      <w:r>
        <w:t xml:space="preserve">dominance guarantee. Only the last row represents incomparability, at the cost of direct probing;</w:t>
      </w:r>
      <w:r>
        <w:t xml:space="preserve"> </w:t>
      </w:r>
      <w:r>
        <w:t xml:space="preserve">the</w:t>
      </w:r>
      <w:r>
        <w:t xml:space="preserve"> </w:t>
      </w:r>
      <w:r>
        <w:t xml:space="preserve">“cheap</w:t>
      </w:r>
      <w:r>
        <w:t xml:space="preserve"> </w:t>
      </w:r>
      <w:r>
        <w:rPr>
          <w:i/>
          <w:iCs/>
        </w:rPr>
        <w:t xml:space="preserve">and</w:t>
      </w:r>
      <w:r>
        <w:t xml:space="preserve"> </w:t>
      </w:r>
      <w:r>
        <w:t xml:space="preserve">partial-order-faithful”</w:t>
      </w:r>
      <w:r>
        <w:t xml:space="preserve"> </w:t>
      </w:r>
      <w:r>
        <w:t xml:space="preserve">cell is empty, which is this paper’s central open</w:t>
      </w:r>
      <w:r>
        <w:t xml:space="preserve"> </w:t>
      </w:r>
      <w:r>
        <w:t xml:space="preserve">problem.</w:t>
      </w:r>
    </w:p>
    <w:tbl>
      <w:tblPr>
        <w:tblStyle w:val="Table"/>
        <w:tblW w:type="auto" w:w="0"/>
        <w:tblLook w:firstRow="1" w:lastRow="0" w:firstColumn="0" w:lastColumn="0" w:noHBand="0" w:noVBand="0" w:val="0020"/>
        <w:tblCaption w:val="The design space of context selection.  = yes, \times = no, \sim = partial. ^{a}amortized: trained once on the model’s signal, cheap at query time, but still a scalar. ^{b}symmetric redundancy over embedding geometry, not directional anti-monotonicity. ^{c}query-conditioned and interaction-aware, but per-query (not precomputable) and with no dominance guarantee. Only the last row represents incomparability, at the cost of direct probing; the “cheap and partial-order-faithful” cell is empty, which is this paper’s central open problem."/>
      </w:tblPr>
      <w:tblGrid>
        <w:gridCol w:w="1980"/>
        <w:gridCol w:w="1980"/>
        <w:gridCol w:w="1980"/>
        <w:gridCol w:w="1980"/>
      </w:tblGrid>
      <w:tr>
        <w:trPr>
          <w:tblHeader w:val="on"/>
        </w:trPr>
        <w:tc>
          <w:tcPr/>
          <w:p>
            <w:pPr>
              <w:pStyle w:val="Compact"/>
              <w:jc w:val="left"/>
            </w:pPr>
            <w:r>
              <w:t xml:space="preserve">Method family (representative)</w:t>
            </w:r>
          </w:p>
        </w:tc>
        <w:tc>
          <w:tcPr/>
          <w:p>
            <w:pPr>
              <w:pStyle w:val="Compact"/>
              <w:jc w:val="center"/>
            </w:pPr>
            <w:r>
              <w:t xml:space="preserve">Cheap?</w:t>
            </w:r>
          </w:p>
        </w:tc>
        <w:tc>
          <w:tcPr/>
          <w:p>
            <w:pPr>
              <w:pStyle w:val="Compact"/>
              <w:jc w:val="center"/>
            </w:pPr>
            <w:r>
              <w:t xml:space="preserve">Interaction?</w:t>
            </w:r>
          </w:p>
        </w:tc>
        <w:tc>
          <w:tcPr/>
          <w:p>
            <w:pPr>
              <w:pStyle w:val="Compact"/>
              <w:jc w:val="center"/>
            </w:pPr>
            <w:r>
              <w:t xml:space="preserve">Incomparability?</w:t>
            </w:r>
          </w:p>
        </w:tc>
      </w:tr>
      <w:tr>
        <w:tc>
          <w:tcPr/>
          <w:p>
            <w:pPr>
              <w:pStyle w:val="Compact"/>
              <w:jc w:val="left"/>
            </w:pPr>
            <w:r>
              <w:t xml:space="preserve">Scalar dense / PRP retrieval </w:t>
            </w:r>
            <w:r>
              <w:t xml:space="preserve">(</w:t>
            </w:r>
            <w:hyperlink w:anchor="ref-robertson1977">
              <w:r>
                <w:rPr>
                  <w:rStyle w:val="Hyperlink"/>
                </w:rPr>
                <w:t xml:space="preserve">Robertson 1977</w:t>
              </w:r>
            </w:hyperlink>
            <w:r>
              <w:t xml:space="preserve">)</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Late interaction, multi-vector </w:t>
            </w:r>
            <w:r>
              <w:t xml:space="preserve">(</w:t>
            </w:r>
            <w:hyperlink w:anchor="ref-khattab2020colbert">
              <w:r>
                <w:rPr>
                  <w:rStyle w:val="Hyperlink"/>
                </w:rPr>
                <w:t xml:space="preserve">Khattab and Zaharia 2020</w:t>
              </w:r>
            </w:hyperlink>
            <w:r>
              <w:t xml:space="preserve">)</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LM-supervised retriever </w:t>
            </w:r>
            <w:r>
              <w:t xml:space="preserve">(</w:t>
            </w:r>
            <w:hyperlink w:anchor="ref-shi2023replug">
              <w:r>
                <w:rPr>
                  <w:rStyle w:val="Hyperlink"/>
                </w:rPr>
                <w:t xml:space="preserve">W. Shi et al. 2023</w:t>
              </w:r>
            </w:hyperlink>
            <w:r>
              <w:t xml:space="preserve">;</w:t>
            </w:r>
            <w:r>
              <w:t xml:space="preserve"> </w:t>
            </w:r>
            <w:hyperlink w:anchor="ref-guu2020realm">
              <w:r>
                <w:rPr>
                  <w:rStyle w:val="Hyperlink"/>
                </w:rPr>
                <w:t xml:space="preserve">Guu et al. 2020</w:t>
              </w:r>
            </w:hyperlink>
            <w:r>
              <w:t xml:space="preserve">)</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MMR diversity </w:t>
            </w:r>
            <w:r>
              <w:t xml:space="preserve">(</w:t>
            </w:r>
            <w:hyperlink w:anchor="ref-carbonell1998">
              <w:r>
                <w:rPr>
                  <w:rStyle w:val="Hyperlink"/>
                </w:rPr>
                <w:t xml:space="preserve">Carbonell and Goldstein 1998</w:t>
              </w:r>
            </w:hyperlink>
            <w:r>
              <w:t xml:space="preserve">)</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DPP / submodular coverage </w:t>
            </w:r>
            <w:r>
              <w:t xml:space="preserve">(</w:t>
            </w:r>
            <w:hyperlink w:anchor="ref-ye2023ceil">
              <w:r>
                <w:rPr>
                  <w:rStyle w:val="Hyperlink"/>
                </w:rPr>
                <w:t xml:space="preserve">Ye et al. 2023</w:t>
              </w:r>
            </w:hyperlink>
            <w:r>
              <w:t xml:space="preserve">;</w:t>
            </w:r>
            <w:r>
              <w:t xml:space="preserve"> </w:t>
            </w:r>
            <w:hyperlink w:anchor="ref-huang2025gammacover">
              <w:r>
                <w:rPr>
                  <w:rStyle w:val="Hyperlink"/>
                </w:rPr>
                <w:t xml:space="preserve">Huang 2025</w:t>
              </w:r>
            </w:hyperlink>
            <w:r>
              <w:t xml:space="preserve">)</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Shapley / influence valuation </w:t>
            </w:r>
            <w:r>
              <w:t xml:space="preserve">(</w:t>
            </w:r>
            <w:hyperlink w:anchor="ref-demoshapley2024">
              <w:r>
                <w:rPr>
                  <w:rStyle w:val="Hyperlink"/>
                </w:rPr>
                <w:t xml:space="preserve">Xie et al. 2024</w:t>
              </w:r>
            </w:hyperlink>
            <w:r>
              <w:t xml:space="preserve">)</w:t>
            </w:r>
          </w:p>
        </w:tc>
        <w:tc>
          <w:tcPr/>
          <w:p>
            <w:pPr>
              <w:pStyle w:val="Compact"/>
              <w:jc w:val="center"/>
            </w:pPr>
            <m:oMath>
              <m:r>
                <m:rPr>
                  <m:sty m:val="p"/>
                </m:rPr>
                <m:t>×</m:t>
              </m:r>
            </m:oMath>
            <w:r>
              <w:t xml:space="preserve">​</w:t>
            </w:r>
          </w:p>
        </w:tc>
        <w:tc>
          <w:tcPr/>
          <w:p>
            <w:pPr>
              <w:pStyle w:val="Compact"/>
            </w:pPr>
          </w:p>
        </w:tc>
        <w:tc>
          <w:tcPr/>
          <w:p>
            <w:pPr>
              <w:pStyle w:val="Compact"/>
              <w:jc w:val="center"/>
            </w:pPr>
            <m:oMath>
              <m:r>
                <m:rPr>
                  <m:sty m:val="p"/>
                </m:rPr>
                <m:t>×</m:t>
              </m:r>
            </m:oMath>
            <w:r>
              <w:t xml:space="preserve">​</w:t>
            </w:r>
          </w:p>
        </w:tc>
      </w:tr>
      <w:tr>
        <w:tc>
          <w:tcPr/>
          <w:p>
            <w:pPr>
              <w:pStyle w:val="Compact"/>
              <w:jc w:val="left"/>
            </w:pPr>
            <w:r>
              <w:t xml:space="preserve">Expected information gain / BED </w:t>
            </w:r>
            <w:r>
              <w:t xml:space="preserve">(</w:t>
            </w:r>
            <w:hyperlink w:anchor="ref-bedllm2026">
              <w:r>
                <w:rPr>
                  <w:rStyle w:val="Hyperlink"/>
                </w:rPr>
                <w:t xml:space="preserve">Choudhury et al. 2025</w:t>
              </w:r>
            </w:hyperlink>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Listwise LLM reranker </w:t>
            </w:r>
            <w:r>
              <w:t xml:space="preserve">(</w:t>
            </w:r>
            <w:hyperlink w:anchor="ref-sun2023rankgpt">
              <w:r>
                <w:rPr>
                  <w:rStyle w:val="Hyperlink"/>
                </w:rPr>
                <w:t xml:space="preserve">Sun et al. 2023</w:t>
              </w:r>
            </w:hyperlink>
            <w:r>
              <w:t xml:space="preserve">)</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rPr>
                <w:b/>
                <w:bCs/>
              </w:rPr>
              <w:t xml:space="preserve">Probe-Select (this paper)</w:t>
            </w:r>
          </w:p>
        </w:tc>
        <w:tc>
          <w:tcPr/>
          <w:p>
            <w:pPr>
              <w:pStyle w:val="Compact"/>
              <w:jc w:val="center"/>
            </w:pPr>
            <m:oMath>
              <m:r>
                <m:rPr>
                  <m:sty m:val="p"/>
                </m:rPr>
                <m:t>×</m:t>
              </m:r>
            </m:oMath>
            <w:r>
              <w:t xml:space="preserve">​</w:t>
            </w:r>
          </w:p>
        </w:tc>
        <w:tc>
          <w:tcPr/>
          <w:p>
            <w:pPr>
              <w:pStyle w:val="Compact"/>
            </w:pPr>
          </w:p>
        </w:tc>
        <w:tc>
          <w:tcPr/>
          <w:p>
            <w:pPr>
              <w:pStyle w:val="Compact"/>
            </w:pPr>
          </w:p>
        </w:tc>
      </w:tr>
    </w:tbl>
    <w:bookmarkEnd w:id="26"/>
    <w:bookmarkEnd w:id="27"/>
    <w:bookmarkEnd w:id="28"/>
    <w:bookmarkStart w:id="35" w:name="sec:formalization"/>
    <w:p>
      <w:pPr>
        <w:pStyle w:val="Heading1"/>
      </w:pPr>
      <w:r>
        <w:t xml:space="preserve">Formalization</w:t>
      </w:r>
    </w:p>
    <w:p>
      <w:pPr>
        <w:pStyle w:val="FirstParagraph"/>
      </w:pPr>
      <w:r>
        <w:t xml:space="preserve">§2 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31"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§7).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§3.2 and Lemma 1.</w:t>
      </w:r>
    </w:p>
    <w:bookmarkStart w:id="29"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9"/>
    <w:bookmarkStart w:id="30"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rPr>
            <m:sty m:val="p"/>
          </m:rPr>
          <m:t>∈</m:t>
        </m:r>
        <m:r>
          <m:rPr>
            <m:sty m:val="p"/>
          </m:rPr>
          <m:t>{</m:t>
        </m:r>
        <m:r>
          <m:t>0</m:t>
        </m:r>
        <m:r>
          <m:rPr>
            <m:sty m:val="p"/>
          </m:rPr>
          <m:t>,</m:t>
        </m:r>
        <m:r>
          <m:t>1</m:t>
        </m:r>
        <m:r>
          <m:rPr>
            <m:sty m:val="p"/>
          </m:rPr>
          <m:t>}</m:t>
        </m:r>
      </m:oMath>
      <w:r>
        <w:t xml:space="preserve">. Two decision rules matter:</w:t>
      </w:r>
    </w:p>
    <w:p>
      <w:pPr>
        <w:numPr>
          <w:ilvl w:val="0"/>
          <w:numId w:val="1003"/>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e>
              </m:d>
              <m:r>
                <m:t> </m:t>
              </m:r>
            </m:e>
          </m:d>
          <m:r>
            <m:rPr>
              <m:sty m:val="p"/>
            </m:rPr>
            <m:t>,</m:t>
          </m:r>
          <m:r>
            <m:t>  </m:t>
          </m:r>
          <m:r>
            <m:t>w</m:t>
          </m:r>
          <m:r>
            <m:rPr>
              <m:sty m:val="p"/>
            </m:rPr>
            <m:t>∼</m:t>
          </m:r>
          <m:sSub>
            <m:e>
              <m:r>
                <m:t>κ</m:t>
              </m:r>
            </m:e>
            <m:sub>
              <m:r>
                <m:t>W</m:t>
              </m:r>
            </m:sub>
          </m:sSub>
          <m:r>
            <m:rPr>
              <m:sty m:val="p"/>
            </m:rPr>
            <m:t>(</m:t>
          </m:r>
          <m:r>
            <m:rPr>
              <m:sty m:val="p"/>
            </m:rPr>
            <m:t>⋅</m:t>
          </m:r>
          <m:r>
            <m:rPr>
              <m:sty m:val="p"/>
            </m:rPr>
            <m:t>∣</m:t>
          </m:r>
          <m:sSub>
            <m:e>
              <m:r>
                <m:t>S</m:t>
              </m:r>
            </m:e>
            <m:sub>
              <m:r>
                <m:t>T</m:t>
              </m:r>
            </m:sub>
          </m:sSub>
          <m:r>
            <m:rPr>
              <m:sty m:val="p"/>
            </m:rPr>
            <m:t>)</m:t>
          </m:r>
          <m:r>
            <m:rPr>
              <m:sty m:val="p"/>
            </m:rPr>
            <m:t>;</m:t>
          </m:r>
        </m:oMath>
      </m:oMathPara>
    </w:p>
    <w:p>
      <w:pPr>
        <w:numPr>
          <w:ilvl w:val="0"/>
          <w:numId w:val="1003"/>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decision rule for</w:t>
      </w:r>
      <w:r>
        <w:t xml:space="preserve"> </w:t>
      </w:r>
      <w:r>
        <w:t xml:space="preserve">task</w:t>
      </w:r>
      <w:r>
        <w:t xml:space="preserve"> </w:t>
      </w:r>
      <m:oMath>
        <m:r>
          <m:t>T</m:t>
        </m:r>
      </m:oMath>
      <w:r>
        <w:t xml:space="preserve"> </w:t>
      </w:r>
      <w:r>
        <w:t xml:space="preserve">given a prior over</w:t>
      </w:r>
      <w:r>
        <w:t xml:space="preserve"> </w:t>
      </w:r>
      <m:oMath>
        <m:r>
          <m:t>S</m:t>
        </m:r>
      </m:oMath>
      <w:r>
        <w:t xml:space="preserve">, achieving the optimal value</w:t>
      </w:r>
      <w:r>
        <w:t xml:space="preserve"> </w:t>
      </w:r>
      <m:oMath>
        <m:sSup>
          <m:e>
            <m:r>
              <m:t>V</m:t>
            </m:r>
          </m:e>
          <m:sup>
            <m:r>
              <m:rPr>
                <m:sty m:val="p"/>
              </m:rPr>
              <m:t>⋆</m:t>
            </m:r>
          </m:sup>
        </m:sSup>
        <m:r>
          <m:rPr>
            <m:sty m:val="p"/>
          </m:rPr>
          <m:t>(</m:t>
        </m:r>
        <m:r>
          <m:t>W</m:t>
        </m:r>
        <m:r>
          <m:rPr>
            <m:sty m:val="p"/>
          </m:rPr>
          <m:t>,</m:t>
        </m:r>
        <m:r>
          <m:t>T</m:t>
        </m:r>
        <m:r>
          <m:rPr>
            <m:sty m:val="p"/>
          </m:rPr>
          <m:t>)</m:t>
        </m:r>
        <m:box>
          <m:boxPr>
            <m:opEmu m:val="on"/>
          </m:boxPr>
          <m:e>
            <m:r>
              <m:rPr>
                <m:sty m:val="p"/>
              </m:rPr>
              <m:t>:=</m:t>
            </m:r>
          </m:e>
        </m:box>
        <m:sSub>
          <m:e>
            <m:r>
              <m:rPr>
                <m:sty m:val="p"/>
              </m:rPr>
              <m:t>sup</m:t>
            </m:r>
          </m:e>
          <m:sub>
            <m:r>
              <m:t>δ</m:t>
            </m:r>
          </m:sub>
        </m:sSub>
        <m:r>
          <m:rPr>
            <m:scr m:val="double-struck"/>
            <m:sty m:val="p"/>
          </m:rPr>
          <m:t>E</m:t>
        </m:r>
        <m:r>
          <m:rPr>
            <m:sty m:val="p"/>
          </m:rPr>
          <m:t>[</m:t>
        </m:r>
        <m:sSub>
          <m:e>
            <m:r>
              <m:t>v</m:t>
            </m:r>
          </m:e>
          <m:sub>
            <m:r>
              <m:t>T</m:t>
            </m:r>
          </m:sub>
        </m:sSub>
        <m:r>
          <m:rPr>
            <m:sty m:val="p"/>
          </m:rPr>
          <m:t>(</m:t>
        </m:r>
        <m:r>
          <m:t>δ</m:t>
        </m:r>
        <m:r>
          <m:rPr>
            <m:sty m:val="p"/>
          </m:rPr>
          <m:t>(</m:t>
        </m:r>
        <m:r>
          <m:t>T</m:t>
        </m:r>
        <m:r>
          <m:rPr>
            <m:sty m:val="p"/>
          </m:rPr>
          <m:t>,</m:t>
        </m:r>
        <m:r>
          <m:t>w</m:t>
        </m:r>
        <m:r>
          <m:rPr>
            <m:sty m:val="p"/>
          </m:rPr>
          <m:t>)</m:t>
        </m:r>
        <m:r>
          <m:rPr>
            <m:sty m:val="p"/>
          </m:rPr>
          <m:t>)</m:t>
        </m:r>
        <m:r>
          <m:rPr>
            <m:sty m:val="p"/>
          </m:rPr>
          <m:t>]</m:t>
        </m:r>
      </m:oMath>
      <w:r>
        <w:t xml:space="preserve">.</w:t>
      </w:r>
    </w:p>
    <w:bookmarkEnd w:id="30"/>
    <w:p>
      <w:pPr>
        <w:pStyle w:val="FirstParagraph"/>
      </w:pPr>
      <w:r>
        <w:t xml:space="preserve">The distinction in Definition 2 is load-bearing. Blackwell’s theorem</w:t>
      </w:r>
      <w:r>
        <w:t xml:space="preserve"> </w:t>
      </w:r>
      <w:r>
        <w:t xml:space="preserve">(§4)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§6, the</w:t>
      </w:r>
      <w:r>
        <w:t xml:space="preserve"> </w:t>
      </w:r>
      <w:r>
        <w:t xml:space="preserve">interference statistic of §6.3, and the entire six-model program of</w:t>
      </w:r>
      <w:r>
        <w:t xml:space="preserve"> </w:t>
      </w:r>
      <w:r>
        <w:t xml:space="preserve">§7,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2).</w:t>
      </w:r>
    </w:p>
    <w:bookmarkEnd w:id="31"/>
    <w:bookmarkStart w:id="33"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(1).</w:t>
      </w:r>
    </w:p>
    <w:bookmarkStart w:id="32"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32"/>
    <w:p>
      <w:pPr>
        <w:pStyle w:val="BodyText"/>
      </w:pPr>
      <w:r>
        <w:t xml:space="preserve">Under Definition 3 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§4 a comparison of experiments rather than a metaphor, and it is what a</w:t>
      </w:r>
      <w:r>
        <w:t xml:space="preserve"> </w:t>
      </w:r>
      <w:r>
        <w:t xml:space="preserve">rigorous treatment of deterministic sources requires </w:t>
      </w:r>
      <w:r>
        <w:t xml:space="preserve">(</w:t>
      </w:r>
      <w:hyperlink w:anchor="ref-torgersen1991">
        <w:r>
          <w:rPr>
            <w:rStyle w:val="Hyperlink"/>
          </w:rPr>
          <w:t xml:space="preserve">Torgersen 1991</w:t>
        </w:r>
      </w:hyperlink>
      <w:r>
        <w:t xml:space="preserve">)</w:t>
      </w:r>
      <w:r>
        <w:t xml:space="preserve">.</w:t>
      </w:r>
    </w:p>
    <w:bookmarkEnd w:id="33"/>
    <w:bookmarkStart w:id="34"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r>
          <m:t>I</m:t>
        </m:r>
        <m:r>
          <m:rPr>
            <m:sty m:val="p"/>
          </m:rPr>
          <m:t>(</m:t>
        </m:r>
        <m:r>
          <m:t>S</m:t>
        </m:r>
        <m:r>
          <m:rPr>
            <m:sty m:val="p"/>
          </m:rPr>
          <m:t>;</m:t>
        </m:r>
        <m:r>
          <m:t>W</m:t>
        </m:r>
        <m:r>
          <m:rPr>
            <m:sty m:val="p"/>
          </m:rPr>
          <m:t>∣</m:t>
        </m:r>
        <m:r>
          <m:t>θ</m:t>
        </m:r>
        <m:r>
          <m:rPr>
            <m:sty m:val="p"/>
          </m:rPr>
          <m:t>)</m:t>
        </m:r>
      </m:oMath>
      <w:r>
        <w:t xml:space="preserve"> </w:t>
      </w:r>
      <w:r>
        <w:t xml:space="preserve">for the model-relative value of a private source, the information</w:t>
      </w:r>
      <w:r>
        <w:t xml:space="preserve"> </w:t>
      </w:r>
      <m:oMath>
        <m:r>
          <m:t>W</m:t>
        </m:r>
      </m:oMath>
      <w:r>
        <w:t xml:space="preserve"> </w:t>
      </w:r>
      <w:r>
        <w:t xml:space="preserve">supplies</w:t>
      </w:r>
      <w:r>
        <w:t xml:space="preserve"> </w:t>
      </w:r>
      <w:r>
        <w:rPr>
          <w:i/>
          <w:iCs/>
        </w:rPr>
        <w:t xml:space="preserve">beyond what</w:t>
      </w:r>
      <w:r>
        <w:rPr>
          <w:i/>
          <w:iCs/>
        </w:rPr>
        <w:t xml:space="preserve"> </w:t>
      </w:r>
      <m:oMath>
        <m:r>
          <m:t>θ</m:t>
        </m:r>
      </m:oMath>
      <w:r>
        <w:rPr>
          <w:i/>
          <w:iCs/>
        </w:rPr>
        <w:t xml:space="preserve"> </w:t>
      </w:r>
      <w:r>
        <w:rPr>
          <w:i/>
          <w:iCs/>
        </w:rPr>
        <w:t xml:space="preserve">already encodes</w:t>
      </w:r>
      <w:r>
        <w:t xml:space="preserve">. When</w:t>
      </w:r>
      <w:r>
        <w:t xml:space="preserve"> </w:t>
      </w:r>
      <m:oMath>
        <m:r>
          <m:t>θ</m:t>
        </m:r>
      </m:oMath>
      <w:r>
        <w:t xml:space="preserve"> </w:t>
      </w:r>
      <w:r>
        <w:t xml:space="preserve">already</w:t>
      </w:r>
      <w:r>
        <w:t xml:space="preserve"> </w:t>
      </w:r>
      <w:r>
        <w:t xml:space="preserve">“knows”</w:t>
      </w:r>
      <w:r>
        <w:t xml:space="preserve"> </w:t>
      </w:r>
      <w:r>
        <w:t xml:space="preserve">a convention</w:t>
      </w:r>
      <w:r>
        <w:t xml:space="preserve"> </w:t>
      </w:r>
      <w:r>
        <w:t xml:space="preserve">(the model can guess it without the source),</w:t>
      </w:r>
      <w:r>
        <w:t xml:space="preserve"> </w:t>
      </w:r>
      <m:oMath>
        <m:r>
          <m:t>W</m:t>
        </m:r>
      </m:oMath>
      <w:r>
        <w:t xml:space="preserve">’s marginal value collapses; when the convention is genuinely unknown to</w:t>
      </w:r>
      <w:r>
        <w:t xml:space="preserve"> </w:t>
      </w:r>
      <m:oMath>
        <m:r>
          <m:t>θ</m:t>
        </m:r>
      </m:oMath>
      <w:r>
        <w:t xml:space="preserve">,</w:t>
      </w:r>
      <w:r>
        <w:t xml:space="preserve"> </w:t>
      </w:r>
      <m:oMath>
        <m:r>
          <m:t>W</m:t>
        </m:r>
      </m:oMath>
      <w:r>
        <w:t xml:space="preserve"> </w:t>
      </w:r>
      <w:r>
        <w:t xml:space="preserve">is maximally valuable.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§7,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4"/>
    <w:bookmarkEnd w:id="35"/>
    <w:bookmarkStart w:id="47" w:name="sec:order"/>
    <w:p>
      <w:pPr>
        <w:pStyle w:val="Heading1"/>
      </w:pPr>
      <w:r>
        <w:t xml:space="preserve">The Blackwell order over context sources</w:t>
      </w:r>
    </w:p>
    <w:p>
      <w:pPr>
        <w:pStyle w:val="FirstParagraph"/>
      </w:pPr>
      <w:r>
        <w:t xml:space="preserve">With sources modeled as experiments (§3), the classical comparison of</w:t>
      </w:r>
      <w:r>
        <w:t xml:space="preserve"> </w:t>
      </w:r>
      <w:r>
        <w:t xml:space="preserve">experiments applies to them directly. We state the order, record that it is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40" w:name="the-order-and-its-two-registers"/>
    <w:p>
      <w:pPr>
        <w:pStyle w:val="Heading2"/>
      </w:pPr>
      <w:r>
        <w:t xml:space="preserve">The order and its two registers</w:t>
      </w:r>
    </w:p>
    <w:bookmarkStart w:id="36"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6"/>
    <w:p>
      <w:pPr>
        <w:pStyle w:val="BodyText"/>
      </w:pPr>
      <w:r>
        <w:t xml:space="preserve">The classical content of the order is the Blackwell–Sherman–Stein theorem, which we state with</w:t>
      </w:r>
      <w:r>
        <w:t xml:space="preserve"> </w:t>
      </w:r>
      <w:r>
        <w:t xml:space="preserve">hypotheses for a self-contained treatment.</w:t>
      </w:r>
    </w:p>
    <w:bookmarkStart w:id="37"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 parameter space</w:t>
      </w:r>
      <w:r>
        <w:rPr>
          <w:i/>
          <w:iCs/>
        </w:rPr>
        <w:t xml:space="preserve"> </w:t>
      </w:r>
      <m:oMath>
        <m:r>
          <m:rPr>
            <m:scr m:val="script"/>
            <m:sty m:val="p"/>
          </m:rPr>
          <m:t>S</m:t>
        </m:r>
      </m:oMath>
      <w:r>
        <w:rPr>
          <w:i/>
          <w:iCs/>
        </w:rPr>
        <w:t xml:space="preserve"> </w:t>
      </w:r>
      <w:r>
        <w:rPr>
          <w:i/>
          <w:iCs/>
        </w:rPr>
        <w:t xml:space="preserve">with standard Borel signal</w:t>
      </w:r>
      <w:r>
        <w:rPr>
          <w:i/>
          <w:iCs/>
        </w:rPr>
        <w:t xml:space="preserve"> </w:t>
      </w:r>
      <w:r>
        <w:rPr>
          <w:i/>
          <w:iCs/>
        </w:rPr>
        <w:t xml:space="preserve">spaces. The following are equivalent:</w:t>
      </w:r>
    </w:p>
    <w:p>
      <w:pPr>
        <w:numPr>
          <w:ilvl w:val="0"/>
          <w:numId w:val="1004"/>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4"/>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7"/>
    <w:p>
      <w:pPr>
        <w:pStyle w:val="BodyText"/>
      </w:pPr>
      <w:r>
        <w:t xml:space="preserve">This is the classical Blackwell–Sherman–Stein theorem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w:t>
      </w:r>
      <w:r>
        <w:t xml:space="preserve"> </w:t>
      </w:r>
      <w:r>
        <w:t xml:space="preserve">which we use as a black box. The only specialization is reading</w:t>
      </w:r>
      <w:r>
        <w:t xml:space="preserve"> </w:t>
      </w:r>
      <w:r>
        <w:t xml:space="preserve">“decision problem”</w:t>
      </w:r>
      <w:r>
        <w:t xml:space="preserve"> </w:t>
      </w:r>
      <w:r>
        <w:t xml:space="preserve">as a task with</w:t>
      </w:r>
      <w:r>
        <w:t xml:space="preserve"> </w:t>
      </w:r>
      <w:r>
        <w:t xml:space="preserve">bounded verifier utility</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and</w:t>
      </w:r>
      <w:r>
        <w:t xml:space="preserve"> </w:t>
      </w:r>
      <w:r>
        <w:t xml:space="preserve">“experiment”</w:t>
      </w:r>
      <w:r>
        <w:t xml:space="preserve"> </w:t>
      </w:r>
      <w:r>
        <w:t xml:space="preserve">as a context source</w:t>
      </w:r>
      <w:r>
        <w:t xml:space="preserve"> </w:t>
      </w:r>
      <w:r>
        <w:t xml:space="preserve">(Definition 1), which is faithful because the kernels of</w:t>
      </w:r>
      <w:r>
        <w:t xml:space="preserve"> </w:t>
      </w:r>
      <w:r>
        <w:t xml:space="preserve">Definition 3 are standard Borel.</w:t>
      </w:r>
    </w:p>
    <w:bookmarkStart w:id="38"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8"/>
    <w:bookmarkStart w:id="39" w:name="rem:partial"/>
    <w:p>
      <w:pPr>
        <w:pStyle w:val="BodyText"/>
      </w:pPr>
      <w:r>
        <w:rPr>
          <w:i/>
          <w:iCs/>
        </w:rPr>
        <w:t xml:space="preserve">Remark 1</w:t>
      </w:r>
      <w:r>
        <w:t xml:space="preserve"> </w:t>
      </w:r>
      <w:r>
        <w:t xml:space="preserve">(The order is partial; no lattice).</w:t>
      </w:r>
      <w:r>
        <w:t xml:space="preserve"> </w:t>
      </w:r>
      <w:r>
        <w:t xml:space="preserve"> </w:t>
      </w:r>
      <m:oMath>
        <m:sSub>
          <m:e>
            <m:r>
              <m:rPr>
                <m:sty m:val="p"/>
              </m:rPr>
              <m:t>≽</m:t>
            </m:r>
          </m:e>
          <m:sub>
            <m:r>
              <m:t>B</m:t>
            </m:r>
          </m:sub>
        </m:sSub>
      </m:oMath>
      <w:r>
        <w:t xml:space="preserve"> </w:t>
      </w:r>
      <w:r>
        <w:t xml:space="preserve">is a genuine partial order: there exist pairs</w:t>
      </w:r>
      <w:r>
        <w:t xml:space="preserve"> </w:t>
      </w:r>
      <m:oMath>
        <m:sSub>
          <m:e>
            <m:r>
              <m:t>W</m:t>
            </m:r>
          </m:e>
          <m:sub>
            <m:r>
              <m:t>1</m:t>
            </m:r>
          </m:sub>
        </m:sSub>
        <m:r>
          <m:rPr>
            <m:sty m:val="p"/>
          </m:rPr>
          <m:t>,</m:t>
        </m:r>
        <m:sSub>
          <m:e>
            <m:r>
              <m:t>W</m:t>
            </m:r>
          </m:e>
          <m:sub>
            <m:r>
              <m:t>2</m:t>
            </m:r>
          </m:sub>
        </m:sSub>
      </m:oMath>
      <w:r>
        <w:t xml:space="preserve"> </w:t>
      </w:r>
      <w:r>
        <w:t xml:space="preserve">with neither</w:t>
      </w:r>
      <w:r>
        <w:t xml:space="preserve"> </w:t>
      </w:r>
      <m:oMath>
        <m:sSub>
          <m:e>
            <m:r>
              <m:t>W</m:t>
            </m:r>
          </m:e>
          <m:sub>
            <m:r>
              <m:t>1</m:t>
            </m:r>
          </m:sub>
        </m:sSub>
        <m:sSub>
          <m:e>
            <m:r>
              <m:rPr>
                <m:sty m:val="p"/>
              </m:rPr>
              <m:t>≽</m:t>
            </m:r>
          </m:e>
          <m:sub>
            <m:r>
              <m:t>B</m:t>
            </m:r>
          </m:sub>
        </m:sSub>
        <m:sSub>
          <m:e>
            <m:r>
              <m:t>W</m:t>
            </m:r>
          </m:e>
          <m:sub>
            <m:r>
              <m:t>2</m:t>
            </m:r>
          </m:sub>
        </m:sSub>
      </m:oMath>
      <w:r>
        <w:t xml:space="preserve"> </w:t>
      </w:r>
      <w:r>
        <w:t xml:space="preserve">nor</w:t>
      </w:r>
      <w:r>
        <w:t xml:space="preserve"> </w:t>
      </w:r>
      <m:oMath>
        <m:sSub>
          <m:e>
            <m:r>
              <m:t>W</m:t>
            </m:r>
          </m:e>
          <m:sub>
            <m:r>
              <m:t>2</m:t>
            </m:r>
          </m:sub>
        </m:sSub>
        <m:sSub>
          <m:e>
            <m:r>
              <m:rPr>
                <m:sty m:val="p"/>
              </m:rPr>
              <m:t>≽</m:t>
            </m:r>
          </m:e>
          <m:sub>
            <m:r>
              <m:t>B</m:t>
            </m:r>
          </m:sub>
        </m:sSub>
        <m:sSub>
          <m:e>
            <m:r>
              <m:t>W</m:t>
            </m:r>
          </m:e>
          <m:sub>
            <m:r>
              <m:t>1</m:t>
            </m:r>
          </m:sub>
        </m:sSub>
      </m:oMath>
      <w:r>
        <w:t xml:space="preserve">, and the order does not form a lattice </w:t>
      </w:r>
      <w:r>
        <w:t xml:space="preserve">(</w:t>
      </w:r>
      <w:hyperlink w:anchor="ref-torgersen1991">
        <w:r>
          <w:rPr>
            <w:rStyle w:val="Hyperlink"/>
          </w:rPr>
          <w:t xml:space="preserve">Torgersen 1991</w:t>
        </w:r>
      </w:hyperlink>
      <w:r>
        <w:t xml:space="preserve">)</w:t>
      </w:r>
      <w:r>
        <w:t xml:space="preserve">.</w:t>
      </w:r>
      <w:r>
        <w:t xml:space="preserve"> </w:t>
      </w:r>
      <w:r>
        <w:t xml:space="preserve">Incomparability is exactly the regime our experiments target.</w:t>
      </w:r>
    </w:p>
    <w:bookmarkEnd w:id="39"/>
    <w:bookmarkEnd w:id="40"/>
    <w:bookmarkStart w:id="42"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41"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5"/>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5"/>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41"/>
    <w:p>
      <w:pPr>
        <w:pStyle w:val="FirstParagraph"/>
      </w:pPr>
      <w:r>
        <w:t xml:space="preserve">Lemma 1 is the formal version of the garbling argument used in</w:t>
      </w:r>
      <w:r>
        <w:t xml:space="preserve"> </w:t>
      </w:r>
      <w:r>
        <w:t xml:space="preserve">§7: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42"/>
    <w:bookmarkStart w:id="46"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1.</w:t>
      </w:r>
    </w:p>
    <w:bookmarkStart w:id="43"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43"/>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4"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6"/>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with</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the optimal values achievable</w:t>
      </w:r>
      <w:r>
        <w:rPr>
          <w:i/>
          <w:iCs/>
        </w:rPr>
        <w:t xml:space="preserve"> </w:t>
      </w:r>
      <w:r>
        <w:rPr>
          <w:i/>
          <w:i/>
          <w:iCs/>
          <w:iCs/>
        </w:rPr>
        <w:t xml:space="preserve">without</w:t>
      </w:r>
      <w:r>
        <w:rPr>
          <w:i/>
          <w:iCs/>
        </w:rPr>
        <w:t xml:space="preserve"> </w:t>
      </w:r>
      <w:r>
        <w:rPr>
          <w:i/>
          <w:iCs/>
        </w:rPr>
        <w:t xml:space="preserve">the decisive</w:t>
      </w:r>
      <w:r>
        <w:rPr>
          <w:i/>
          <w:iCs/>
        </w:rPr>
        <w:t xml:space="preserve"> </w:t>
      </w:r>
      <w:r>
        <w:rPr>
          <w:i/>
          <w:iCs/>
        </w:rPr>
        <w:t xml:space="preserve">coordinate. If</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w:t>
      </w:r>
      <w:r>
        <w:rPr>
          <w:i/>
          <w:iCs/>
        </w:rPr>
        <w:t xml:space="preserve"> </w:t>
      </w:r>
      <w:r>
        <w:rPr>
          <w:i/>
          <w:iCs/>
        </w:rPr>
        <w:t xml:space="preserve">Blackwell-incomparable.</w:t>
      </w:r>
    </w:p>
    <w:p>
      <w:pPr>
        <w:numPr>
          <w:ilvl w:val="0"/>
          <w:numId w:val="1006"/>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p>
      <w:pPr>
        <w:pStyle w:val="FirstParagraph"/>
      </w:pPr>
      <w:r>
        <w:rPr>
          <w:i/>
          <w:iCs/>
        </w:rPr>
        <w:t xml:space="preserve">The separation hypothesis in</w:t>
      </w:r>
      <w:r>
        <w:rPr>
          <w:i/>
          <w:iCs/>
        </w:rPr>
        <w:t xml:space="preserve"> </w:t>
      </w:r>
      <w:r>
        <w:rPr>
          <w:i/>
          <w:iCs/>
        </w:rPr>
        <w:t xml:space="preserve">(a)</w:t>
      </w:r>
      <w:r>
        <w:rPr>
          <w:i/>
          <w:iCs/>
        </w:rPr>
        <w:t xml:space="preserve"> </w:t>
      </w:r>
      <w:r>
        <w:rPr>
          <w:i/>
          <w:iCs/>
        </w:rPr>
        <w:t xml:space="preserve">is necessary, and our own measurements witness the</w:t>
      </w:r>
      <w:r>
        <w:rPr>
          <w:i/>
          <w:iCs/>
        </w:rPr>
        <w:t xml:space="preserve"> </w:t>
      </w:r>
      <w:r>
        <w:rPr>
          <w:i/>
          <w:iCs/>
        </w:rPr>
        <w:t xml:space="preserve">necessity:</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w:t>
      </w:r>
      <w:r>
        <w:rPr>
          <w:i/>
          <w:iCs/>
        </w:rPr>
        <w:t xml:space="preserve"> </w:t>
      </w:r>
      <w:r>
        <w:rPr>
          <w:i/>
          <w:iCs/>
        </w:rPr>
        <w:t xml:space="preserve">cells,</w:t>
      </w:r>
      <w:r>
        <w:rPr>
          <w:i/>
          <w:iCs/>
        </w:rPr>
        <w:t xml:space="preserve"> </w:t>
      </w:r>
      <m:oMath>
        <m:sSub>
          <m:e>
            <m:r>
              <m:t>W</m:t>
            </m:r>
          </m:e>
          <m:sub>
            <m:r>
              <m:t>1</m:t>
            </m:r>
            <m:r>
              <m:rPr>
                <m:sty m:val="p"/>
              </m:rPr>
              <m:t>+</m:t>
            </m:r>
          </m:sub>
        </m:sSub>
      </m:oMath>
      <w:r>
        <w:rPr>
          <w:i/>
          <w:iCs/>
        </w:rPr>
        <w:t xml:space="preserve"> </w:t>
      </w:r>
      <w:r>
        <w:rPr>
          <w:i/>
          <w:iCs/>
        </w:rPr>
        <w:t xml:space="preserve">the encoding cell) yet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 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without the</w:t>
      </w:r>
      <w:r>
        <w:rPr>
          <w:i/>
          <w:iCs/>
        </w:rPr>
        <w:t xml:space="preserve"> </w:t>
      </w:r>
      <w:r>
        <w:rPr>
          <w:i/>
          <w:iCs/>
        </w:rPr>
        <w:t xml:space="preserve">separation hypothesis, witnesses only the sub-optimality of</w:t>
      </w:r>
      <w:r>
        <w:rPr>
          <w:i/>
          <w:iCs/>
        </w:rPr>
        <w:t xml:space="preserve"> </w:t>
      </w:r>
      <m:oMath>
        <m:sSub>
          <m:e>
            <m:r>
              <m:t>δ</m:t>
            </m:r>
          </m:e>
          <m:sub>
            <m:r>
              <m:t>M</m:t>
            </m:r>
          </m:sub>
        </m:sSub>
      </m:oMath>
      <w:r>
        <w:rPr>
          <w:i/>
          <w:iCs/>
        </w:rPr>
        <w:t xml:space="preserve"> </w:t>
      </w:r>
      <w:r>
        <w:rPr>
          <w:i/>
          <w:iCs/>
        </w:rPr>
        <w:t xml:space="preserve">(Theorem 3).</w:t>
      </w:r>
    </w:p>
    <w:bookmarkEnd w:id="44"/>
    <w:p>
      <w:pPr>
        <w:pStyle w:val="BodyText"/>
      </w:pPr>
      <w:r>
        <w:t xml:space="preserve">Intuitively: a fixed-rule crossover proves structural incomparability only when each winning</w:t>
      </w:r>
      <w:r>
        <w:t xml:space="preserve"> </w:t>
      </w:r>
      <w:r>
        <w:t xml:space="preserve">source reveals a coordinate the losing source lacks; otherwise the crossover may</w:t>
      </w:r>
      <w:r>
        <w:t xml:space="preserve"> </w:t>
      </w:r>
      <w:r>
        <w:t xml:space="preserve">witness nothing more than the rule’s own incoherence.</w:t>
      </w:r>
    </w:p>
    <w:bookmarkStart w:id="45" w:name="ass:attain"/>
    <w:p>
      <w:pPr>
        <w:pStyle w:val="BodyText"/>
      </w:pPr>
      <w:r>
        <w:rPr>
          <w:b/>
          <w:bCs/>
        </w:rPr>
        <w:t xml:space="preserve">Assumption 1</w:t>
      </w:r>
      <w:r>
        <w:t xml:space="preserve"> </w:t>
      </w:r>
      <w:r>
        <w:t xml:space="preserve">(Value attainment on the witnessing tasks).</w:t>
      </w:r>
      <w:r>
        <w:t xml:space="preserve"> </w:t>
      </w:r>
      <w:r>
        <w:t xml:space="preserve"> </w:t>
      </w:r>
      <w:r>
        <w:t xml:space="preserve">There exist tasks</w:t>
      </w:r>
      <w:r>
        <w:t xml:space="preserve"> </w:t>
      </w:r>
      <m:oMath>
        <m:sSub>
          <m:e>
            <m:r>
              <m:t>T</m:t>
            </m:r>
          </m:e>
          <m:sub>
            <m:r>
              <m:t>a</m:t>
            </m:r>
          </m:sub>
        </m:sSub>
        <m:r>
          <m:rPr>
            <m:sty m:val="p"/>
          </m:rPr>
          <m:t>,</m:t>
        </m:r>
        <m:sSub>
          <m:e>
            <m:r>
              <m:t>T</m:t>
            </m:r>
          </m:e>
          <m:sub>
            <m:r>
              <m:t>b</m:t>
            </m:r>
          </m:sub>
        </m:sSub>
      </m:oMath>
      <w:r>
        <w:t xml:space="preserve"> </w:t>
      </w:r>
      <w:r>
        <w:t xml:space="preserve">and a margin</w:t>
      </w:r>
      <w:r>
        <w:t xml:space="preserve"> </w:t>
      </w:r>
      <m:oMath>
        <m:r>
          <m:t>γ</m:t>
        </m:r>
        <m:r>
          <m:rPr>
            <m:sty m:val="p"/>
          </m:rPr>
          <m:t>&gt;</m:t>
        </m:r>
        <m:r>
          <m:t>0</m:t>
        </m:r>
      </m:oMath>
      <w:r>
        <w:t xml:space="preserve"> </w:t>
      </w:r>
      <w:r>
        <w:t xml:space="preserve">such that</w:t>
      </w:r>
      <w:r>
        <w:t xml:space="preserve"> </w:t>
      </w:r>
      <m:oMath>
        <m:sSub>
          <m:e>
            <m:r>
              <m:t>δ</m:t>
            </m:r>
          </m:e>
          <m:sub>
            <m:r>
              <m:t>M</m:t>
            </m:r>
          </m:sub>
        </m:sSub>
      </m:oMath>
      <w:r>
        <w:t xml:space="preserve"> </w:t>
      </w:r>
      <w:r>
        <w:t xml:space="preserve">attains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w:t>
      </w:r>
      <w:r>
        <w:t xml:space="preserve"> </w:t>
      </w:r>
      <w:r>
        <w:t xml:space="preserve">exploits each source’s private coordinate on the task that requires it. Under</w:t>
      </w:r>
      <w:r>
        <w:t xml:space="preserve"> </w:t>
      </w:r>
      <w:r>
        <w:t xml:space="preserve">Assumption 1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5"/>
    <w:p>
      <w:pPr>
        <w:pStyle w:val="BodyText"/>
      </w:pPr>
      <w:r>
        <w:t xml:space="preserve">Lemma 2 is the keystone. In the direction the empirical program needs, it says: a</w:t>
      </w:r>
      <w:r>
        <w:t xml:space="preserve"> </w:t>
      </w:r>
      <w:r>
        <w:t xml:space="preserve">verified</w:t>
      </w:r>
      <w:r>
        <w:t xml:space="preserve"> </w:t>
      </w:r>
      <m:oMath>
        <m:r>
          <m:rPr>
            <m:sty m:val="p"/>
          </m:rPr>
          <m:t>(</m:t>
        </m:r>
        <m:r>
          <m:t>M</m:t>
        </m:r>
        <m:r>
          <m:rPr>
            <m:sty m:val="p"/>
          </m:rPr>
          <m:t>,</m:t>
        </m:r>
        <m:r>
          <m:rPr>
            <m:scr m:val="script"/>
            <m:sty m:val="p"/>
          </m:rPr>
          <m:t>D</m:t>
        </m:r>
        <m:r>
          <m:rPr>
            <m:sty m:val="p"/>
          </m:rPr>
          <m:t>)</m:t>
        </m:r>
      </m:oMath>
      <w:r>
        <w:t xml:space="preserve">-crossover on tasks whose decisive coordinates are</w:t>
      </w:r>
      <w:r>
        <w:t xml:space="preserve"> </w:t>
      </w:r>
      <w:r>
        <w:rPr>
          <w:i/>
          <w:iCs/>
        </w:rPr>
        <w:t xml:space="preserve">separated</w:t>
      </w:r>
      <w:r>
        <w:t xml:space="preserve"> </w:t>
      </w:r>
      <w:r>
        <w:t xml:space="preserve">across</w:t>
      </w:r>
      <w:r>
        <w:t xml:space="preserve"> </w:t>
      </w:r>
      <w:r>
        <w:t xml:space="preserve">the two sources, with the deprived side’s optimal value capped below the measured pass rates,</w:t>
      </w:r>
      <w:r>
        <w:t xml:space="preserve"> </w:t>
      </w:r>
      <w:r>
        <w:t xml:space="preserve">implies genuine Blackwell incomparability. Our construction is designed to satisfy the hypothesis</w:t>
      </w:r>
      <w:r>
        <w:t xml:space="preserve"> </w:t>
      </w:r>
      <w:r>
        <w:t xml:space="preserve">(each cell’s decisive private coordinate is revealed by exactly one source,</w:t>
      </w:r>
      <w:r>
        <w:t xml:space="preserve"> </w:t>
      </w:r>
      <w:r>
        <w:t xml:space="preserve">Lemma 1), and its observable signature, deprived-arm pass rates flooring at the</w:t>
      </w:r>
      <w:r>
        <w:t xml:space="preserve"> </w:t>
      </w:r>
      <w:r>
        <w:t xml:space="preserve">guessing cap (</w:t>
      </w:r>
      <m:oMath>
        <m:sSub>
          <m:e>
            <m:r>
              <m:t>W</m:t>
            </m:r>
          </m:e>
          <m:sub>
            <m:r>
              <m:t>2</m:t>
            </m:r>
          </m:sub>
        </m:sSub>
      </m:oMath>
      <w:r>
        <w:t xml:space="preserve"> </w:t>
      </w:r>
      <w:r>
        <w:t xml:space="preserve">at</w:t>
      </w:r>
      <w:r>
        <w:t xml:space="preserve"> </w:t>
      </w:r>
      <m:oMath>
        <m:r>
          <m:t>0</m:t>
        </m:r>
        <m:r>
          <m:rPr>
            <m:sty m:val="p"/>
          </m:rPr>
          <m:t>%</m:t>
        </m:r>
      </m:oMath>
      <w:r>
        <w:t xml:space="preserve"> </w:t>
      </w:r>
      <w:r>
        <w:t xml:space="preserve">on the API cells,</w:t>
      </w:r>
      <w:r>
        <w:t xml:space="preserve"> </w:t>
      </w:r>
      <m:oMath>
        <m:sSub>
          <m:e>
            <m:r>
              <m:t>W</m:t>
            </m:r>
          </m:e>
          <m:sub>
            <m:r>
              <m:t>1</m:t>
            </m:r>
          </m:sub>
        </m:sSub>
      </m:oMath>
      <w:r>
        <w:t xml:space="preserve"> </w:t>
      </w:r>
      <w:r>
        <w:t xml:space="preserve">at</w:t>
      </w:r>
      <w:r>
        <w:t xml:space="preserve"> </w:t>
      </w:r>
      <m:oMath>
        <m:r>
          <m:t>0</m:t>
        </m:r>
        <m:r>
          <m:rPr>
            <m:sty m:val="p"/>
          </m:rPr>
          <m:t>%</m:t>
        </m:r>
      </m:oMath>
      <w:r>
        <w:t xml:space="preserve"> </w:t>
      </w:r>
      <w:r>
        <w:t xml:space="preserve">on the encoding cell,</w:t>
      </w:r>
      <w:r>
        <w:t xml:space="preserve"> </w:t>
      </w:r>
      <w:r>
        <w:rPr>
          <w:rStyle w:val="VerbatimChar"/>
        </w:rPr>
        <w:t xml:space="preserve">none</w:t>
      </w:r>
      <w:r>
        <w:t xml:space="preserve"> </w:t>
      </w:r>
      <w:r>
        <w:t xml:space="preserve">near</w:t>
      </w:r>
      <w:r>
        <w:t xml:space="preserve"> </w:t>
      </w:r>
      <m:oMath>
        <m:r>
          <m:t>0</m:t>
        </m:r>
      </m:oMath>
      <w:r>
        <w:t xml:space="preserve">), is verified per cell in §7; where a model’s prior</w:t>
      </w:r>
      <w:r>
        <w:t xml:space="preserve"> </w:t>
      </w:r>
      <w:r>
        <w:t xml:space="preserve">partially recovers a convention (the</w:t>
      </w:r>
      <w:r>
        <w:t xml:space="preserve"> </w:t>
      </w:r>
      <m:oMath>
        <m:r>
          <m:t>θ</m:t>
        </m:r>
      </m:oMath>
      <w:r>
        <w:t xml:space="preserve">-dependence of §3.3), the cap</w:t>
      </w:r>
      <w:r>
        <w:t xml:space="preserve"> </w:t>
      </w:r>
      <w:r>
        <w:t xml:space="preserve">premise weakens and we do not verify on those cells. The reverse implication, predicting the</w:t>
      </w:r>
      <w:r>
        <w:t xml:space="preserve"> </w:t>
      </w:r>
      <w:r>
        <w:t xml:space="preserve">realized crossover from the abstract theorem, requires Assumption 1, which our</w:t>
      </w:r>
      <w:r>
        <w:t xml:space="preserve"> </w:t>
      </w:r>
      <w:r>
        <w:t xml:space="preserve">task design enforces and our measurements verify.</w:t>
      </w:r>
    </w:p>
    <w:bookmarkEnd w:id="46"/>
    <w:bookmarkEnd w:id="47"/>
    <w:bookmarkStart w:id="56" w:name="sec:incomparability"/>
    <w:p>
      <w:pPr>
        <w:pStyle w:val="Heading1"/>
      </w:pPr>
      <w:r>
        <w:t xml:space="preserve">The incomparability theorem</w:t>
      </w:r>
    </w:p>
    <w:p>
      <w:pPr>
        <w:pStyle w:val="FirstParagraph"/>
      </w:pPr>
      <w:r>
        <w:t xml:space="preserve">§4 showed the order is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53" w:name="query-independent-scores-the-theorem"/>
    <w:p>
      <w:pPr>
        <w:pStyle w:val="Heading2"/>
      </w:pPr>
      <w:r>
        <w:t xml:space="preserve">Query-independent scores: the theorem</w:t>
      </w:r>
    </w:p>
    <w:bookmarkStart w:id="48"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and,</w:t>
      </w:r>
      <w:r>
        <w:rPr>
          <w:i/>
          <w:iCs/>
        </w:rPr>
        <w:t xml:space="preserve"> </w:t>
      </w:r>
      <w:r>
        <w:rPr>
          <w:i/>
          <w:iCs/>
        </w:rPr>
        <w:t xml:space="preserve">under Assumption 1, with the 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 them.</w:t>
      </w:r>
    </w:p>
    <w:bookmarkEnd w:id="48"/>
    <w:p>
      <w:pPr>
        <w:pStyle w:val="BodyText"/>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Start w:id="49" w:name="rem:c2scope"/>
    <w:p>
      <w:pPr>
        <w:pStyle w:val="BodyText"/>
      </w:pPr>
      <w:r>
        <w:rPr>
          <w:i/>
          <w:iCs/>
        </w:rPr>
        <w:t xml:space="preserve">Remark 2</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 The theorem is</w:t>
      </w:r>
      <w:r>
        <w:t xml:space="preserve"> </w:t>
      </w:r>
      <w:r>
        <w:t xml:space="preserve">mathematically a one-line consequence of Blackwell’s theorem; the contribution is the</w:t>
      </w:r>
      <w:r>
        <w:t xml:space="preserve"> </w:t>
      </w:r>
      <w:r>
        <w:rPr>
          <w:i/>
          <w:iCs/>
        </w:rPr>
        <w:t xml:space="preserve">application and framing</w:t>
      </w:r>
      <w:r>
        <w:t xml:space="preserve">, reading cross-task non-transfer of relevance as the signature of a</w:t>
      </w:r>
      <w:r>
        <w:t xml:space="preserve"> </w:t>
      </w:r>
      <w:r>
        <w:t xml:space="preserve">partial order, not new core mathematics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w:t>
      </w:r>
    </w:p>
    <w:bookmarkEnd w:id="49"/>
    <w:bookmarkStart w:id="50" w:name="rem:lean"/>
    <w:p>
      <w:pPr>
        <w:pStyle w:val="BodyText"/>
      </w:pPr>
      <w:r>
        <w:rPr>
          <w:i/>
          <w:iCs/>
        </w:rPr>
        <w:t xml:space="preserve">Remark 3</w:t>
      </w:r>
      <w:r>
        <w:t xml:space="preserve"> </w:t>
      </w:r>
      <w:r>
        <w:t xml:space="preserve">(Machine-checked).</w:t>
      </w:r>
      <w:r>
        <w:t xml:space="preserve"> </w:t>
      </w:r>
      <w:r>
        <w:t xml:space="preserve"> </w:t>
      </w:r>
      <w:r>
        <w:t xml:space="preserve">Theorem 2 and Proposition 2 are formalized and</w:t>
      </w:r>
      <w:r>
        <w:t xml:space="preserve"> </w:t>
      </w:r>
      <w:r>
        <w:t xml:space="preserve">machine-checked in Lean 4 (</w:t>
      </w:r>
      <w:r>
        <w:rPr>
          <w:rStyle w:val="VerbatimChar"/>
        </w:rPr>
        <w:t xml:space="preserve">lean/ContextSelection.lean</w:t>
      </w:r>
      <w:r>
        <w:t xml:space="preserve"> </w:t>
      </w:r>
      <w:r>
        <w:t xml:space="preserve">in the artifact repository, as</w:t>
      </w:r>
      <w:r>
        <w:t xml:space="preserve"> </w:t>
      </w:r>
      <w:r>
        <w:rPr>
          <w:rStyle w:val="VerbatimChar"/>
        </w:rPr>
        <w:t xml:space="preserve">no_faithful_query_independent_score</w:t>
      </w:r>
      <w:r>
        <w:t xml:space="preserve"> </w:t>
      </w:r>
      <w:r>
        <w:t xml:space="preserve">and</w:t>
      </w:r>
      <w:r>
        <w:t xml:space="preserve"> </w:t>
      </w:r>
      <w:r>
        <w:rPr>
          <w:rStyle w:val="VerbatimChar"/>
        </w:rPr>
        <w:t xml:space="preserve">topical_score_misranks_trap</w:t>
      </w:r>
      <w:r>
        <w:t xml:space="preserve">). The</w:t>
      </w:r>
      <w:r>
        <w:t xml:space="preserve"> </w:t>
      </w:r>
      <w:r>
        <w:t xml:space="preserve">formalization takes no dependency on Mathlib and checks against a bare</w:t>
      </w:r>
      <w:r>
        <w:t xml:space="preserve"> </w:t>
      </w:r>
      <w:r>
        <w:rPr>
          <w:rStyle w:val="VerbatimChar"/>
        </w:rPr>
        <w:t xml:space="preserve">lean</w:t>
      </w:r>
      <w:r>
        <w:t xml:space="preserve"> </w:t>
      </w:r>
      <w:r>
        <w:t xml:space="preserve">binary; the</w:t>
      </w:r>
      <w:r>
        <w:t xml:space="preserve"> </w:t>
      </w:r>
      <w:r>
        <w:t xml:space="preserve">order on the score codomain is passed explicitly rather than drawn from a typeclass hierarchy,</w:t>
      </w:r>
      <w:r>
        <w:t xml:space="preserve"> </w:t>
      </w:r>
      <w:r>
        <w:t xml:space="preserve">which records the fact that the obstruction is</w:t>
      </w:r>
      <w:r>
        <w:t xml:space="preserve"> </w:t>
      </w:r>
      <w:r>
        <w:rPr>
          <w:i/>
          <w:iCs/>
        </w:rPr>
        <w:t xml:space="preserve">totality of the induced ranking alone</w:t>
      </w:r>
      <w:r>
        <w:t xml:space="preserve">, not any</w:t>
      </w:r>
      <w:r>
        <w:t xml:space="preserve"> </w:t>
      </w:r>
      <w:r>
        <w:t xml:space="preserve">property of</w:t>
      </w:r>
      <w:r>
        <w:t xml:space="preserve"> </w:t>
      </w:r>
      <m:oMath>
        <m:r>
          <m:rPr>
            <m:scr m:val="double-struck"/>
            <m:sty m:val="p"/>
          </m:rPr>
          <m:t>R</m:t>
        </m:r>
      </m:oMath>
      <w:r>
        <w:t xml:space="preserve">. Every scalar in the excluded class therefore falls under the one theorem.</w:t>
      </w:r>
      <w:r>
        <w:t xml:space="preserve"> </w:t>
      </w:r>
      <w:r>
        <w:t xml:space="preserve">A</w:t>
      </w:r>
      <w:r>
        <w:t xml:space="preserve"> </w:t>
      </w:r>
      <w:r>
        <w:rPr>
          <w:rStyle w:val="VerbatimChar"/>
        </w:rPr>
        <w:t xml:space="preserve">Demo</w:t>
      </w:r>
      <w:r>
        <w:t xml:space="preserve"> </w:t>
      </w:r>
      <w:r>
        <w:t xml:space="preserve">namespace instantiates both results on the paper’s own configuration, so the</w:t>
      </w:r>
      <w:r>
        <w:t xml:space="preserve"> </w:t>
      </w:r>
      <w:r>
        <w:t xml:space="preserve">impossibility statements are not vacuous, and</w:t>
      </w:r>
      <w:r>
        <w:t xml:space="preserve"> </w:t>
      </w:r>
      <w:r>
        <w:rPr>
          <w:rStyle w:val="VerbatimChar"/>
        </w:rPr>
        <w:t xml:space="preserve">#print axioms</w:t>
      </w:r>
      <w:r>
        <w:t xml:space="preserve"> </w:t>
      </w:r>
      <w:r>
        <w:t xml:space="preserve">reports that both central</w:t>
      </w:r>
      <w:r>
        <w:t xml:space="preserve"> </w:t>
      </w:r>
      <w:r>
        <w:t xml:space="preserve">theorems depend on</w:t>
      </w:r>
      <w:r>
        <w:t xml:space="preserve"> </w:t>
      </w:r>
      <w:r>
        <w:rPr>
          <w:i/>
          <w:iCs/>
        </w:rPr>
        <w:t xml:space="preserve">no</w:t>
      </w:r>
      <w:r>
        <w:t xml:space="preserve"> </w:t>
      </w:r>
      <w:r>
        <w:t xml:space="preserve">axioms: the arguments are constructive, using neither choice nor</w:t>
      </w:r>
      <w:r>
        <w:t xml:space="preserve"> </w:t>
      </w:r>
      <w:r>
        <w:t xml:space="preserve">excluded middle. What is</w:t>
      </w:r>
      <w:r>
        <w:t xml:space="preserve"> </w:t>
      </w:r>
      <w:r>
        <w:rPr>
          <w:i/>
          <w:iCs/>
        </w:rPr>
        <w:t xml:space="preserve">not</w:t>
      </w:r>
      <w:r>
        <w:t xml:space="preserve"> </w:t>
      </w:r>
      <w:r>
        <w:t xml:space="preserve">formalized is stated as plainly: the</w:t>
      </w:r>
      <w:r>
        <w:t xml:space="preserve"> </w:t>
      </w:r>
      <w:r>
        <w:t xml:space="preserve">Blackwell–Sherman–Stein theorem remains a cited classical black box</w:t>
      </w:r>
      <w:r>
        <w:t xml:space="preserve"> </w:t>
      </w:r>
      <w:r>
        <w:t xml:space="preserve">(Theorem 1), and the statistical procedures of §6 are claims</w:t>
      </w:r>
      <w:r>
        <w:t xml:space="preserve"> </w:t>
      </w:r>
      <w:r>
        <w:t xml:space="preserve">about measurements rather than theorems.</w:t>
      </w:r>
    </w:p>
    <w:bookmarkEnd w:id="50"/>
    <w:bookmarkStart w:id="51"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w:t>
      </w:r>
      <w:hyperlink w:anchor="ref-ethayarajh2022">
        <w:r>
          <w:rPr>
            <w:rStyle w:val="Hyperlink"/>
            <w:i/>
            <w:iCs/>
          </w:rPr>
          <w:t xml:space="preserve">2022</w:t>
        </w:r>
      </w:hyperlink>
      <w:r>
        <w:rPr>
          <w:i/>
          <w:iCs/>
        </w:rPr>
        <w:t xml:space="preserve">)</w:t>
      </w:r>
      <w:r>
        <w:rPr>
          <w:i/>
          <w:iCs/>
        </w:rPr>
        <w:t xml:space="preserve">, as the reduction in expected predictive Bayes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51"/>
    <w:bookmarkStart w:id="52" w:name="rem:vinfo-scope"/>
    <w:p>
      <w:pPr>
        <w:pStyle w:val="BodyText"/>
      </w:pPr>
      <w:r>
        <w:rPr>
          <w:i/>
          <w:iCs/>
        </w:rPr>
        <w:t xml:space="preserve">Remark 4</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and conjecture, rather than</w:t>
      </w:r>
      <w:r>
        <w:t xml:space="preserve"> </w:t>
      </w:r>
      <w:r>
        <w:t xml:space="preserve">prove, the analogue for mutual information, perplexity-gap, and fixed-prior EIG, each of which is</w:t>
      </w:r>
      <w:r>
        <w:t xml:space="preserve"> </w:t>
      </w:r>
      <w:r>
        <w:t xml:space="preserve">a data-processing-monotone functional of the same kernels.</w:t>
      </w:r>
    </w:p>
    <w:bookmarkEnd w:id="52"/>
    <w:bookmarkEnd w:id="53"/>
    <w:bookmarkStart w:id="55"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2</w:t>
      </w:r>
      <w:r>
        <w:t xml:space="preserve"> </w:t>
      </w:r>
      <w:r>
        <w:t xml:space="preserve">does</w:t>
      </w:r>
      <w:r>
        <w:t xml:space="preserve"> </w:t>
      </w:r>
      <w:r>
        <w:rPr>
          <w:i/>
          <w:iCs/>
        </w:rPr>
        <w:t xml:space="preserve">not</w:t>
      </w:r>
      <w:r>
        <w:t xml:space="preserve"> </w:t>
      </w:r>
      <w:r>
        <w:t xml:space="preserve">cover it. We make two precise statements instead.</w:t>
      </w:r>
    </w:p>
    <w:bookmarkStart w:id="54"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oMath>
      <w:r>
        <w:rPr>
          <w:i/>
          <w:iCs/>
        </w:rPr>
        <w:t xml:space="preserve"> </w:t>
      </w:r>
      <w:r>
        <w:rPr>
          <w:i/>
          <w:iCs/>
        </w:rPr>
        <w:t xml:space="preserve">is measurable with respect to a fixed feature map of the pair</w:t>
      </w:r>
      <w:r>
        <w:rPr>
          <w:i/>
          <w:iCs/>
        </w:rPr>
        <w:t xml:space="preserve"> </w:t>
      </w:r>
      <m:oMath>
        <m:r>
          <m:rPr>
            <m:sty m:val="p"/>
          </m:rPr>
          <m:t>(</m:t>
        </m:r>
        <m:r>
          <m:t>W</m:t>
        </m:r>
        <m:r>
          <m:rPr>
            <m:sty m:val="p"/>
          </m:rPr>
          <m:t>,</m:t>
        </m:r>
        <m:r>
          <m:t>T</m:t>
        </m:r>
        <m:r>
          <m:rPr>
            <m:sty m:val="p"/>
          </m:rPr>
          <m:t>)</m:t>
        </m:r>
      </m:oMath>
      <w:r>
        <w:rPr>
          <w:i/>
          <w:iCs/>
        </w:rPr>
        <w:t xml:space="preserve"> </w:t>
      </w:r>
      <w:r>
        <w:rPr>
          <w:i/>
          <w:iCs/>
        </w:rPr>
        <w:t xml:space="preserve">that</w:t>
      </w:r>
      <w:r>
        <w:rPr>
          <w:i/>
          <w:iCs/>
        </w:rPr>
        <w:t xml:space="preserve"> </w:t>
      </w:r>
      <w:r>
        <w:rPr>
          <w:i/>
          <w:iCs/>
        </w:rPr>
        <w:t xml:space="preserve">is</w:t>
      </w:r>
      <w:r>
        <w:rPr>
          <w:i/>
          <w:iCs/>
        </w:rPr>
        <w:t xml:space="preserve"> </w:t>
      </w:r>
      <w:r>
        <w:rPr>
          <w:i/>
          <w:i/>
          <w:iCs/>
          <w:iCs/>
        </w:rPr>
        <w:t xml:space="preserve">topical</w:t>
      </w:r>
      <w:r>
        <w:rPr>
          <w:i/>
          <w:iCs/>
        </w:rPr>
        <w:t xml:space="preserve">: it depends on</w:t>
      </w:r>
      <w:r>
        <w:rPr>
          <w:i/>
          <w:iCs/>
        </w:rPr>
        <w:t xml:space="preserve"> </w:t>
      </w:r>
      <m:oMath>
        <m:r>
          <m:t>W</m:t>
        </m:r>
        <m:r>
          <m:rPr>
            <m:sty m:val="p"/>
          </m:rPr>
          <m:t>,</m:t>
        </m:r>
        <m:r>
          <m:t>T</m:t>
        </m:r>
      </m:oMath>
      <w:r>
        <w:rPr>
          <w:i/>
          <w:iCs/>
        </w:rPr>
        <w:t xml:space="preserve"> </w:t>
      </w:r>
      <w:r>
        <w:rPr>
          <w:i/>
          <w:iCs/>
        </w:rPr>
        <w:t xml:space="preserve">only through surface lexical overlap and is invariant to the</w:t>
      </w:r>
      <w:r>
        <w:rPr>
          <w:i/>
          <w:iCs/>
        </w:rPr>
        <w:t xml:space="preserve"> </w:t>
      </w:r>
      <w:r>
        <w:rPr>
          <w:i/>
          <w:iCs/>
        </w:rPr>
        <w:t xml:space="preserve">verifier-decisive coordinate of</w:t>
      </w:r>
      <w:r>
        <w:rPr>
          <w:i/>
          <w:iCs/>
        </w:rPr>
        <w:t xml:space="preserve"> </w:t>
      </w:r>
      <m:oMath>
        <m:sSub>
          <m:e>
            <m:r>
              <m:t>S</m:t>
            </m:r>
          </m:e>
          <m:sub>
            <m:r>
              <m:t>T</m:t>
            </m:r>
          </m:sub>
        </m:sSub>
      </m:oMath>
      <w:r>
        <w:rPr>
          <w:i/>
          <w:iCs/>
        </w:rPr>
        <w:t xml:space="preserve">. If there is a task</w:t>
      </w:r>
      <w:r>
        <w:rPr>
          <w:i/>
          <w:iCs/>
        </w:rPr>
        <w:t xml:space="preserve"> </w:t>
      </w:r>
      <m:oMath>
        <m:sSub>
          <m:e>
            <m:r>
              <m:t>T</m:t>
            </m:r>
          </m:e>
          <m:sub>
            <m:r>
              <m:t>c</m:t>
            </m:r>
          </m:sub>
        </m:sSub>
      </m:oMath>
      <w:r>
        <w:rPr>
          <w:i/>
          <w:iCs/>
        </w:rPr>
        <w:t xml:space="preserve"> </w:t>
      </w:r>
      <w:r>
        <w:rPr>
          <w:i/>
          <w:iCs/>
        </w:rPr>
        <w:t xml:space="preserve">whose decisive</w:t>
      </w:r>
      <w:r>
        <w:rPr>
          <w:i/>
          <w:iCs/>
        </w:rPr>
        <w:t xml:space="preserve"> </w:t>
      </w:r>
      <w:r>
        <w:rPr>
          <w:i/>
          <w:iCs/>
        </w:rPr>
        <w:t xml:space="preserve">coordinate is supplied by</w:t>
      </w:r>
      <w:r>
        <w:rPr>
          <w:i/>
          <w:iCs/>
        </w:rPr>
        <w:t xml:space="preserve"> </w:t>
      </w:r>
      <m:oMath>
        <m:sSub>
          <m:e>
            <m:r>
              <m:t>W</m:t>
            </m:r>
          </m:e>
          <m:sub>
            <m:r>
              <m:t>1</m:t>
            </m:r>
          </m:sub>
        </m:sSub>
      </m:oMath>
      <w:r>
        <w:rPr>
          <w:i/>
          <w:iCs/>
        </w:rPr>
        <w:t xml:space="preserve"> </w:t>
      </w:r>
      <w:r>
        <w:rPr>
          <w:i/>
          <w:iCs/>
        </w:rPr>
        <w:t xml:space="preserve">but whose surface lexicon is saturated with</w:t>
      </w:r>
      <w:r>
        <w:rPr>
          <w:i/>
          <w:iCs/>
        </w:rPr>
        <w:t xml:space="preserve"> </w:t>
      </w:r>
      <m:oMath>
        <m:sSub>
          <m:e>
            <m:r>
              <m:t>W</m:t>
            </m:r>
          </m:e>
          <m:sub>
            <m:r>
              <m:t>2</m:t>
            </m:r>
          </m:sub>
        </m:sSub>
      </m:oMath>
      <w:r>
        <w:rPr>
          <w:i/>
          <w:iCs/>
        </w:rPr>
        <w:t xml:space="preserve">’s vocabulary,</w:t>
      </w:r>
      <w:r>
        <w:rPr>
          <w:i/>
          <w:iCs/>
        </w:rPr>
        <w:t xml:space="preserve"> </w:t>
      </w:r>
      <w:r>
        <w:rPr>
          <w:i/>
          <w:iCs/>
        </w:rPr>
        <w:t xml:space="preserve">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w:t>
      </w:r>
      <w:r>
        <w:rPr>
          <w:i/>
          <w:iCs/>
        </w:rPr>
        <w:t xml:space="preserve">while the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 Hence no topical query-conditioned score 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54"/>
    <w:p>
      <w:pPr>
        <w:pStyle w:val="BodyText"/>
      </w:pPr>
      <w:r>
        <w:rPr>
          <w:i/>
          <w:iCs/>
        </w:rPr>
        <w:t xml:space="preserve">Proof.</w:t>
      </w:r>
      <w:r>
        <w:t xml:space="preserve"> </w:t>
      </w:r>
      <w:r>
        <w:t xml:space="preserve">By topical invariance,</w:t>
      </w:r>
      <w:r>
        <w:t xml:space="preserve"> </w:t>
      </w:r>
      <m:oMath>
        <m:r>
          <m:t>φ</m:t>
        </m:r>
        <m:r>
          <m:rPr>
            <m:sty m:val="p"/>
          </m:rPr>
          <m:t>(</m:t>
        </m:r>
        <m:r>
          <m:rPr>
            <m:sty m:val="p"/>
          </m:rPr>
          <m:t>⋅</m:t>
        </m:r>
        <m:r>
          <m:rPr>
            <m:sty m:val="p"/>
          </m:rPr>
          <m:t>,</m:t>
        </m:r>
        <m:sSub>
          <m:e>
            <m:r>
              <m:t>T</m:t>
            </m:r>
          </m:e>
          <m:sub>
            <m:r>
              <m:t>c</m:t>
            </m:r>
          </m:sub>
        </m:sSub>
        <m:r>
          <m:rPr>
            <m:sty m:val="p"/>
          </m:rPr>
          <m:t>)</m:t>
        </m:r>
      </m:oMath>
      <w:r>
        <w:t xml:space="preserve"> </w:t>
      </w:r>
      <w:r>
        <w:t xml:space="preserve">ignores the verifier-decisive coordinate and orders by</w:t>
      </w:r>
      <w:r>
        <w:t xml:space="preserve"> </w:t>
      </w:r>
      <w:r>
        <w:t xml:space="preserve">lexical overlap, which favours</w:t>
      </w:r>
      <w:r>
        <w:t xml:space="preserve"> </w:t>
      </w:r>
      <m:oMath>
        <m:sSub>
          <m:e>
            <m:r>
              <m:t>W</m:t>
            </m:r>
          </m:e>
          <m:sub>
            <m:r>
              <m:t>2</m:t>
            </m:r>
          </m:sub>
        </m:sSub>
      </m:oMath>
      <w:r>
        <w:t xml:space="preserve"> </w:t>
      </w:r>
      <w:r>
        <w:t xml:space="preserve">on</w:t>
      </w:r>
      <w:r>
        <w:t xml:space="preserve"> </w:t>
      </w:r>
      <m:oMath>
        <m:sSub>
          <m:e>
            <m:r>
              <m:t>T</m:t>
            </m:r>
          </m:e>
          <m:sub>
            <m:r>
              <m:t>c</m:t>
            </m:r>
          </m:sub>
        </m:sSub>
      </m:oMath>
      <w:r>
        <w:t xml:space="preserve"> </w:t>
      </w:r>
      <w:r>
        <w:t xml:space="preserve">by construction;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w:t>
      </w:r>
      <w:r>
        <w:t xml:space="preserve"> </w:t>
      </w:r>
      <w:r>
        <w:t xml:space="preserve">PASS requires</w:t>
      </w:r>
      <w:r>
        <w:t xml:space="preserve"> </w:t>
      </w:r>
      <m:oMath>
        <m:sSub>
          <m:e>
            <m:r>
              <m:t>W</m:t>
            </m:r>
          </m:e>
          <m:sub>
            <m:r>
              <m:t>1</m:t>
            </m:r>
          </m:sub>
        </m:sSub>
      </m:oMath>
      <w:r>
        <w:t xml:space="preserve">’s coordinate. The two orders disagree on</w:t>
      </w:r>
      <w:r>
        <w:t xml:space="preserve"> </w:t>
      </w:r>
      <m:oMath>
        <m:sSub>
          <m:e>
            <m:r>
              <m:t>T</m:t>
            </m:r>
          </m:e>
          <m:sub>
            <m:r>
              <m:t>c</m:t>
            </m:r>
          </m:sub>
        </m:sSub>
      </m:oMath>
      <w:r>
        <w:t xml:space="preserve">. ◻</w:t>
      </w:r>
    </w:p>
    <w:p>
      <w:pPr>
        <w:pStyle w:val="BodyText"/>
      </w:pPr>
      <w:r>
        <w:t xml:space="preserve">Proposition 2 is the strongest</w:t>
      </w:r>
      <w:r>
        <w:t xml:space="preserve"> </w:t>
      </w:r>
      <w:r>
        <w:rPr>
          <w:i/>
          <w:iCs/>
        </w:rPr>
        <w:t xml:space="preserve">general</w:t>
      </w:r>
      <w:r>
        <w:t xml:space="preserve"> </w:t>
      </w:r>
      <w:r>
        <w:t xml:space="preserve">statement we can make about</w:t>
      </w:r>
      <w:r>
        <w:t xml:space="preserve"> </w:t>
      </w:r>
      <w:r>
        <w:t xml:space="preserve">query-conditioned scores: it holds for any score in the topical (lexical-feature) class, but not for</w:t>
      </w:r>
      <w:r>
        <w:t xml:space="preserve"> </w:t>
      </w:r>
      <w:r>
        <w:t xml:space="preserve">an arbitrary learned reranker that could, in principle, read the private coordinate. We therefore</w:t>
      </w:r>
      <w:r>
        <w:t xml:space="preserve"> </w:t>
      </w:r>
      <w:r>
        <w:t xml:space="preserve">treat the defeat of query-conditioned relevance as an</w:t>
      </w:r>
      <w:r>
        <w:t xml:space="preserve"> </w:t>
      </w:r>
      <w:r>
        <w:rPr>
          <w:i/>
          <w:iCs/>
        </w:rPr>
        <w:t xml:space="preserve">empirical</w:t>
      </w:r>
      <w:r>
        <w:t xml:space="preserve"> </w:t>
      </w:r>
      <w:r>
        <w:t xml:space="preserve">result, demonstrated for the</w:t>
      </w:r>
      <w:r>
        <w:t xml:space="preserve"> </w:t>
      </w:r>
      <w:r>
        <w:t xml:space="preserve">concrete lexical-cosine score practitioners use. In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96</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oMath>
      <w:r>
        <w:t xml:space="preserve">–</w:t>
      </w:r>
      <m:oMath>
        <m:r>
          <m:t>10</m:t>
        </m:r>
        <m:r>
          <m:rPr>
            <m:sty m:val="p"/>
          </m:rPr>
          <m:t>%</m:t>
        </m:r>
      </m:oMath>
      <w:r>
        <w:t xml:space="preserve"> </w:t>
      </w:r>
      <w:r>
        <w:t xml:space="preserve">across all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(§7.4.2, Table 5), so the topical class is not a lexical strawman: its failure mode is shared by the ranker</w:t>
      </w:r>
      <w:r>
        <w:t xml:space="preserve"> </w:t>
      </w:r>
      <w:r>
        <w:t xml:space="preserve">families retrieval systems actually deploy.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2 predicts, its hypothesis is topicality</w:t>
      </w:r>
      <w:r>
        <w:t xml:space="preserve"> </w:t>
      </w:r>
      <w:r>
        <w:t xml:space="preserve">(invariance to the verifier-decisive coordinate), and a ranker that reads the coordinate is simply</w:t>
      </w:r>
      <w:r>
        <w:t xml:space="preserve"> </w:t>
      </w:r>
      <w:r>
        <w:t xml:space="preserve">outside the impossibility class.</w:t>
      </w:r>
    </w:p>
    <w:bookmarkEnd w:id="55"/>
    <w:bookmarkEnd w:id="56"/>
    <w:bookmarkStart w:id="68" w:name="sec:estimator"/>
    <w:p>
      <w:pPr>
        <w:pStyle w:val="Heading1"/>
      </w:pPr>
      <w:r>
        <w:t xml:space="preserve">The decision-restricted deficiency surrogate and its uniform verification</w:t>
      </w:r>
    </w:p>
    <w:p>
      <w:pPr>
        <w:pStyle w:val="FirstParagraph"/>
      </w:pPr>
      <w:r>
        <w:t xml:space="preserve">The impossibility of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8"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7" w:name="rem:notlecam"/>
    <w:p>
      <w:pPr>
        <w:pStyle w:val="BodyText"/>
      </w:pPr>
      <w:r>
        <w:rPr>
          <w:i/>
          <w:iCs/>
        </w:rPr>
        <w:t xml:space="preserve">Remark 5</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w:t>
      </w:r>
      <w:hyperlink w:anchor="ref-lecam1964">
        <w:r>
          <w:rPr>
            <w:rStyle w:val="Hyperlink"/>
          </w:rPr>
          <w:t xml:space="preserve">Le Cam 1964</w:t>
        </w:r>
      </w:hyperlink>
      <w:r>
        <w:t xml:space="preserve">,</w:t>
      </w:r>
      <w:r>
        <w:t xml:space="preserve"> </w:t>
      </w:r>
      <w:hyperlink w:anchor="ref-lecam1986">
        <w:r>
          <w:rPr>
            <w:rStyle w:val="Hyperlink"/>
          </w:rPr>
          <w:t xml:space="preserve">1986</w:t>
        </w:r>
      </w:hyperlink>
      <w:r>
        <w:t xml:space="preserve">;</w:t>
      </w:r>
      <w:r>
        <w:t xml:space="preserve"> </w:t>
      </w:r>
      <w:hyperlink w:anchor="ref-torgersen1991">
        <w:r>
          <w:rPr>
            <w:rStyle w:val="Hyperlink"/>
          </w:rPr>
          <w:t xml:space="preserve">Torgersen 1991</w:t>
        </w:r>
      </w:hyperlink>
      <w:r>
        <w:t xml:space="preserve">)</w:t>
      </w:r>
      <w:r>
        <w:t xml:space="preserve">. The quantity in</w:t>
      </w:r>
      <w:r>
        <w:t xml:space="preserve"> </w:t>
      </w:r>
      <w:r>
        <w:t xml:space="preserve">(4)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(4)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7"/>
    <w:bookmarkEnd w:id="58"/>
    <w:bookmarkStart w:id="61" w:name="subsec:certificate"/>
    <w:p>
      <w:pPr>
        <w:pStyle w:val="Heading2"/>
      </w:pPr>
      <w:r>
        <w:t xml:space="preserve">The uniform verification</w:t>
      </w:r>
    </w:p>
    <w:p>
      <w:pPr>
        <w:pStyle w:val="FirstParagraph"/>
      </w:pPr>
      <w:r>
        <w:t xml:space="preserve">The surrogate (4)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9"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w:t>
      </w:r>
      <w:hyperlink w:anchor="ref-clopperpearson1934">
        <w:r>
          <w:rPr>
            <w:rStyle w:val="Hyperlink"/>
            <w:i/>
            <w:iCs/>
          </w:rPr>
          <w:t xml:space="preserve">Clopper and Pearson 1934</w:t>
        </w:r>
      </w:hyperlink>
      <w:r>
        <w:rPr>
          <w:i/>
          <w:iCs/>
        </w:rPr>
        <w:t xml:space="preserve">)</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w:t>
      </w:r>
      <w:hyperlink w:anchor="ref-bonferroni1936">
        <w:r>
          <w:rPr>
            <w:rStyle w:val="Hyperlink"/>
            <w:i/>
            <w:iCs/>
          </w:rPr>
          <w:t xml:space="preserve">Bonferroni 1936</w:t>
        </w:r>
      </w:hyperlink>
      <w:r>
        <w:rPr>
          <w:i/>
          <w:iCs/>
        </w:rPr>
        <w:t xml:space="preserve">)</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so the</w:t>
      </w:r>
      <w:r>
        <w:rPr>
          <w:i/>
          <w:iCs/>
        </w:rPr>
        <w:t xml:space="preserve"> </w:t>
      </w:r>
      <w:r>
        <w:rPr>
          <w:i/>
          <w:iCs/>
        </w:rPr>
        <w:t xml:space="preserve">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 additional correction.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9"/>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60"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so the draws are manifestly independent and the binomial model applies directly; we report</w:t>
      </w:r>
      <w:r>
        <w:t xml:space="preserve"> </w:t>
      </w:r>
      <w:r>
        <w:t xml:space="preserve">the decoding configuration in §7.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60"/>
    <w:bookmarkEnd w:id="61"/>
    <w:bookmarkStart w:id="64"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r>
          <m:t>θ</m:t>
        </m:r>
        <m:r>
          <m:rPr>
            <m:sty m:val="p"/>
          </m:rPr>
          <m:t>)</m:t>
        </m:r>
      </m:oMath>
      <w:r>
        <w:t xml:space="preserve">). A</w:t>
      </w:r>
      <w:r>
        <w:t xml:space="preserve"> </w:t>
      </w:r>
      <w:r>
        <w:t xml:space="preserve">verified</w:t>
      </w:r>
      <w:r>
        <w:t xml:space="preserve"> </w:t>
      </w:r>
      <m:oMath>
        <m:sSub>
          <m:e>
            <m:r>
              <m:rPr>
                <m:sty m:val="p"/>
              </m:rPr>
              <m:t>Ψ</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w:t>
      </w:r>
      <w:r>
        <w:t xml:space="preserve"> </w:t>
      </w:r>
      <w:r>
        <w:t xml:space="preserve">strictly-more-informative context hurts.”</w:t>
      </w:r>
    </w:p>
    <w:bookmarkStart w:id="62"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With per-cell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at level</w:t>
      </w:r>
      <w:r>
        <w:rPr>
          <w:i/>
          <w:iCs/>
        </w:rPr>
        <w:t xml:space="preserve"> </w:t>
      </w:r>
      <m:oMath>
        <m:r>
          <m:t>α</m:t>
        </m:r>
        <m:r>
          <m:rPr>
            <m:sty m:val="p"/>
          </m:rPr>
          <m:t>=</m:t>
        </m:r>
        <m:r>
          <m:t>η</m:t>
        </m:r>
        <m:r>
          <m:rPr>
            <m:sty m:val="p"/>
          </m:rPr>
          <m:t>/</m:t>
        </m:r>
        <m:r>
          <m:t>4</m:t>
        </m:r>
      </m:oMath>
      <w:r>
        <w:rPr>
          <w:i/>
          <w:iCs/>
        </w:rPr>
        <w:t xml:space="preserve"> </w:t>
      </w:r>
      <w:r>
        <w:rPr>
          <w:i/>
          <w:iCs/>
        </w:rPr>
        <w:t xml:space="preserve">on the four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sSub>
          <m:e>
            <m:r>
              <m:t>W</m:t>
            </m:r>
          </m:e>
          <m:sub>
            <m:r>
              <m:t>2</m:t>
            </m:r>
          </m:sub>
        </m:sSub>
        <m:r>
          <m:rPr>
            <m:sty m:val="p"/>
          </m:rPr>
          <m:t>,</m:t>
        </m:r>
        <m:r>
          <m:rPr>
            <m:nor/>
            <m:scr m:val="monospace"/>
            <m:sty m:val="p"/>
          </m:rPr>
          <m:t>none</m:t>
        </m:r>
        <m:r>
          <m:rPr>
            <m:sty m:val="p"/>
          </m:rPr>
          <m:t>}</m:t>
        </m:r>
      </m:oMath>
      <w:r>
        <w:rPr>
          <w:i/>
          <w:iCs/>
        </w:rPr>
        <w:t xml:space="preserve"> </w:t>
      </w:r>
      <w:r>
        <w:rPr>
          <w:i/>
          <w:iCs/>
        </w:rPr>
        <w:t xml:space="preserve">of</w:t>
      </w:r>
      <w:r>
        <w:rPr>
          <w:i/>
          <w:iCs/>
        </w:rPr>
        <w:t xml:space="preserve"> </w:t>
      </w:r>
      <m:oMath>
        <m:sSup>
          <m:e>
            <m:r>
              <m:t>T</m:t>
            </m:r>
          </m:e>
          <m:sup>
            <m:r>
              <m:rPr>
                <m:sty m:val="p"/>
              </m:rPr>
              <m:t>⋆</m:t>
            </m:r>
          </m:sup>
        </m:sSup>
      </m:oMath>
      <w:r>
        <w:rPr>
          <w:i/>
          <w:iCs/>
        </w:rPr>
        <w:t xml:space="preserve">,</w:t>
      </w:r>
      <w:r>
        <w:rPr>
          <w:i/>
          <w:iCs/>
        </w:rPr>
        <w:t xml:space="preserve"> </w:t>
      </w:r>
      <m:oMathPara>
        <m:oMathParaPr>
          <m:jc m:val="center"/>
        </m:oMathParaPr>
        <m:oMath>
          <m:sSub>
            <m:e>
              <m:bar>
                <m:barPr>
                  <m:pos m:val="top"/>
                </m:barPr>
                <m:e>
                  <m:r>
                    <m:rPr>
                      <m:sty m:val="p"/>
                    </m:rPr>
                    <m:t>Ψ</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2</m:t>
                  </m:r>
                </m:sub>
              </m:sSub>
            </m:sub>
          </m:sSub>
          <m:r>
            <m:rPr>
              <m:sty m:val="p"/>
            </m:rPr>
            <m:t>)</m:t>
          </m:r>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Ψ</m:t>
            </m:r>
          </m:e>
          <m:sub>
            <m:sSup>
              <m:e>
                <m:r>
                  <m:t>T</m:t>
                </m:r>
              </m:e>
              <m:sup>
                <m:r>
                  <m:rPr>
                    <m:sty m:val="p"/>
                  </m:rPr>
                  <m:t>⋆</m:t>
                </m:r>
              </m:sup>
            </m:sSup>
          </m:sub>
        </m:sSub>
      </m:oMath>
      <w:r>
        <w:rPr>
          <w:i/>
          <w:iCs/>
        </w:rPr>
        <w:t xml:space="preserve">. Hence</w:t>
      </w:r>
      <w:r>
        <w:rPr>
          <w:i/>
          <w:iCs/>
        </w:rPr>
        <w:t xml:space="preserve"> </w:t>
      </w:r>
      <m:oMath>
        <m:sSub>
          <m:e>
            <m:bar>
              <m:barPr>
                <m:pos m:val="top"/>
              </m:barPr>
              <m:e>
                <m:r>
                  <m:rPr>
                    <m:sty m:val="p"/>
                  </m:rPr>
                  <m:t>Ψ</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 harmful non-monotonicity</w:t>
      </w:r>
      <w:r>
        <w:rPr>
          <w:i/>
          <w:iCs/>
        </w:rPr>
        <w:t xml:space="preserve"> </w:t>
      </w:r>
      <m:oMath>
        <m:sSub>
          <m:e>
            <m:r>
              <m:rPr>
                <m:sty m:val="p"/>
              </m:rPr>
              <m:t>Ψ</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w:t>
      </w:r>
      <w:r>
        <w:rPr>
          <w:i/>
          <w:iCs/>
        </w:rPr>
        <w:t xml:space="preserve"> </w:t>
      </w:r>
      <w:r>
        <w:rPr>
          <w:i/>
          <w:iCs/>
        </w:rPr>
        <w:t xml:space="preserve">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4</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(Remark 7), and omitting it would repeat the multiplicity error we criticize.</w:t>
      </w:r>
    </w:p>
    <w:bookmarkEnd w:id="62"/>
    <w:bookmarkStart w:id="63" w:name="rem:leaky"/>
    <w:p>
      <w:pPr>
        <w:pStyle w:val="FirstParagraph"/>
      </w:pPr>
      <w:r>
        <w:rPr>
          <w:i/>
          <w:iCs/>
        </w:rPr>
        <w:t xml:space="preserve">Remark 6</w:t>
      </w:r>
      <w:r>
        <w:t xml:space="preserve"> </w:t>
      </w:r>
      <w:r>
        <w:t xml:space="preserve">(The leaky-baseline limitation, stated as a protocol).</w:t>
      </w:r>
      <w:r>
        <w:t xml:space="preserve"> </w:t>
      </w:r>
      <w:r>
        <w:t xml:space="preserve"> </w:t>
      </w:r>
      <w:r>
        <w:t xml:space="preserve">The upper bound (7) includes</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w:r>
        <w:t xml:space="preserve">, so it</w:t>
      </w:r>
      <w:r>
        <w:t xml:space="preserve"> </w:t>
      </w:r>
      <w:r>
        <w:t xml:space="preserve">can verify harm only on cells whose</w:t>
      </w:r>
      <w:r>
        <w:t xml:space="preserve"> </w:t>
      </w:r>
      <w:r>
        <w:rPr>
          <w:rStyle w:val="VerbatimChar"/>
        </w:rPr>
        <w:t xml:space="preserve">none</w:t>
      </w:r>
      <w:r>
        <w:t xml:space="preserve">-baseline floors near</w:t>
      </w:r>
      <w:r>
        <w:t xml:space="preserve"> </w:t>
      </w:r>
      <m:oMath>
        <m:r>
          <m:t>0</m:t>
        </m:r>
      </m:oMath>
      <w:r>
        <w:t xml:space="preserve"> </w:t>
      </w:r>
      <w:r>
        <w:t xml:space="preserve">(the convention is</w:t>
      </w:r>
      <w:r>
        <w:t xml:space="preserve"> </w:t>
      </w:r>
      <w:r>
        <w:t xml:space="preserve">unguessable for the model under test). When the baseline is non-zero, e.g. </w:t>
      </w:r>
      <w:r>
        <w:rPr>
          <w:rStyle w:val="VerbatimChar"/>
        </w:rPr>
        <w:t xml:space="preserve">api_argorder</w:t>
      </w:r>
      <w:r>
        <w:t xml:space="preserve"> </w:t>
      </w:r>
      <w:r>
        <w:t xml:space="preserve">at</w:t>
      </w:r>
      <w:r>
        <w:t xml:space="preserve"> </w:t>
      </w:r>
      <m:oMath>
        <m:r>
          <m:rPr>
            <m:nor/>
            <m:scr m:val="monospace"/>
            <m:sty m:val="p"/>
          </m:rPr>
          <m:t>none</m:t>
        </m:r>
        <m:r>
          <m:rPr>
            <m:sty m:val="p"/>
          </m:rPr>
          <m:t>=</m:t>
        </m:r>
        <m:r>
          <m:t>75</m:t>
        </m:r>
        <m:r>
          <m:rPr>
            <m:sty m:val="p"/>
          </m:rPr>
          <m:t>%</m:t>
        </m:r>
      </m:oMath>
      <w:r>
        <w:t xml:space="preserve"> </w:t>
      </w:r>
      <w:r>
        <w:t xml:space="preserve">for GPT-5.5,</w:t>
      </w:r>
      <w:r>
        <w:t xml:space="preserve"> </w:t>
      </w:r>
      <m:oMath>
        <m:r>
          <m:t>45</m:t>
        </m:r>
        <m:r>
          <m:rPr>
            <m:sty m:val="p"/>
          </m:rPr>
          <m:t>%</m:t>
        </m:r>
      </m:oMath>
      <w:r>
        <w:t xml:space="preserve"> </w:t>
      </w:r>
      <w:r>
        <w:t xml:space="preserve">for Kimi,</w:t>
      </w:r>
      <w:r>
        <w:t xml:space="preserve"> </w:t>
      </w:r>
      <m:oMath>
        <m:r>
          <m:t>15</m:t>
        </m:r>
        <m:r>
          <m:rPr>
            <m:sty m:val="p"/>
          </m:rPr>
          <m:t>%</m:t>
        </m:r>
      </m:oMath>
      <w:r>
        <w:t xml:space="preserve"> </w:t>
      </w:r>
      <w:r>
        <w:t xml:space="preserve">for Opus, the bound is mechanically</w:t>
      </w:r>
      <w:r>
        <w:t xml:space="preserve"> </w:t>
      </w:r>
      <w:r>
        <w:t xml:space="preserve">slack and harm is not verifiable even when the point estimate is strongly negative. We therefore</w:t>
      </w:r>
      <w:r>
        <w:t xml:space="preserve"> </w:t>
      </w:r>
      <w:r>
        <w:t xml:space="preserve">adopt the explicit protocol:</w:t>
      </w:r>
      <w:r>
        <w:t xml:space="preserve"> </w:t>
      </w:r>
      <w:r>
        <w:rPr>
          <w:i/>
          <w:iCs/>
        </w:rPr>
        <w:t xml:space="preserve">verify</w:t>
      </w:r>
      <w:r>
        <w:rPr>
          <w:i/>
          <w:iCs/>
        </w:rPr>
        <w:t xml:space="preserve"> </w:t>
      </w:r>
      <m:oMath>
        <m:sSub>
          <m:e>
            <m:r>
              <m:rPr>
                <m:sty m:val="p"/>
              </m:rPr>
              <m:t>Ψ</m:t>
            </m:r>
          </m:e>
          <m:sub>
            <m:r>
              <m:t>T</m:t>
            </m:r>
          </m:sub>
        </m:sSub>
      </m:oMath>
      <w:r>
        <w:rPr>
          <w:i/>
          <w:iCs/>
        </w:rPr>
        <w:t xml:space="preserve"> </w:t>
      </w:r>
      <w:r>
        <w:rPr>
          <w:i/>
          <w:iCs/>
        </w:rPr>
        <w:t xml:space="preserve">only on cells whose</w:t>
      </w:r>
      <w:r>
        <w:rPr>
          <w:i/>
          <w:iCs/>
        </w:rPr>
        <w:t xml:space="preserve"> </w:t>
      </w:r>
      <w:r>
        <w:rPr>
          <w:rStyle w:val="VerbatimChar"/>
          <w:i/>
          <w:iCs/>
        </w:rPr>
        <w:t xml:space="preserve">none</w:t>
      </w:r>
      <w:r>
        <w:rPr>
          <w:i/>
          <w:iCs/>
        </w:rPr>
        <w:t xml:space="preserve">-baseline</w:t>
      </w:r>
      <w:r>
        <w:rPr>
          <w:i/>
          <w:iCs/>
        </w:rPr>
        <w:t xml:space="preserve"> </w:t>
      </w:r>
      <w:r>
        <w:rPr>
          <w:i/>
          <w:iCs/>
        </w:rPr>
        <w:t xml:space="preserve">floors near</w:t>
      </w:r>
      <w:r>
        <w:rPr>
          <w:i/>
          <w:iCs/>
        </w:rPr>
        <w:t xml:space="preserve"> </w:t>
      </w:r>
      <m:oMath>
        <m:r>
          <m:t>0</m:t>
        </m:r>
      </m:oMath>
      <w:r>
        <w:rPr>
          <w:i/>
          <w:iCs/>
        </w:rPr>
        <w:t xml:space="preserve"> </w:t>
      </w:r>
      <w:r>
        <w:rPr>
          <w:i/>
          <w:iCs/>
        </w:rPr>
        <w:t xml:space="preserve">for the model under test</w:t>
      </w:r>
      <w:r>
        <w:t xml:space="preserve">, and report, per model, which cell carried the verification</w:t>
      </w:r>
      <w:r>
        <w:t xml:space="preserve"> </w:t>
      </w:r>
      <w:r>
        <w:t xml:space="preserve">and what its baseline was. This makes the cell selection a stated rule rather than an outcome-driven</w:t>
      </w:r>
      <w:r>
        <w:t xml:space="preserve"> </w:t>
      </w:r>
      <w:r>
        <w:t xml:space="preserve">choice. The same model-relative guessability that defines the value of private context</w:t>
      </w:r>
      <w:r>
        <w:t xml:space="preserve"> </w:t>
      </w:r>
      <w:r>
        <w:t xml:space="preserve">(§3.3) thus governs which cells can carry the interference verification.</w:t>
      </w:r>
    </w:p>
    <w:bookmarkEnd w:id="63"/>
    <w:bookmarkEnd w:id="64"/>
    <w:bookmarkStart w:id="66"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Ψ</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5"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Any</w:t>
      </w:r>
      <w:r>
        <w:rPr>
          <w:i/>
          <w:iCs/>
        </w:rPr>
        <w:t xml:space="preserve"> </w:t>
      </w:r>
      <w:r>
        <w:rPr>
          <w:i/>
          <w:i/>
          <w:iCs/>
          <w:iCs/>
        </w:rPr>
        <w:t xml:space="preserve">Blackwell-coherent</w:t>
      </w:r>
      <w:r>
        <w:rPr>
          <w:i/>
          <w:iCs/>
        </w:rPr>
        <w:t xml:space="preserve"> </w:t>
      </w:r>
      <w:r>
        <w:rPr>
          <w:i/>
          <w:iCs/>
        </w:rPr>
        <w:t xml:space="preserve">rule, one whose value is monotone under</w:t>
      </w:r>
      <w:r>
        <w:rPr>
          <w:i/>
          <w:iCs/>
        </w:rPr>
        <w:t xml:space="preserve"> </w:t>
      </w:r>
      <m:oMath>
        <m:sSub>
          <m:e>
            <m:r>
              <m:rPr>
                <m:sty m:val="p"/>
              </m:rPr>
              <m:t>≽</m:t>
            </m:r>
          </m:e>
          <m:sub>
            <m:r>
              <m:t>B</m:t>
            </m:r>
          </m:sub>
        </m:sSub>
      </m:oMath>
      <w:r>
        <w:rPr>
          <w:i/>
          <w:iCs/>
        </w:rPr>
        <w:t xml:space="preserve">, as the Bayes rule</w:t>
      </w:r>
      <w:r>
        <w:rPr>
          <w:i/>
          <w:iCs/>
        </w:rPr>
        <w:t xml:space="preserve"> </w:t>
      </w:r>
      <m:oMath>
        <m:sSup>
          <m:e>
            <m:r>
              <m:t>δ</m:t>
            </m:r>
          </m:e>
          <m:sup>
            <m:r>
              <m:rPr>
                <m:sty m:val="p"/>
              </m:rPr>
              <m:t>⋆</m:t>
            </m:r>
          </m:sup>
        </m:sSup>
      </m:oMath>
      <w:r>
        <w:rPr>
          <w:i/>
          <w:iCs/>
        </w:rPr>
        <w:t xml:space="preserve"> </w:t>
      </w:r>
      <w:r>
        <w:rPr>
          <w:i/>
          <w:iCs/>
        </w:rPr>
        <w:t xml:space="preserve">is by Theorem 1, satisfies</w:t>
      </w:r>
      <w:r>
        <w:rPr>
          <w:i/>
          <w:iCs/>
        </w:rPr>
        <w:t xml:space="preserve"> </w:t>
      </w:r>
      <m:oMath>
        <m:r>
          <m:rPr>
            <m:sty m:val="p"/>
          </m:rPr>
          <m:t>v</m:t>
        </m:r>
        <m:r>
          <m:rPr>
            <m:sty m:val="p"/>
          </m:rPr>
          <m:t>a</m:t>
        </m:r>
        <m:r>
          <m:rPr>
            <m:sty m:val="p"/>
          </m:rPr>
          <m:t>l</m:t>
        </m:r>
        <m:r>
          <m:rPr>
            <m:sty m:val="p"/>
          </m:rPr>
          <m:t>u</m:t>
        </m:r>
        <m:r>
          <m:rPr>
            <m:sty m:val="p"/>
          </m:rPr>
          <m:t>e</m:t>
        </m:r>
        <m:r>
          <m:rPr>
            <m:sty m:val="p"/>
          </m:rPr>
          <m:t>(</m:t>
        </m:r>
        <m:sSub>
          <m:e>
            <m:r>
              <m:t>W</m:t>
            </m:r>
          </m:e>
          <m:sub>
            <m:r>
              <m:t>1</m:t>
            </m:r>
            <m:r>
              <m:rPr>
                <m:sty m:val="p"/>
              </m:rPr>
              <m:t>+</m:t>
            </m:r>
          </m:sub>
        </m:sSub>
        <m:r>
          <m:rPr>
            <m:sty m:val="p"/>
          </m:rPr>
          <m:t>,</m:t>
        </m:r>
        <m:r>
          <m:t>T</m:t>
        </m:r>
        <m:r>
          <m:rPr>
            <m:sty m:val="p"/>
          </m:rPr>
          <m:t>)</m:t>
        </m:r>
        <m:r>
          <m:rPr>
            <m:sty m:val="p"/>
          </m:rPr>
          <m:t>≥</m:t>
        </m:r>
        <m:r>
          <m:rPr>
            <m:sty m:val="p"/>
          </m:rPr>
          <m:t>v</m:t>
        </m:r>
        <m:r>
          <m:rPr>
            <m:sty m:val="p"/>
          </m:rPr>
          <m:t>a</m:t>
        </m:r>
        <m:r>
          <m:rPr>
            <m:sty m:val="p"/>
          </m:rPr>
          <m:t>l</m:t>
        </m:r>
        <m:r>
          <m:rPr>
            <m:sty m:val="p"/>
          </m:rPr>
          <m:t>u</m:t>
        </m:r>
        <m:r>
          <m:rPr>
            <m:sty m:val="p"/>
          </m:rPr>
          <m:t>e</m:t>
        </m:r>
        <m:r>
          <m:rPr>
            <m:sty m:val="p"/>
          </m:rPr>
          <m:t>(</m:t>
        </m:r>
        <m:sSub>
          <m:e>
            <m:r>
              <m:t>W</m:t>
            </m:r>
          </m:e>
          <m:sub>
            <m:r>
              <m:t>1</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monotone-submodular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5"/>
    <w:p>
      <w:pPr>
        <w:pStyle w:val="BodyText"/>
      </w:pPr>
      <w:r>
        <w:t xml:space="preserve">Theorem 3 converts the empirical collapse into a structural statement: the harm is</w:t>
      </w:r>
      <w:r>
        <w:t xml:space="preserve"> </w:t>
      </w:r>
      <w:r>
        <w:t xml:space="preserve">not noise but a witness that real LLM decision rules are not Blackwell-coherent, which is precisely</w:t>
      </w:r>
      <w:r>
        <w:t xml:space="preserve"> </w:t>
      </w:r>
      <w:r>
        <w:t xml:space="preserve">the gap Lemma 2(b) warned cannot be closed without value attainment. The deficiency</w:t>
      </w:r>
      <w:r>
        <w:t xml:space="preserve"> </w:t>
      </w:r>
      <w:r>
        <w:t xml:space="preserve">surrogate detects this reversal because it tracks realized PASS, whereas every monotone scalar must</w:t>
      </w:r>
      <w:r>
        <w:t xml:space="preserve"> </w:t>
      </w:r>
      <w:r>
        <w:t xml:space="preserve">miss it by construction.</w:t>
      </w:r>
    </w:p>
    <w:bookmarkEnd w:id="66"/>
    <w:bookmarkStart w:id="67"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When several claims are read off the</w:t>
      </w:r>
      <w:r>
        <w:t xml:space="preserve"> </w:t>
      </w:r>
      <w:r>
        <w:rPr>
          <w:i/>
          <w:iCs/>
        </w:rPr>
        <w:t xml:space="preserve">same</w:t>
      </w:r>
      <w:r>
        <w:t xml:space="preserve"> </w:t>
      </w:r>
      <m:oMath>
        <m:r>
          <m:t>n</m:t>
        </m:r>
      </m:oMath>
      <w:r>
        <w:t xml:space="preserve">-sample</w:t>
      </w:r>
      <w:r>
        <w:t xml:space="preserve"> </w:t>
      </w:r>
      <w:r>
        <w:t xml:space="preserve">run at the same</w:t>
      </w:r>
      <w:r>
        <w:t xml:space="preserve"> </w:t>
      </w:r>
      <m:oMath>
        <m:r>
          <m:t>η</m:t>
        </m:r>
      </m:oMath>
      <w:r>
        <w:t xml:space="preserve">, incomparability (both directions, on one shared event</w:t>
      </w:r>
      <w:r>
        <w:t xml:space="preserve"> </w:t>
      </w:r>
      <m:oMath>
        <m:r>
          <m:t>E</m:t>
        </m:r>
      </m:oMath>
      <w:r>
        <w:t xml:space="preserve">), one-directional</w:t>
      </w:r>
      <w:r>
        <w:t xml:space="preserve"> </w:t>
      </w:r>
      <w:r>
        <w:t xml:space="preserve">dominance, and the interference cells, the conjunction over distinct claims is</w:t>
      </w:r>
      <w:r>
        <w:t xml:space="preserve"> </w:t>
      </w:r>
      <w:r>
        <w:rPr>
          <w:i/>
          <w:iCs/>
        </w:rPr>
        <w:t xml:space="preserve">not</w:t>
      </w:r>
      <w:r>
        <w:t xml:space="preserve"> </w:t>
      </w:r>
      <w:r>
        <w:t xml:space="preserve">jointly</w:t>
      </w:r>
      <w:r>
        <w:t xml:space="preserve"> </w:t>
      </w:r>
      <w:r>
        <w:t xml:space="preserve">controlled at</w:t>
      </w:r>
      <w:r>
        <w:t xml:space="preserve"> </w:t>
      </w:r>
      <m:oMath>
        <m:r>
          <m:t>η</m:t>
        </m:r>
      </m:oMath>
      <w:r>
        <w:t xml:space="preserve"> </w:t>
      </w:r>
      <w:r>
        <w:t xml:space="preserve">unless the budget is split across claims. We state results as marginally</w:t>
      </w:r>
      <w:r>
        <w:t xml:space="preserve"> </w:t>
      </w:r>
      <w:r>
        <w:t xml:space="preserve">verified per claim and, where a joint statement is wanted, allocate</w:t>
      </w:r>
      <w:r>
        <w:t xml:space="preserve"> </w:t>
      </w:r>
      <m:oMath>
        <m:r>
          <m:t>η</m:t>
        </m:r>
      </m:oMath>
      <w:r>
        <w:t xml:space="preserve"> </w:t>
      </w:r>
      <w:r>
        <w:t xml:space="preserve">across the</w:t>
      </w:r>
      <w:r>
        <w:t xml:space="preserve"> </w:t>
      </w:r>
      <m:oMath>
        <m:r>
          <m:t>C</m:t>
        </m:r>
      </m:oMath>
      <w:r>
        <w:t xml:space="preserve"> </w:t>
      </w:r>
      <w:r>
        <w:t xml:space="preserve">verified</w:t>
      </w:r>
      <w:r>
        <w:t xml:space="preserve"> </w:t>
      </w:r>
      <w:r>
        <w:t xml:space="preserve">claims (e.g. </w:t>
      </w:r>
      <m:oMath>
        <m:r>
          <m:t>η</m:t>
        </m:r>
        <m:r>
          <m:rPr>
            <m:sty m:val="p"/>
          </m:rPr>
          <m:t>/</m:t>
        </m:r>
        <m:r>
          <m:t>C</m:t>
        </m:r>
      </m:oMath>
      <w:r>
        <w:t xml:space="preserve"> </w:t>
      </w:r>
      <w:r>
        <w:t xml:space="preserve">each) so the global family-wise error is</w:t>
      </w:r>
      <w:r>
        <w:t xml:space="preserve"> </w:t>
      </w:r>
      <m:oMath>
        <m:r>
          <m:rPr>
            <m:sty m:val="p"/>
          </m:rPr>
          <m:t>≤</m:t>
        </m:r>
        <m:r>
          <m:t>η</m:t>
        </m:r>
      </m:oMath>
      <w:r>
        <w:t xml:space="preserve">. The incomparability pair</w:t>
      </w:r>
      <w:r>
        <w:t xml:space="preserve"> </w:t>
      </w:r>
      <w:r>
        <w:t xml:space="preserve">is the one exception that is genuinely joint at</w:t>
      </w:r>
      <w:r>
        <w:t xml:space="preserve"> </w:t>
      </w:r>
      <m:oMath>
        <m:r>
          <m:t>η</m:t>
        </m:r>
      </m:oMath>
      <w:r>
        <w:t xml:space="preserve"> </w:t>
      </w:r>
      <w:r>
        <w:t xml:space="preserve">on a single event, as proved in</w:t>
      </w:r>
      <w:r>
        <w:t xml:space="preserve"> </w:t>
      </w:r>
      <w:r>
        <w:t xml:space="preserve">Proposition 3; all other cross-claim conjunctions on a shared run are reported</w:t>
      </w:r>
      <w:r>
        <w:t xml:space="preserve"> </w:t>
      </w:r>
      <w:r>
        <w:t xml:space="preserve">as marginal.</w:t>
      </w:r>
    </w:p>
    <w:p>
      <w:pPr>
        <w:pStyle w:val="BodyText"/>
      </w:pPr>
      <w:r>
        <w:t xml:space="preserve">The two verifications have different effective-</w:t>
      </w:r>
      <m:oMath>
        <m:r>
          <m:t>n</m:t>
        </m:r>
      </m:oMath>
      <w:r>
        <w:t xml:space="preserve"> </w:t>
      </w:r>
      <w:r>
        <w:t xml:space="preserve">requirements, which is why the consolidated record marks Opus incomparability as verified and Opus interference as reproduced but not verified; the power analysis is in Appendix A.</w:t>
      </w:r>
    </w:p>
    <w:bookmarkEnd w:id="67"/>
    <w:bookmarkEnd w:id="68"/>
    <w:bookmarkStart w:id="109" w:name="sec:experiments"/>
    <w:p>
      <w:pPr>
        <w:pStyle w:val="Heading1"/>
      </w:pPr>
      <w:r>
        <w:t xml:space="preserve">Experiments</w:t>
      </w:r>
    </w:p>
    <w:p>
      <w:pPr>
        <w:pStyle w:val="FirstParagraph"/>
      </w:pPr>
      <w:r>
        <w:t xml:space="preserve">With the order (§4), its impossibility consequence (§5),</w:t>
      </w:r>
      <w:r>
        <w:t xml:space="preserve"> </w:t>
      </w:r>
      <w:r>
        <w:t xml:space="preserve">and the verification that measures it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(§7.4), so the verification is auditable rather than asserted.</w:t>
      </w:r>
    </w:p>
    <w:bookmarkStart w:id="71"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9"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9"/>
    <w:bookmarkStart w:id="70"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 model’s guessing cap,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8), we report that leakage explicitly and</w:t>
      </w:r>
      <w:r>
        <w:t xml:space="preserve"> </w:t>
      </w:r>
      <w:r>
        <w:t xml:space="preserve">do not use those cells for claims that require a near-zero baseline.</w:t>
      </w:r>
    </w:p>
    <w:bookmarkEnd w:id="70"/>
    <w:bookmarkEnd w:id="71"/>
    <w:bookmarkStart w:id="74"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72"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(§7.4.1).</w:t>
      </w:r>
    </w:p>
    <w:bookmarkEnd w:id="72"/>
    <w:bookmarkStart w:id="73"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Theorem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§7.4.2, while the theorem (Theorem 2) is the general</w:t>
      </w:r>
      <w:r>
        <w:t xml:space="preserve"> </w:t>
      </w:r>
      <w:r>
        <w:t xml:space="preserve">claim for query-independent scalars.</w:t>
      </w:r>
    </w:p>
    <w:bookmarkEnd w:id="73"/>
    <w:bookmarkEnd w:id="74"/>
    <w:bookmarkStart w:id="84" w:name="sec:methodology"/>
    <w:p>
      <w:pPr>
        <w:pStyle w:val="Heading2"/>
      </w:pPr>
      <w:r>
        <w:t xml:space="preserve">Methodology</w:t>
      </w:r>
    </w:p>
    <w:bookmarkStart w:id="75"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5"/>
    <w:bookmarkStart w:id="77" w:name="harness-and-arms."/>
    <w:p>
      <w:pPr>
        <w:pStyle w:val="Heading4"/>
      </w:pPr>
      <w:r>
        <w:t xml:space="preserve">Harness and arms.</w:t>
      </w:r>
    </w:p>
    <w:p>
      <w:pPr>
        <w:pStyle w:val="FirstParagraph"/>
      </w:pPr>
      <w:r>
        <w:t xml:space="preserve">The harness (</w:t>
      </w:r>
      <w:r>
        <w:rPr>
          <w:rStyle w:val="VerbatimChar"/>
        </w:rPr>
        <w:t xml:space="preserve">tokenbench/measure_blackwell.py</w:t>
      </w:r>
      <w:r>
        <w:t xml:space="preserve">; released with all run logs at</w:t>
      </w:r>
      <w:r>
        <w:t xml:space="preserve"> </w:t>
      </w:r>
      <w:hyperlink r:id="rId76">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7"/>
    <w:bookmarkStart w:id="78" w:name="one-uniform-run-mode."/>
    <w:p>
      <w:pPr>
        <w:pStyle w:val="Heading4"/>
      </w:pPr>
      <w:r>
        <w:t xml:space="preserve">One uniform run mode.</w:t>
      </w:r>
    </w:p>
    <w:p>
      <w:pPr>
        <w:pStyle w:val="FirstParagraph"/>
      </w:pPr>
      <w:r>
        <w:t xml:space="preserve">All six models are queried the same way: a single completion per attempt (the Anthropic models via</w:t>
      </w:r>
      <w:r>
        <w:t xml:space="preserve"> </w:t>
      </w:r>
      <w:r>
        <w:rPr>
          <w:rStyle w:val="VerbatimChar"/>
        </w:rPr>
        <w:t xml:space="preserve">claude -p</w:t>
      </w:r>
      <w:r>
        <w:t xml:space="preserve"> </w:t>
      </w:r>
      <w:r>
        <w:t xml:space="preserve">with a one-turn budget and no tools, the others through an OpenAI-style API),</w:t>
      </w:r>
      <w:r>
        <w:t xml:space="preserve"> </w:t>
      </w:r>
      <w:r>
        <w:t xml:space="preserve">from which we extract the candidate code and grade it. Because the run mode is identical across</w:t>
      </w:r>
      <w:r>
        <w:t xml:space="preserve"> </w:t>
      </w:r>
      <w:r>
        <w:t xml:space="preserve">vendors, a difference between models is a fact about the model, not about how it was run. This is a</w:t>
      </w:r>
      <w:r>
        <w:t xml:space="preserve"> </w:t>
      </w:r>
      <w:r>
        <w:t xml:space="preserve">deliberately conservative probe of whether a model uses supplied context: it removes the</w:t>
      </w:r>
      <w:r>
        <w:t xml:space="preserve"> </w:t>
      </w:r>
      <w:r>
        <w:t xml:space="preserve">agentic-exploration pathway, so the model must use what it is given in one pass.</w:t>
      </w:r>
    </w:p>
    <w:bookmarkEnd w:id="78"/>
    <w:bookmarkStart w:id="79" w:name="what-verified-means-in-plain-terms."/>
    <w:p>
      <w:pPr>
        <w:pStyle w:val="Heading4"/>
      </w:pPr>
      <w:r>
        <w:t xml:space="preserve">What</w:t>
      </w:r>
      <w:r>
        <w:t xml:space="preserve"> </w:t>
      </w:r>
      <w:r>
        <w:t xml:space="preserve">“verified”</w:t>
      </w:r>
      <w:r>
        <w:t xml:space="preserve"> </w:t>
      </w:r>
      <w:r>
        <w:t xml:space="preserve">means, in plain terms.</w:t>
      </w:r>
    </w:p>
    <w:p>
      <w:pPr>
        <w:pStyle w:val="FirstParagraph"/>
      </w:pPr>
      <w:r>
        <w:t xml:space="preserve">Every claim labeled</w:t>
      </w:r>
      <w:r>
        <w:t xml:space="preserve"> </w:t>
      </w:r>
      <w:r>
        <w:rPr>
          <w:i/>
          <w:iCs/>
        </w:rPr>
        <w:t xml:space="preserve">verified</w:t>
      </w:r>
      <w:r>
        <w:t xml:space="preserve"> </w:t>
      </w:r>
      <w:r>
        <w:t xml:space="preserve">is statistically significant in the standard sense and then</w:t>
      </w:r>
      <w:r>
        <w:t xml:space="preserve"> </w:t>
      </w:r>
      <w:r>
        <w:t xml:space="preserve">corrected for multiplicity: PASS rates are estimated from</w:t>
      </w:r>
      <w:r>
        <w:t xml:space="preserve"> </w:t>
      </w:r>
      <m:oMath>
        <m:r>
          <m:t>n</m:t>
        </m:r>
        <m:r>
          <m:rPr>
            <m:sty m:val="p"/>
          </m:rPr>
          <m:t>=</m:t>
        </m:r>
        <m:r>
          <m:t>40</m:t>
        </m:r>
      </m:oMath>
      <w:r>
        <w:t xml:space="preserve"> </w:t>
      </w:r>
      <w:r>
        <w:t xml:space="preserve">independent completions per cell,</w:t>
      </w:r>
      <w:r>
        <w:t xml:space="preserve"> </w:t>
      </w:r>
      <w:r>
        <w:t xml:space="preserve">uncertainty is carried by exact binomial (Clopper–Pearson) confidence intervals with no</w:t>
      </w:r>
      <w:r>
        <w:t xml:space="preserve"> </w:t>
      </w:r>
      <w:r>
        <w:t xml:space="preserve">distributional assumptions, and the family of claims is corrected by a union bound, so all verified</w:t>
      </w:r>
      <w:r>
        <w:t xml:space="preserve"> </w:t>
      </w:r>
      <w:r>
        <w:t xml:space="preserve">statements hold jointly with probability at least</w:t>
      </w:r>
      <w:r>
        <w:t xml:space="preserve"> </w:t>
      </w:r>
      <m:oMath>
        <m:r>
          <m:t>90</m:t>
        </m:r>
        <m:r>
          <m:rPr>
            <m:sty m:val="p"/>
          </m:rPr>
          <m:t>%</m:t>
        </m:r>
      </m:oMath>
      <w:r>
        <w:t xml:space="preserve">. For the effect sizes at stake, near-</w:t>
      </w:r>
      <m:oMath>
        <m:r>
          <m:t>0</m:t>
        </m:r>
        <m:r>
          <m:rPr>
            <m:sty m:val="p"/>
          </m:rPr>
          <m:t>%</m:t>
        </m:r>
      </m:oMath>
      <w:r>
        <w:t xml:space="preserve"> </w:t>
      </w:r>
      <w:r>
        <w:t xml:space="preserve">versus near-</w:t>
      </w:r>
      <m:oMath>
        <m:r>
          <m:t>100</m:t>
        </m:r>
        <m:r>
          <m:rPr>
            <m:sty m:val="p"/>
          </m:rPr>
          <m:t>%</m:t>
        </m:r>
      </m:oMath>
      <w:r>
        <w:t xml:space="preserve">, the</w:t>
      </w:r>
      <w:r>
        <w:t xml:space="preserve"> </w:t>
      </w:r>
      <m:oMath>
        <m:r>
          <m:t>n</m:t>
        </m:r>
        <m:r>
          <m:rPr>
            <m:sty m:val="p"/>
          </m:rPr>
          <m:t>=</m:t>
        </m:r>
        <m:r>
          <m:t>40</m:t>
        </m:r>
      </m:oMath>
      <w:r>
        <w:t xml:space="preserve"> </w:t>
      </w:r>
      <w:r>
        <w:t xml:space="preserve">intervals stay separated by a wide margin even after correction.</w:t>
      </w:r>
      <w:r>
        <w:t xml:space="preserve"> </w:t>
      </w:r>
      <w:r>
        <w:t xml:space="preserve">Results whose intervals did not separate are labeled</w:t>
      </w:r>
      <w:r>
        <w:t xml:space="preserve"> </w:t>
      </w:r>
      <w:r>
        <w:rPr>
          <w:i/>
          <w:iCs/>
        </w:rPr>
        <w:t xml:space="preserve">reproduced but not verified</w:t>
      </w:r>
      <w:r>
        <w:t xml:space="preserve"> </w:t>
      </w:r>
      <w:r>
        <w:t xml:space="preserve">and are</w:t>
      </w:r>
      <w:r>
        <w:t xml:space="preserve"> </w:t>
      </w:r>
      <w:r>
        <w:t xml:space="preserve">never used as evidence; the protocol reports its own insufficiency rather than hiding it.</w:t>
      </w:r>
    </w:p>
    <w:bookmarkEnd w:id="79"/>
    <w:bookmarkStart w:id="80"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interference verification uses</w:t>
      </w:r>
      <w:r>
        <w:t xml:space="preserve"> </w:t>
      </w:r>
      <m:oMath>
        <m:r>
          <m:t>α</m:t>
        </m:r>
        <m:r>
          <m:rPr>
            <m:sty m:val="p"/>
          </m:rPr>
          <m:t>=</m:t>
        </m:r>
        <m:r>
          <m:t>η</m:t>
        </m:r>
        <m:r>
          <m:rPr>
            <m:sty m:val="p"/>
          </m:rPr>
          <m:t>/</m:t>
        </m:r>
        <m:r>
          <m:t>4</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Ψ</m:t>
            </m:r>
          </m:e>
          <m:sub>
            <m:r>
              <m:t>T</m:t>
            </m:r>
          </m:sub>
        </m:sSub>
        <m:r>
          <m:rPr>
            <m:sty m:val="p"/>
          </m:rPr>
          <m:t>≤</m:t>
        </m:r>
        <m:r>
          <m:rPr>
            <m:sty m:val="p"/>
          </m:rPr>
          <m:t>−</m:t>
        </m:r>
        <m:r>
          <m:t>τ</m:t>
        </m:r>
      </m:oMath>
      <w:r>
        <w:t xml:space="preserve"> </w:t>
      </w:r>
      <w:r>
        <w:t xml:space="preserve">via the upper bound</w:t>
      </w:r>
      <w:r>
        <w:t xml:space="preserve"> </w:t>
      </w:r>
      <w:r>
        <w:t xml:space="preserve">of (7).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(§6.5, §8.6). The intervals are degenerate at</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which is why the stark</w:t>
      </w:r>
      <w:r>
        <w:t xml:space="preserve"> </w:t>
      </w:r>
      <m:oMath>
        <m:r>
          <m:t>100</m:t>
        </m:r>
        <m:r>
          <m:rPr>
            <m:sty m:val="p"/>
          </m:rPr>
          <m:t>%</m:t>
        </m:r>
        <m:r>
          <m:rPr>
            <m:sty m:val="p"/>
          </m:rPr>
          <m:t>/</m:t>
        </m:r>
        <m:r>
          <m:t>0</m:t>
        </m:r>
        <m:r>
          <m:rPr>
            <m:sty m:val="p"/>
          </m:rPr>
          <m:t>%</m:t>
        </m:r>
      </m:oMath>
      <w:r>
        <w:t xml:space="preserve"> </w:t>
      </w:r>
      <w:r>
        <w:t xml:space="preserve">cells verify incomparability at small</w:t>
      </w:r>
      <w:r>
        <w:t xml:space="preserve"> </w:t>
      </w:r>
      <m:oMath>
        <m:r>
          <m:t>n</m:t>
        </m:r>
      </m:oMath>
      <w:r>
        <w:t xml:space="preserve"> </w:t>
      </w:r>
      <w:r>
        <w:t xml:space="preserve">while</w:t>
      </w:r>
      <w:r>
        <w:t xml:space="preserve"> </w:t>
      </w:r>
      <w:r>
        <w:t xml:space="preserve">the interference contrast, which mixes intermediate baselines, does not.</w:t>
      </w:r>
    </w:p>
    <w:bookmarkEnd w:id="80"/>
    <w:bookmarkStart w:id="81"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the verified conclusions are not sensitive to tightening it.</w:t>
      </w:r>
      <w:r>
        <w:t xml:space="preserve"> </w:t>
      </w:r>
      <m:oMath>
        <m:r>
          <m:t>τ</m:t>
        </m:r>
        <m:r>
          <m:rPr>
            <m:sty m:val="p"/>
          </m:rPr>
          <m:t>=</m:t>
        </m:r>
        <m:r>
          <m:t>0.30</m:t>
        </m:r>
      </m:oMath>
      <w:r>
        <w:t xml:space="preserve"> </w:t>
      </w:r>
      <w:r>
        <w:t xml:space="preserve">is an a priori</w:t>
      </w:r>
      <w:r>
        <w:t xml:space="preserve"> </w:t>
      </w:r>
      <w:r>
        <w:t xml:space="preserve">materiality threshold: to count, interference must destroy at least</w:t>
      </w:r>
      <w:r>
        <w:t xml:space="preserve"> </w:t>
      </w:r>
      <m:oMath>
        <m:r>
          <m:t>30</m:t>
        </m:r>
      </m:oMath>
      <w:r>
        <w:t xml:space="preserve"> </w:t>
      </w:r>
      <w:r>
        <w:t xml:space="preserve">PASS points, well above</w:t>
      </w:r>
      <w:r>
        <w:t xml:space="preserve"> </w:t>
      </w:r>
      <w:r>
        <w:t xml:space="preserve">the interval widths at</w:t>
      </w:r>
      <w:r>
        <w:t xml:space="preserve"> </w:t>
      </w:r>
      <m:oMath>
        <m:r>
          <m:t>n</m:t>
        </m:r>
        <m:r>
          <m:rPr>
            <m:sty m:val="p"/>
          </m:rPr>
          <m:t>=</m:t>
        </m:r>
        <m:r>
          <m:t>40</m:t>
        </m:r>
      </m:oMath>
      <w:r>
        <w:t xml:space="preserve">, so noise cannot clear it. The data show the threshold doing real</w:t>
      </w:r>
      <w:r>
        <w:t xml:space="preserve"> </w:t>
      </w:r>
      <w:r>
        <w:t xml:space="preserve">work in both directions. The verified collapses clear it with upper confidence bounds from</w:t>
      </w:r>
      <w:r>
        <w:t xml:space="preserve"> </w:t>
      </w:r>
      <m:oMath>
        <m:r>
          <m:rPr>
            <m:sty m:val="p"/>
          </m:rPr>
          <m:t>−</m:t>
        </m:r>
        <m:r>
          <m:t>0.36</m:t>
        </m:r>
      </m:oMath>
      <w:r>
        <w:t xml:space="preserve"> </w:t>
      </w:r>
      <w:r>
        <w:t xml:space="preserve">to</w:t>
      </w:r>
      <w:r>
        <w:t xml:space="preserve"> </w:t>
      </w:r>
      <m:oMath>
        <m:r>
          <m:rPr>
            <m:sty m:val="p"/>
          </m:rPr>
          <m:t>−</m:t>
        </m:r>
        <m:r>
          <m:t>0.69</m:t>
        </m:r>
      </m:oMath>
      <w:r>
        <w:t xml:space="preserve"> </w:t>
      </w:r>
      <w:r>
        <w:t xml:space="preserve">(Table 6); the length-matched padding control clears it at</w:t>
      </w:r>
      <w:r>
        <w:t xml:space="preserve"> </w:t>
      </w:r>
      <m:oMath>
        <m:r>
          <m:rPr>
            <m:sty m:val="p"/>
          </m:rPr>
          <m:t>−</m:t>
        </m:r>
        <m:r>
          <m:t>0.41</m:t>
        </m:r>
      </m:oMath>
      <w:r>
        <w:t xml:space="preserve">.</w:t>
      </w:r>
      <w:r>
        <w:t xml:space="preserve"> </w:t>
      </w:r>
      <w:r>
        <w:t xml:space="preserve">Three real effects fail it and are reported as unverified rather than folded in: Opus’s milder</w:t>
      </w:r>
      <w:r>
        <w:t xml:space="preserve"> </w:t>
      </w:r>
      <w:r>
        <w:t xml:space="preserve">collapse (</w:t>
      </w:r>
      <m:oMath>
        <m:r>
          <m:t>100</m:t>
        </m:r>
        <m:r>
          <m:rPr>
            <m:sty m:val="p"/>
          </m:rPr>
          <m:t>%</m:t>
        </m:r>
        <m:r>
          <m:t>​</m:t>
        </m:r>
        <m:r>
          <m:rPr>
            <m:sty m:val="p"/>
          </m:rPr>
          <m:t>→</m:t>
        </m:r>
        <m:r>
          <m:t>​</m:t>
        </m:r>
        <m:r>
          <m:t>38</m:t>
        </m:r>
        <m:r>
          <m:rPr>
            <m:sty m:val="p"/>
          </m:rPr>
          <m:t>%</m:t>
        </m:r>
      </m:oMath>
      <w:r>
        <w:t xml:space="preserve">, upper</w:t>
      </w:r>
      <w:r>
        <w:t xml:space="preserve"> </w:t>
      </w:r>
      <m:oMath>
        <m:r>
          <m:rPr>
            <m:sty m:val="p"/>
          </m:rPr>
          <m:t>−</m:t>
        </m:r>
        <m:r>
          <m:t>0.23</m:t>
        </m:r>
      </m:oMath>
      <w:r>
        <w:t xml:space="preserve">), Haiku’s</w:t>
      </w:r>
      <w:r>
        <w:t xml:space="preserve"> </w:t>
      </w:r>
      <w:r>
        <w:rPr>
          <w:rStyle w:val="VerbatimChar"/>
        </w:rPr>
        <w:t xml:space="preserve">api_post_ok</w:t>
      </w:r>
      <w:r>
        <w:t xml:space="preserve"> </w:t>
      </w:r>
      <w:r>
        <w:t xml:space="preserve">cell (upper</w:t>
      </w:r>
      <w:r>
        <w:t xml:space="preserve"> </w:t>
      </w:r>
      <m:oMath>
        <m:r>
          <m:rPr>
            <m:sty m:val="p"/>
          </m:rPr>
          <m:t>+</m:t>
        </m:r>
        <m:r>
          <m:t>0.08</m:t>
        </m:r>
      </m:oMath>
      <w:r>
        <w:t xml:space="preserve">; a ceiling the raw-failure audit traces to an omitted import line, not to the contract, §7.5.1), and the</w:t>
      </w:r>
      <w:r>
        <w:t xml:space="preserve"> </w:t>
      </w:r>
      <w:r>
        <w:t xml:space="preserve">second-pair contrast (upper</w:t>
      </w:r>
      <w:r>
        <w:t xml:space="preserve"> </w:t>
      </w:r>
      <m:oMath>
        <m:r>
          <m:rPr>
            <m:sty m:val="p"/>
          </m:rPr>
          <m:t>−</m:t>
        </m:r>
        <m:r>
          <m:t>0.21</m:t>
        </m:r>
      </m:oMath>
      <w:r>
        <w:t xml:space="preserve">, sign-only; §7.5). A threshold that</w:t>
      </w:r>
      <w:r>
        <w:t xml:space="preserve"> </w:t>
      </w:r>
      <w:r>
        <w:t xml:space="preserve">genuine effects fail is evidence it was not tuned to pass the data.</w:t>
      </w:r>
    </w:p>
    <w:bookmarkEnd w:id="81"/>
    <w:bookmarkStart w:id="82"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2);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so the draws are manifestly independent. We report the decoding parameters, seeding</w:t>
      </w:r>
      <w:r>
        <w:t xml:space="preserve"> </w:t>
      </w:r>
      <w:r>
        <w:t xml:space="preserve">policy, and retry policy in Appendix C.</w:t>
      </w:r>
    </w:p>
    <w:bookmarkEnd w:id="82"/>
    <w:bookmarkStart w:id="83" w:name="spend."/>
    <w:p>
      <w:pPr>
        <w:pStyle w:val="Heading4"/>
      </w:pPr>
      <w:r>
        <w:t xml:space="preserve">Spend.</w:t>
      </w:r>
    </w:p>
    <w:p>
      <w:pPr>
        <w:pStyle w:val="FirstParagraph"/>
      </w:pPr>
      <w:r>
        <w:t xml:space="preserve">The record reflects roughly $120 of Anthropic spend on the single-shot Haiku, Sonnet, and Opus runs</w:t>
      </w:r>
      <w:r>
        <w:t xml:space="preserve"> </w:t>
      </w:r>
      <w:r>
        <w:t xml:space="preserve">(itemized in Appendix C) plus Azure quota for the non-Anthropic models; the Azure API</w:t>
      </w:r>
      <w:r>
        <w:t xml:space="preserve"> </w:t>
      </w:r>
      <w:r>
        <w:t xml:space="preserve">returns no cost field, so this figure is not the total cost across all six models.</w:t>
      </w:r>
    </w:p>
    <w:bookmarkEnd w:id="83"/>
    <w:bookmarkEnd w:id="84"/>
    <w:bookmarkStart w:id="104" w:name="sec:results"/>
    <w:p>
      <w:pPr>
        <w:pStyle w:val="Heading2"/>
      </w:pPr>
      <w:r>
        <w:t xml:space="preserve">Results</w:t>
      </w:r>
    </w:p>
    <w:p>
      <w:pPr>
        <w:pStyle w:val="FirstParagraph"/>
      </w:pPr>
      <w:r>
        <w:t xml:space="preserve">We report four findings: incomparability (§7.4.1), the relevance mis-rank</w:t>
      </w:r>
      <w:r>
        <w:t xml:space="preserve"> </w:t>
      </w:r>
      <w:r>
        <w:t xml:space="preserve">(§7.4.2), anti-monotonicity (§7.4.3), and the</w:t>
      </w:r>
      <w:r>
        <w:t xml:space="preserve"> </w:t>
      </w:r>
      <w:r>
        <w:t xml:space="preserve">model-relative value of private context (§7.4.4). Table 3</w:t>
      </w:r>
      <w:r>
        <w:t xml:space="preserve"> </w:t>
      </w:r>
      <w:r>
        <w:t xml:space="preserve">consolidates the per-model verdicts; Tables 4, 6, and</w:t>
      </w:r>
      <w:r>
        <w:t xml:space="preserve"> </w:t>
      </w:r>
      <w:r>
        <w:t xml:space="preserve">8 give the underlying quantities.</w:t>
      </w:r>
    </w:p>
    <w:bookmarkStart w:id="85" w:name="tab:consolidated"/>
    <w:p>
      <w:pPr>
        <w:pStyle w:val="TableCaption"/>
      </w:pPr>
      <w:r>
        <w:t xml:space="preserve">Consolidated 6-model / 4-vendor verdict. All six models are run the same way, a single</w:t>
      </w:r>
      <w:r>
        <w:t xml:space="preserve"> </w:t>
      </w:r>
      <w:r>
        <w:t xml:space="preserve">API call per attempt at</w:t>
      </w:r>
      <w:r>
        <w:t xml:space="preserve"> </w:t>
      </w:r>
      <m:oMath>
        <m:r>
          <m:t>n</m:t>
        </m:r>
        <m:r>
          <m:rPr>
            <m:sty m:val="p"/>
          </m:rPr>
          <m:t>=</m:t>
        </m:r>
        <m:r>
          <m:t>40</m:t>
        </m:r>
      </m:oMath>
      <w:r>
        <w:t xml:space="preserve"> </w:t>
      </w:r>
      <w:r>
        <w:t xml:space="preserve">per cell (§7.3).</w:t>
      </w:r>
      <w:r>
        <w:t xml:space="preserve"> </w:t>
      </w:r>
      <w:r>
        <w:t xml:space="preserve">“Anti-mono. verified”</w:t>
      </w:r>
      <w:r>
        <w:t xml:space="preserve"> </w:t>
      </w:r>
      <w:r>
        <w:t xml:space="preserve">counts</w:t>
      </w:r>
      <w:r>
        <w:t xml:space="preserve"> </w:t>
      </w:r>
      <w:r>
        <w:t xml:space="preserve">cells on which the interference upper bound clears</w:t>
      </w:r>
      <w:r>
        <w:t xml:space="preserve"> </w:t>
      </w:r>
      <m:oMath>
        <m:r>
          <m:rPr>
            <m:sty m:val="p"/>
          </m:rPr>
          <m:t>−</m:t>
        </m:r>
        <m:r>
          <m:t>τ</m:t>
        </m:r>
        <m:r>
          <m:rPr>
            <m:sty m:val="p"/>
          </m:rPr>
          <m:t>=</m:t>
        </m:r>
        <m:r>
          <m:rPr>
            <m:sty m:val="p"/>
          </m:rPr>
          <m:t>−</m:t>
        </m:r>
        <m:r>
          <m:t>0.30</m:t>
        </m:r>
      </m:oMath>
      <w:r>
        <w:t xml:space="preserve"> </w:t>
      </w:r>
      <w:r>
        <w:t xml:space="preserve">at</w:t>
      </w:r>
      <w:r>
        <w:t xml:space="preserve"> </w:t>
      </w:r>
      <m:oMath>
        <m:r>
          <m:t>η</m:t>
        </m:r>
        <m:r>
          <m:rPr>
            <m:sty m:val="p"/>
          </m:rPr>
          <m:t>=</m:t>
        </m:r>
        <m:r>
          <m:t>0.10</m:t>
        </m:r>
      </m:oMath>
      <w:r>
        <w:t xml:space="preserve">.</w:t>
      </w:r>
      <w:r>
        <w:t xml:space="preserve"> </w:t>
      </w:r>
      <w:r>
        <w:t xml:space="preserve">“Argorder</w:t>
      </w:r>
      <w:r>
        <w:t xml:space="preserve"> </w:t>
      </w:r>
      <w:r>
        <w:rPr>
          <w:rStyle w:val="VerbatimChar"/>
        </w:rPr>
        <w:t xml:space="preserve">none</w:t>
      </w:r>
      <w:r>
        <w:t xml:space="preserve">”</w:t>
      </w:r>
      <w:r>
        <w:t xml:space="preserve"> </w:t>
      </w:r>
      <w:r>
        <w:t xml:space="preserve">is the no-context baseline PASS on</w:t>
      </w:r>
      <w:r>
        <w:t xml:space="preserve"> </w:t>
      </w:r>
      <w:r>
        <w:rPr>
          <w:rStyle w:val="VerbatimChar"/>
        </w:rPr>
        <w:t xml:space="preserve">api_argorder</w:t>
      </w:r>
      <w:r>
        <w:t xml:space="preserve">, the model-relative-value</w:t>
      </w:r>
      <w:r>
        <w:t xml:space="preserve"> </w:t>
      </w:r>
      <w:r>
        <w:t xml:space="preserve">spectrum. All figures are real measured runs; no modeled numbers.</w:t>
      </w:r>
    </w:p>
    <w:tbl>
      <w:tblPr>
        <w:tblStyle w:val="Table"/>
        <w:tblW w:type="auto" w:w="0"/>
        <w:tblLook w:firstRow="1" w:lastRow="0" w:firstColumn="0" w:lastColumn="0" w:noHBand="0" w:noVBand="0" w:val="0020"/>
        <w:tblCaption w:val="Consolidated 6-model / 4-vendor verdict. All six models are run the same way, a single API call per attempt at n=40 per cell (§7.3). “Anti-mono. verified” counts cells on which the interference upper bound clears -\tau = -0.30 at \eta=0.10. “Argorder none” is the no-context baseline PASS on api_argorder, the model-relative-value spectrum. All figures are real measured runs; no modeled numbers."/>
      </w:tblPr>
      <w:tblGrid>
        <w:gridCol w:w="1131"/>
        <w:gridCol w:w="1131"/>
        <w:gridCol w:w="1131"/>
        <w:gridCol w:w="1131"/>
        <w:gridCol w:w="1131"/>
        <w:gridCol w:w="1131"/>
        <w:gridCol w:w="1131"/>
      </w:tblGrid>
      <w:tr>
        <w:trPr>
          <w:tblHeader w:val="on"/>
        </w:trPr>
        <w:tc>
          <w:tcPr/>
          <w:p>
            <w:pPr>
              <w:pStyle w:val="Compact"/>
              <w:jc w:val="left"/>
            </w:pPr>
            <w:r>
              <w:t xml:space="preserve">Claim</w:t>
            </w:r>
          </w:p>
        </w:tc>
        <w:tc>
          <w:tcPr/>
          <w:p>
            <w:pPr>
              <w:pStyle w:val="Compact"/>
              <w:jc w:val="center"/>
            </w:pPr>
            <w:r>
              <w:t xml:space="preserve">Haiku</w:t>
            </w:r>
          </w:p>
        </w:tc>
        <w:tc>
          <w:tcPr/>
          <w:p>
            <w:pPr>
              <w:pStyle w:val="Compact"/>
              <w:jc w:val="center"/>
            </w:pPr>
            <w:r>
              <w:t xml:space="preserve">Sonnet</w:t>
            </w:r>
          </w:p>
        </w:tc>
        <w:tc>
          <w:tcPr/>
          <w:p>
            <w:pPr>
              <w:pStyle w:val="Compact"/>
              <w:jc w:val="center"/>
            </w:pPr>
            <w:r>
              <w:t xml:space="preserve">Opus</w:t>
            </w:r>
          </w:p>
        </w:tc>
        <w:tc>
          <w:tcPr/>
          <w:p>
            <w:pPr>
              <w:pStyle w:val="Compact"/>
              <w:jc w:val="center"/>
            </w:pPr>
            <w:r>
              <w:t xml:space="preserve">GPT-5.5</w:t>
            </w:r>
          </w:p>
        </w:tc>
        <w:tc>
          <w:tcPr/>
          <w:p>
            <w:pPr>
              <w:pStyle w:val="Compact"/>
              <w:jc w:val="center"/>
            </w:pPr>
            <w:r>
              <w:t xml:space="preserve">DeepSeek</w:t>
            </w:r>
          </w:p>
        </w:tc>
        <w:tc>
          <w:tcPr/>
          <w:p>
            <w:pPr>
              <w:pStyle w:val="Compact"/>
              <w:jc w:val="center"/>
            </w:pPr>
            <w:r>
              <w:t xml:space="preserve">Kimi-K2.6</w:t>
            </w:r>
          </w:p>
        </w:tc>
      </w:tr>
      <w:tr>
        <w:tc>
          <w:tcPr/>
          <w:p>
            <w:pPr>
              <w:pStyle w:val="Compact"/>
              <w:jc w:val="left"/>
            </w:pPr>
            <w:r>
              <w:t xml:space="preserve">Vendor</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OpenAI</w:t>
            </w:r>
          </w:p>
        </w:tc>
        <w:tc>
          <w:tcPr/>
          <w:p>
            <w:pPr>
              <w:pStyle w:val="Compact"/>
              <w:jc w:val="center"/>
            </w:pPr>
            <w:r>
              <w:t xml:space="preserve">DeepSeek</w:t>
            </w:r>
          </w:p>
        </w:tc>
        <w:tc>
          <w:tcPr/>
          <w:p>
            <w:pPr>
              <w:pStyle w:val="Compact"/>
              <w:jc w:val="center"/>
            </w:pPr>
            <w:r>
              <w:t xml:space="preserve">Moonshot</w:t>
            </w:r>
          </w:p>
        </w:tc>
      </w:tr>
      <w:tr>
        <w:tc>
          <w:tcPr/>
          <w:p>
            <w:pPr>
              <w:pStyle w:val="Compact"/>
              <w:jc w:val="left"/>
            </w:pPr>
            <m:oMath>
              <m:r>
                <m:t>n</m:t>
              </m:r>
            </m:oMath>
            <w:r>
              <w:t xml:space="preserve"> </w:t>
            </w:r>
            <w:r>
              <w:t xml:space="preserve">per cell</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r>
      <w:tr>
        <w:tc>
          <w:tcPr/>
          <w:p>
            <w:pPr>
              <w:pStyle w:val="Compact"/>
              <w:jc w:val="left"/>
            </w:pPr>
            <w:r>
              <w:t xml:space="preserve">Incomp. verified (</w:t>
            </w:r>
            <m:oMath>
              <m:r>
                <m:rPr>
                  <m:sty m:val="p"/>
                </m:rPr>
                <m:t>≥</m:t>
              </m:r>
              <m:r>
                <m:t>90</m:t>
              </m:r>
              <m:r>
                <m:rPr>
                  <m:sty m:val="p"/>
                </m:rPr>
                <m:t>%</m:t>
              </m:r>
            </m:oMath>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0.35</m:t>
              </m:r>
            </m:oMath>
            <w:r>
              <w:t xml:space="preserve">​</w:t>
            </w:r>
          </w:p>
        </w:tc>
        <w:tc>
          <w:tcPr/>
          <w:p>
            <w:pPr>
              <w:pStyle w:val="Compact"/>
              <w:jc w:val="center"/>
            </w:pPr>
            <m:oMath>
              <m:r>
                <m:rPr>
                  <m:sty m:val="p"/>
                </m:rPr>
                <m:t>+</m:t>
              </m:r>
              <m:r>
                <m:t>0.68</m:t>
              </m:r>
            </m:oMath>
            <w:r>
              <w:t xml:space="preserve">​</w:t>
            </w:r>
          </w:p>
        </w:tc>
      </w:tr>
      <w:tr>
        <w:tc>
          <w:tcPr/>
          <w:p>
            <w:pPr>
              <w:pStyle w:val="Compact"/>
              <w:jc w:val="left"/>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r>
      <w:tr>
        <w:tc>
          <w:tcPr/>
          <w:p>
            <w:pPr>
              <w:pStyle w:val="Compact"/>
              <w:jc w:val="left"/>
            </w:pPr>
            <w:r>
              <w:t xml:space="preserve">Relevance mis-rank (trap)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Anti-mono. verified (# cells)</w:t>
            </w:r>
          </w:p>
        </w:tc>
        <w:tc>
          <w:tcPr/>
          <w:p>
            <w:pPr>
              <w:pStyle w:val="Compact"/>
              <w:jc w:val="center"/>
            </w:pPr>
            <w:r>
              <w:t xml:space="preserve">1</w:t>
            </w:r>
          </w:p>
        </w:tc>
        <w:tc>
          <w:tcPr/>
          <w:p>
            <w:pPr>
              <w:pStyle w:val="Compact"/>
              <w:jc w:val="center"/>
            </w:pPr>
            <w:r>
              <w:t xml:space="preserve">2</w:t>
            </w:r>
          </w:p>
        </w:tc>
        <w:tc>
          <w:tcPr/>
          <w:p>
            <w:pPr>
              <w:pStyle w:val="Compact"/>
              <w:jc w:val="center"/>
            </w:pPr>
            <m:oMath>
              <m:r>
                <m:t>0</m:t>
              </m:r>
            </m:oMath>
            <w:r>
              <w:t xml:space="preserve"> </w:t>
            </w:r>
            <w:r>
              <w:t xml:space="preserve">(repro.)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left"/>
            </w:pPr>
            <w:r>
              <w:rPr>
                <w:rStyle w:val="VerbatimChar"/>
              </w:rPr>
              <w:t xml:space="preserve">api_argorder</w:t>
            </w:r>
            <w:r>
              <w:t xml:space="preserve"> </w:t>
            </w:r>
            <w:r>
              <w:rPr>
                <w:rStyle w:val="VerbatimChar"/>
              </w:rPr>
              <w:t xml:space="preserve">none</w:t>
            </w:r>
          </w:p>
        </w:tc>
        <w:tc>
          <w:tcPr/>
          <w:p>
            <w:pPr>
              <w:pStyle w:val="Compact"/>
              <w:jc w:val="center"/>
            </w:pPr>
            <m:oMath>
              <m:r>
                <m:t>2</m:t>
              </m:r>
              <m:r>
                <m:rPr>
                  <m:sty m:val="p"/>
                </m:rPr>
                <m:t>%</m:t>
              </m:r>
            </m:oMath>
            <w:r>
              <w:t xml:space="preserve">​</w:t>
            </w:r>
          </w:p>
        </w:tc>
        <w:tc>
          <w:tcPr/>
          <w:p>
            <w:pPr>
              <w:pStyle w:val="Compact"/>
              <w:jc w:val="center"/>
            </w:pPr>
            <m:oMath>
              <m:r>
                <m:t>0</m:t>
              </m:r>
              <m:r>
                <m:rPr>
                  <m:sty m:val="p"/>
                </m:rPr>
                <m:t>%</m:t>
              </m:r>
            </m:oMath>
            <w:r>
              <w:t xml:space="preserve">​</w:t>
            </w:r>
          </w:p>
        </w:tc>
        <w:tc>
          <w:tcPr/>
          <w:p>
            <w:pPr>
              <w:pStyle w:val="Compact"/>
              <w:jc w:val="center"/>
            </w:pPr>
            <m:oMath>
              <m:r>
                <m:t>40</m:t>
              </m:r>
              <m:r>
                <m:rPr>
                  <m:sty m:val="p"/>
                </m:rPr>
                <m:t>%</m:t>
              </m:r>
            </m:oMath>
            <w:r>
              <w:t xml:space="preserve">​</w:t>
            </w:r>
          </w:p>
        </w:tc>
        <w:tc>
          <w:tcPr/>
          <w:p>
            <w:pPr>
              <w:pStyle w:val="Compact"/>
              <w:jc w:val="center"/>
            </w:pPr>
            <m:oMath>
              <m:r>
                <m:t>75</m:t>
              </m:r>
              <m:r>
                <m:rPr>
                  <m:sty m:val="p"/>
                </m:rPr>
                <m:t>%</m:t>
              </m:r>
            </m:oMath>
            <w:r>
              <w:t xml:space="preserve">​</w:t>
            </w:r>
          </w:p>
        </w:tc>
        <w:tc>
          <w:tcPr/>
          <w:p>
            <w:pPr>
              <w:pStyle w:val="Compact"/>
              <w:jc w:val="center"/>
            </w:pPr>
            <m:oMath>
              <m:r>
                <m:t>2</m:t>
              </m:r>
              <m:r>
                <m:rPr>
                  <m:sty m:val="p"/>
                </m:rPr>
                <m:t>%</m:t>
              </m:r>
            </m:oMath>
            <w:r>
              <w:t xml:space="preserve">​</w:t>
            </w:r>
          </w:p>
        </w:tc>
        <w:tc>
          <w:tcPr/>
          <w:p>
            <w:pPr>
              <w:pStyle w:val="Compact"/>
              <w:jc w:val="center"/>
            </w:pPr>
            <m:oMath>
              <m:r>
                <m:t>45</m:t>
              </m:r>
              <m:r>
                <m:rPr>
                  <m:sty m:val="p"/>
                </m:rPr>
                <m:t>%</m:t>
              </m:r>
            </m:oMath>
            <w:r>
              <w:t xml:space="preserve">​</w:t>
            </w:r>
          </w:p>
        </w:tc>
      </w:tr>
    </w:tbl>
    <w:bookmarkEnd w:id="85"/>
    <w:bookmarkStart w:id="88"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4).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p>
      <w:pPr>
        <w:pStyle w:val="BodyText"/>
      </w:pPr>
      <w:r>
        <w:t xml:space="preserve">Because incomparability is a two-directional claim, each row of Table 4 requires both</w:t>
      </w:r>
      <w:r>
        <w:t xml:space="preserve"> </w:t>
      </w:r>
      <w:r>
        <w:t xml:space="preserve">bounds positive; the smaller of the two is the binding one. The two carrying cells are one API cell</w:t>
      </w:r>
      <w:r>
        <w:t xml:space="preserve"> </w:t>
      </w:r>
      <w:r>
        <w:t xml:space="preserve">and one encoding cell, so the effective support of the surrogate is two cells.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Start w:id="86" w:name="tab:LD"/>
    <w:p>
      <w:pPr>
        <w:pStyle w:val="TableCaption"/>
      </w:pPr>
      <w:r>
        <w:t xml:space="preserve">Verified incomparability: uniform</w:t>
      </w:r>
      <w:r>
        <w:t xml:space="preserve"> </w:t>
      </w:r>
      <m:oMath>
        <m:r>
          <m:rPr>
            <m:sty m:val="p"/>
          </m:rPr>
          <m:t>(</m:t>
        </m:r>
        <m:r>
          <m:t>1</m:t>
        </m:r>
        <m:r>
          <m:rPr>
            <m:sty m:val="p"/>
          </m:rPr>
          <m:t>−</m:t>
        </m:r>
        <m:r>
          <m:t>η</m:t>
        </m:r>
        <m:r>
          <m:rPr>
            <m:sty m:val="p"/>
          </m:rPr>
          <m:t>)</m:t>
        </m:r>
      </m:oMath>
      <w:r>
        <w:t xml:space="preserve"> </w:t>
      </w:r>
      <w:r>
        <w:t xml:space="preserve">lower bounds</w:t>
      </w:r>
      <w:r>
        <w:t xml:space="preserve"> </w:t>
      </w:r>
      <m:oMath>
        <m:sSub>
          <m:e>
            <m:r>
              <m:t>L</m:t>
            </m:r>
          </m:e>
          <m:sub>
            <m:r>
              <m:rPr>
                <m:scr m:val="script"/>
                <m:sty m:val="p"/>
              </m:rPr>
              <m:t>D</m:t>
            </m:r>
          </m:sub>
        </m:sSub>
      </m:oMath>
      <w:r>
        <w:t xml:space="preserve"> </w:t>
      </w:r>
      <w:r>
        <w:t xml:space="preserve">in both directions</w:t>
      </w:r>
      <w:r>
        <w:t xml:space="preserve"> </w:t>
      </w:r>
      <w:r>
        <w:t xml:space="preserve">(</w:t>
      </w:r>
      <m:oMath>
        <m:r>
          <m:t>η</m:t>
        </m:r>
        <m:r>
          <m:rPr>
            <m:sty m:val="p"/>
          </m:rPr>
          <m:t>=</m:t>
        </m:r>
        <m:r>
          <m:t>0.10</m:t>
        </m:r>
      </m:oMath>
      <w:r>
        <w:t xml:space="preserve">).</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together verify empirical</w:t>
      </w:r>
      <w:r>
        <w:t xml:space="preserve"> </w:t>
      </w:r>
      <w:r>
        <w:t xml:space="preserve">incomparability. Both bounds are read off the same</w:t>
      </w:r>
      <w:r>
        <w:t xml:space="preserve"> </w:t>
      </w:r>
      <m:oMath>
        <m:r>
          <m:t>2</m:t>
        </m:r>
        <m:r>
          <m:rPr>
            <m:sty m:val="p"/>
          </m:rPr>
          <m:t>|</m:t>
        </m:r>
        <m:r>
          <m:rPr>
            <m:scr m:val="script"/>
            <m:sty m:val="p"/>
          </m:rPr>
          <m:t>D</m:t>
        </m:r>
        <m:r>
          <m:rPr>
            <m:sty m:val="p"/>
          </m:rPr>
          <m:t>|</m:t>
        </m:r>
      </m:oMath>
      <w:r>
        <w:t xml:space="preserve"> </w:t>
      </w:r>
      <w:r>
        <w:t xml:space="preserve">Clopper–Pearson intervals</w:t>
      </w:r>
      <w:r>
        <w:t xml:space="preserve"> </w:t>
      </w:r>
      <w:r>
        <w:t xml:space="preserve">(Proposition 3).</w:t>
      </w:r>
    </w:p>
    <w:tbl>
      <w:tblPr>
        <w:tblStyle w:val="Table"/>
        <w:tblW w:type="auto" w:w="0"/>
        <w:tblLook w:firstRow="1" w:lastRow="0" w:firstColumn="0" w:lastColumn="0" w:noHBand="0" w:noVBand="0" w:val="0020"/>
        <w:tblCaption w:val="Verified incomparability: uniform (1-\eta) lower bounds L_{\mathcal{D}} in both directions (\eta=0.10). L_{\mathcal{D}}(W_1,W_2) &gt; 0 and L_{\mathcal{D}}(W_2,W_1) &gt; 0 together verify empirical incomparability. Both bounds are read off the same 2|\mathcal{D}| Clopper–Pearson intervals (Proposition 3)."/>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left"/>
            </w:pPr>
            <w:r>
              <w:t xml:space="preserve">Vendor</w:t>
            </w:r>
          </w:p>
        </w:tc>
        <w:tc>
          <w:tcPr/>
          <w:p>
            <w:pPr>
              <w:pStyle w:val="Compact"/>
              <w:jc w:val="center"/>
            </w:pPr>
            <m:oMath>
              <m:r>
                <m:t>n</m:t>
              </m:r>
            </m:oMath>
            <w:r>
              <w:t xml:space="preserve">​</w:t>
            </w:r>
          </w:p>
        </w:tc>
        <w:tc>
          <w:tcPr/>
          <w:p>
            <w:pPr>
              <w:pStyle w:val="Compact"/>
              <w:jc w:val="center"/>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r>
      <w:tr>
        <w:tc>
          <w:tcPr/>
          <w:p>
            <w:pPr>
              <w:pStyle w:val="Compact"/>
              <w:jc w:val="left"/>
            </w:pPr>
            <w:r>
              <w:t xml:space="preserve">Haiku-4.5</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0.762</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Sonnet-4.6</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0.715</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Opus-4.8</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0.715</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GPT-5.5</w:t>
            </w:r>
          </w:p>
        </w:tc>
        <w:tc>
          <w:tcPr/>
          <w:p>
            <w:pPr>
              <w:pStyle w:val="Compact"/>
              <w:jc w:val="left"/>
            </w:pPr>
            <w:r>
              <w:t xml:space="preserve">OpenAI</w:t>
            </w:r>
          </w:p>
        </w:tc>
        <w:tc>
          <w:tcPr/>
          <w:p>
            <w:pPr>
              <w:pStyle w:val="Compact"/>
              <w:jc w:val="center"/>
            </w:pPr>
            <w:r>
              <w:t xml:space="preserve">40</w:t>
            </w:r>
          </w:p>
        </w:tc>
        <w:tc>
          <w:tcPr/>
          <w:p>
            <w:pPr>
              <w:pStyle w:val="Compact"/>
              <w:jc w:val="center"/>
            </w:pPr>
            <m:oMath>
              <m:r>
                <m:rPr>
                  <m:sty m:val="p"/>
                </m:rPr>
                <m:t>+</m:t>
              </m:r>
              <m:r>
                <m:t>0.762</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DeepSeek-V4-Pro</w:t>
            </w:r>
          </w:p>
        </w:tc>
        <w:tc>
          <w:tcPr/>
          <w:p>
            <w:pPr>
              <w:pStyle w:val="Compact"/>
              <w:jc w:val="left"/>
            </w:pPr>
            <w:r>
              <w:t xml:space="preserve">DeepSeek</w:t>
            </w:r>
          </w:p>
        </w:tc>
        <w:tc>
          <w:tcPr/>
          <w:p>
            <w:pPr>
              <w:pStyle w:val="Compact"/>
              <w:jc w:val="center"/>
            </w:pPr>
            <w:r>
              <w:t xml:space="preserve">40</w:t>
            </w:r>
          </w:p>
        </w:tc>
        <w:tc>
          <w:tcPr/>
          <w:p>
            <w:pPr>
              <w:pStyle w:val="Compact"/>
              <w:jc w:val="center"/>
            </w:pPr>
            <m:oMath>
              <m:r>
                <m:rPr>
                  <m:sty m:val="p"/>
                </m:rPr>
                <m:t>+</m:t>
              </m:r>
              <m:r>
                <m:t>0.347</m:t>
              </m:r>
            </m:oMath>
            <w:r>
              <w:t xml:space="preserve">​</w:t>
            </w:r>
          </w:p>
        </w:tc>
        <w:tc>
          <w:tcPr/>
          <w:p>
            <w:pPr>
              <w:pStyle w:val="Compact"/>
              <w:jc w:val="center"/>
            </w:pPr>
            <m:oMath>
              <m:r>
                <m:rPr>
                  <m:sty m:val="p"/>
                </m:rPr>
                <m:t>+</m:t>
              </m:r>
              <m:r>
                <m:t>0.715</m:t>
              </m:r>
            </m:oMath>
            <w:r>
              <w:t xml:space="preserve">​</w:t>
            </w:r>
          </w:p>
        </w:tc>
      </w:tr>
      <w:tr>
        <w:tc>
          <w:tcPr/>
          <w:p>
            <w:pPr>
              <w:pStyle w:val="Compact"/>
              <w:jc w:val="left"/>
            </w:pPr>
            <w:r>
              <w:t xml:space="preserve">Kimi-K2.6</w:t>
            </w:r>
          </w:p>
        </w:tc>
        <w:tc>
          <w:tcPr/>
          <w:p>
            <w:pPr>
              <w:pStyle w:val="Compact"/>
              <w:jc w:val="left"/>
            </w:pPr>
            <w:r>
              <w:t xml:space="preserve">Moonshot</w:t>
            </w:r>
          </w:p>
        </w:tc>
        <w:tc>
          <w:tcPr/>
          <w:p>
            <w:pPr>
              <w:pStyle w:val="Compact"/>
              <w:jc w:val="center"/>
            </w:pPr>
            <w:r>
              <w:t xml:space="preserve">40</w:t>
            </w:r>
          </w:p>
        </w:tc>
        <w:tc>
          <w:tcPr/>
          <w:p>
            <w:pPr>
              <w:pStyle w:val="Compact"/>
              <w:jc w:val="center"/>
            </w:pPr>
            <m:oMath>
              <m:r>
                <m:rPr>
                  <m:sty m:val="p"/>
                </m:rPr>
                <m:t>+</m:t>
              </m:r>
              <m:r>
                <m:t>0.675</m:t>
              </m:r>
            </m:oMath>
            <w:r>
              <w:t xml:space="preserve">​</w:t>
            </w:r>
          </w:p>
        </w:tc>
        <w:tc>
          <w:tcPr/>
          <w:p>
            <w:pPr>
              <w:pStyle w:val="Compact"/>
              <w:jc w:val="center"/>
            </w:pPr>
            <m:oMath>
              <m:r>
                <m:rPr>
                  <m:sty m:val="p"/>
                </m:rPr>
                <m:t>+</m:t>
              </m:r>
              <m:r>
                <m:t>0.762</m:t>
              </m:r>
            </m:oMath>
            <w:r>
              <w:t xml:space="preserve">​</w:t>
            </w:r>
          </w:p>
        </w:tc>
      </w:tr>
    </w:tbl>
    <w:bookmarkEnd w:id="86"/>
    <w:bookmarkStart w:id="87" w:name="Xb26a34529b3197c54b6ef78a1946345b612d255"/>
    <w:p>
      <w:pPr>
        <w:pStyle w:val="Heading4"/>
      </w:pPr>
      <w:r>
        <w:t xml:space="preserve">Why Opus verifies incomparability but not interference.</w:t>
      </w:r>
    </w:p>
    <w:p>
      <w:pPr>
        <w:pStyle w:val="FirstParagraph"/>
      </w:pPr>
      <w:r>
        <w:t xml:space="preserve">Opus verifies incomparability (</w:t>
      </w:r>
      <m:oMath>
        <m:sSub>
          <m:e>
            <m:r>
              <m:t>L</m:t>
            </m:r>
          </m:e>
          <m:sub>
            <m:r>
              <m:rPr>
                <m:scr m:val="script"/>
                <m:sty m:val="p"/>
              </m:rPr>
              <m:t>D</m:t>
            </m:r>
          </m:sub>
        </m:sSub>
        <m:r>
          <m:rPr>
            <m:sty m:val="p"/>
          </m:rPr>
          <m:t>=</m:t>
        </m:r>
        <m:r>
          <m:rPr>
            <m:sty m:val="p"/>
          </m:rPr>
          <m:t>+</m:t>
        </m:r>
        <m:r>
          <m:t>0.715</m:t>
        </m:r>
        <m:r>
          <m:rPr>
            <m:sty m:val="p"/>
          </m:rPr>
          <m:t>/</m:t>
        </m:r>
        <m:r>
          <m:rPr>
            <m:sty m:val="p"/>
          </m:rPr>
          <m:t>+</m:t>
        </m:r>
        <m:r>
          <m:t>0.762</m:t>
        </m:r>
      </m:oMath>
      <w:r>
        <w:t xml:space="preserve">) but not anti-monotonicity, and the</w:t>
      </w:r>
      <w:r>
        <w:t xml:space="preserve"> </w:t>
      </w:r>
      <w:r>
        <w:t xml:space="preserve">reason is instructive. Incomparability is carried by stark cells whose proportions sit at</w:t>
      </w:r>
      <w:r>
        <w:t xml:space="preserve"> </w:t>
      </w:r>
      <m:oMath>
        <m:r>
          <m:t>0</m:t>
        </m:r>
      </m:oMath>
      <w:r>
        <w:t xml:space="preserve"> </w:t>
      </w:r>
      <w:r>
        <w:t xml:space="preserve">or</w:t>
      </w:r>
      <w:r>
        <w:t xml:space="preserve"> </w:t>
      </w:r>
      <m:oMath>
        <m:r>
          <m:t>1</m:t>
        </m:r>
      </m:oMath>
      <w:r>
        <w:t xml:space="preserve">, where the Clopper–Pearson interval is tight. The interference bound instead mixes the</w:t>
      </w:r>
      <w:r>
        <w:t xml:space="preserve"> </w:t>
      </w:r>
      <m:oMath>
        <m:sSub>
          <m:e>
            <m:r>
              <m:t>W</m:t>
            </m:r>
          </m:e>
          <m:sub>
            <m:r>
              <m:t>1</m:t>
            </m:r>
            <m:r>
              <m:rPr>
                <m:sty m:val="p"/>
              </m:rPr>
              <m:t>+</m:t>
            </m:r>
          </m:sub>
        </m:sSub>
      </m:oMath>
      <w:r>
        <w:t xml:space="preserve">,</w:t>
      </w:r>
      <w:r>
        <w:t xml:space="preserve"> </w:t>
      </w:r>
      <m:oMath>
        <m:sSub>
          <m:e>
            <m:r>
              <m:t>W</m:t>
            </m:r>
          </m:e>
          <m:sub>
            <m:r>
              <m:t>1</m:t>
            </m:r>
          </m:sub>
        </m:sSub>
      </m:oMath>
      <w:r>
        <w:t xml:space="preserve">,</w:t>
      </w:r>
      <w:r>
        <w:t xml:space="preserve"> </w:t>
      </w:r>
      <m:oMath>
        <m:sSub>
          <m:e>
            <m:r>
              <m:t>W</m:t>
            </m:r>
          </m:e>
          <m:sub>
            <m:r>
              <m:t>2</m:t>
            </m:r>
          </m:sub>
        </m:sSub>
      </m:oMath>
      <w:r>
        <w:t xml:space="preserve">, and</w:t>
      </w:r>
      <w:r>
        <w:t xml:space="preserve"> </w:t>
      </w:r>
      <w:r>
        <w:rPr>
          <w:rStyle w:val="VerbatimChar"/>
        </w:rPr>
        <w:t xml:space="preserve">none</w:t>
      </w:r>
      <w:r>
        <w:t xml:space="preserve"> </w:t>
      </w:r>
      <w:r>
        <w:t xml:space="preserve">arms: Opus’s superset collapse on</w:t>
      </w:r>
      <w:r>
        <w:t xml:space="preserve"> </w:t>
      </w:r>
      <w:r>
        <w:rPr>
          <w:rStyle w:val="VerbatimChar"/>
        </w:rPr>
        <w:t xml:space="preserve">api_post_ok</w:t>
      </w:r>
      <w:r>
        <w:t xml:space="preserve"> </w:t>
      </w:r>
      <w:r>
        <w:t xml:space="preserve">is real but milder (</w:t>
      </w:r>
      <m:oMath>
        <m:r>
          <m:t>100</m:t>
        </m:r>
        <m:r>
          <m:rPr>
            <m:sty m:val="p"/>
          </m:rPr>
          <m:t>%</m:t>
        </m:r>
        <m:r>
          <m:rPr>
            <m:sty m:val="p"/>
          </m:rPr>
          <m:t>→</m:t>
        </m:r>
        <m:r>
          <m:t>38</m:t>
        </m:r>
        <m:r>
          <m:rPr>
            <m:sty m:val="p"/>
          </m:rPr>
          <m:t>%</m:t>
        </m:r>
      </m:oMath>
      <w:r>
        <w:t xml:space="preserve">, upper bound</w:t>
      </w:r>
      <w:r>
        <w:t xml:space="preserve"> </w:t>
      </w:r>
      <m:oMath>
        <m:r>
          <m:rPr>
            <m:sty m:val="p"/>
          </m:rPr>
          <m:t>−</m:t>
        </m:r>
        <m:r>
          <m:t>0.23</m:t>
        </m:r>
      </m:oMath>
      <w:r>
        <w:t xml:space="preserve">, short of</w:t>
      </w:r>
      <w:r>
        <w:t xml:space="preserve"> </w:t>
      </w:r>
      <m:oMath>
        <m:r>
          <m:rPr>
            <m:sty m:val="p"/>
          </m:rPr>
          <m:t>−</m:t>
        </m:r>
        <m:r>
          <m:t>τ</m:t>
        </m:r>
      </m:oMath>
      <w:r>
        <w:t xml:space="preserve">), and its</w:t>
      </w:r>
      <w:r>
        <w:t xml:space="preserve"> </w:t>
      </w:r>
      <w:r>
        <w:rPr>
          <w:rStyle w:val="VerbatimChar"/>
        </w:rPr>
        <w:t xml:space="preserve">api_argorder</w:t>
      </w:r>
      <w:r>
        <w:t xml:space="preserve"> </w:t>
      </w:r>
      <w:r>
        <w:t xml:space="preserve">baseline leaks (</w:t>
      </w:r>
      <w:r>
        <w:rPr>
          <w:rStyle w:val="VerbatimChar"/>
        </w:rPr>
        <w:t xml:space="preserve">none</w:t>
      </w:r>
      <w:r>
        <w:t xml:space="preserve"> </w:t>
      </w:r>
      <m:oMath>
        <m:r>
          <m:rPr>
            <m:sty m:val="p"/>
          </m:rPr>
          <m:t>=</m:t>
        </m:r>
        <m:r>
          <m:t>40</m:t>
        </m:r>
        <m:r>
          <m:rPr>
            <m:sty m:val="p"/>
          </m:rPr>
          <m:t>%</m:t>
        </m:r>
      </m:oMath>
      <w:r>
        <w:t xml:space="preserve">; Remark 6), so neither</w:t>
      </w:r>
      <w:r>
        <w:t xml:space="preserve"> </w:t>
      </w:r>
      <w:r>
        <w:t xml:space="preserve">cell verifies. Both facts are the same model-relative-value effect (§7.4.4): Opus</w:t>
      </w:r>
      <w:r>
        <w:t xml:space="preserve"> </w:t>
      </w:r>
      <w:r>
        <w:t xml:space="preserve">partially already knows the convention, which shrinks the harm the verification can attribute to the</w:t>
      </w:r>
      <w:r>
        <w:t xml:space="preserve"> </w:t>
      </w:r>
      <w:r>
        <w:t xml:space="preserve">added signal.</w:t>
      </w:r>
    </w:p>
    <w:bookmarkEnd w:id="87"/>
    <w:bookmarkEnd w:id="88"/>
    <w:bookmarkStart w:id="91"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bookmarkStart w:id="90"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5 reports the induced rankings.</w:t>
      </w:r>
      <w:r>
        <w:t xml:space="preserve"> </w:t>
      </w:r>
      <w:r>
        <w:rPr>
          <w:b/>
          <w:bCs/>
        </w:rPr>
        <w:t xml:space="preserve">Every</w:t>
      </w:r>
      <w:r>
        <w:rPr>
          <w:b/>
          <w:bCs/>
        </w:rPr>
        <w:t xml:space="preserve"> </w:t>
      </w:r>
      <w:r>
        <w:rPr>
          <w:b/>
          <w:bCs/>
        </w:rPr>
        <w:t xml:space="preserve">feature-based ranker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is exactly the boundary</w:t>
      </w:r>
      <w:r>
        <w:t xml:space="preserve"> </w:t>
      </w:r>
      <w:r>
        <w:t xml:space="preserve">Proposition 2 draws: the impossibility hypothesis is</w:t>
      </w:r>
      <w:r>
        <w:t xml:space="preserve"> </w:t>
      </w:r>
      <w:r>
        <w:rPr>
          <w:i/>
          <w:iCs/>
        </w:rPr>
        <w:t xml:space="preserve">topicality</w:t>
      </w:r>
      <w:r>
        <w:t xml:space="preserve">,</w:t>
      </w:r>
      <w:r>
        <w:t xml:space="preserve"> </w:t>
      </w:r>
      <w:r>
        <w:t xml:space="preserve">invariance to the decisive coordinate, and the trap defeats the lexical, dense, and cross-encoder</w:t>
      </w:r>
      <w:r>
        <w:t xml:space="preserve"> </w:t>
      </w:r>
      <w:r>
        <w:t xml:space="preserve">families that satisfy it while sparing the one ranker that reads content. The practical corollary</w:t>
      </w:r>
      <w:r>
        <w:t xml:space="preserve"> </w:t>
      </w:r>
      <w:r>
        <w:t xml:space="preserve">is that escaping the topical class costs a model call per candidate, a probe of the same kind the</w:t>
      </w:r>
      <w:r>
        <w:t xml:space="preserve"> </w:t>
      </w:r>
      <w:r>
        <w:t xml:space="preserve">deficiency verification is built from, not a free scalar.</w:t>
      </w:r>
    </w:p>
    <w:bookmarkStart w:id="89" w:name="tab:rankers"/>
    <w:p>
      <w:pPr>
        <w:pStyle w:val="TableCaption"/>
      </w:pPr>
      <w:r>
        <w:t xml:space="preserve">The ranker spectrum on the probe tasks. Each cell is the ranker’s top pick between</w:t>
      </w:r>
      <w:r>
        <w:t xml:space="preserve"> </w:t>
      </w:r>
      <m:oMath>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“PASS”</w:t>
      </w:r>
      <w:r>
        <w:t xml:space="preserve"> </w:t>
      </w:r>
      <w:r>
        <w:t xml:space="preserve">is the realized-utility ranking from the verified record. Dense and</w:t>
      </w:r>
      <w:r>
        <w:t xml:space="preserve"> </w:t>
      </w:r>
      <w:r>
        <w:t xml:space="preserve">cross-encoder scores are deterministic; the LLM listwise row pools</w:t>
      </w:r>
      <w:r>
        <w:t xml:space="preserve"> </w:t>
      </w:r>
      <m:oMath>
        <m:r>
          <m:t>n</m:t>
        </m:r>
        <m:r>
          <m:rPr>
            <m:sty m:val="p"/>
          </m:rPr>
          <m:t>=</m:t>
        </m:r>
        <m:r>
          <m:t>30</m:t>
        </m:r>
      </m:oMath>
      <w:r>
        <w:t xml:space="preserve"> </w:t>
      </w:r>
      <w:r>
        <w:t xml:space="preserve">judgments per task</w:t>
      </w:r>
      <w:r>
        <w:t xml:space="preserve"> </w:t>
      </w:r>
      <w:r>
        <w:t xml:space="preserve">(unanimous, both presentation orders).</w:t>
      </w:r>
      <w:r>
        <w:t xml:space="preserve"> </w:t>
      </w:r>
      <m:oMath>
        <m:r>
          <m:rPr>
            <m:sty m:val="p"/>
          </m:rPr>
          <m:t>×</m:t>
        </m:r>
      </m:oMath>
      <w:r>
        <w:t xml:space="preserve"> </w:t>
      </w:r>
      <w:r>
        <w:t xml:space="preserve">marks a mis-rank. The cross-encoder’s</w:t>
      </w:r>
      <w:r>
        <w:t xml:space="preserve"> </w:t>
      </w:r>
      <w:r>
        <w:rPr>
          <w:rStyle w:val="VerbatimChar"/>
        </w:rPr>
        <w:t xml:space="preserve">enc_amount</w:t>
      </w:r>
      <w:r>
        <w:t xml:space="preserve"> </w:t>
      </w:r>
      <w:r>
        <w:t xml:space="preserve">pick is a near-tie (</w:t>
      </w:r>
      <m:oMath>
        <m:r>
          <m:rPr>
            <m:sty m:val="p"/>
          </m:rPr>
          <m:t>−</m:t>
        </m:r>
        <m:r>
          <m:t>0.279</m:t>
        </m:r>
      </m:oMath>
      <w:r>
        <w:t xml:space="preserve"> </w:t>
      </w:r>
      <w:r>
        <w:t xml:space="preserve">vs</w:t>
      </w:r>
      <w:r>
        <w:t xml:space="preserve"> </w:t>
      </w:r>
      <m:oMath>
        <m:r>
          <m:rPr>
            <m:sty m:val="p"/>
          </m:rPr>
          <m:t>−</m:t>
        </m:r>
        <m:r>
          <m:t>0.305</m:t>
        </m:r>
      </m:oMath>
      <w:r>
        <w:t xml:space="preserve">).</w:t>
      </w:r>
    </w:p>
    <w:tbl>
      <w:tblPr>
        <w:tblStyle w:val="Table"/>
        <w:tblW w:type="auto" w:w="0"/>
        <w:tblLook w:firstRow="1" w:lastRow="0" w:firstColumn="0" w:lastColumn="0" w:noHBand="0" w:noVBand="0" w:val="0020"/>
        <w:tblCaption w:val="The ranker spectrum on the probe tasks. Each cell is the ranker’s top pick between \{W_1, W_2\}; “PASS” is the realized-utility ranking from the verified record. Dense and cross-encoder scores are deterministic; the LLM listwise row pools n=30 judgments per task (unanimous, both presentation orders). \times marks a mis-rank. The cross-encoder’s enc_amount pick is a near-tie (-0.279 vs -0.305)."/>
      </w:tblPr>
      <w:tblGrid>
        <w:gridCol w:w="1584"/>
        <w:gridCol w:w="1584"/>
        <w:gridCol w:w="1584"/>
        <w:gridCol w:w="1584"/>
        <w:gridCol w:w="1584"/>
      </w:tblGrid>
      <w:tr>
        <w:trPr>
          <w:tblHeader w:val="on"/>
        </w:trPr>
        <w:tc>
          <w:tcPr/>
          <w:p>
            <w:pPr>
              <w:pStyle w:val="Compact"/>
              <w:jc w:val="left"/>
            </w:pPr>
            <w:r>
              <w:t xml:space="preserve">Ranker</w:t>
            </w:r>
          </w:p>
        </w:tc>
        <w:tc>
          <w:tcPr/>
          <w:p>
            <w:pPr>
              <w:pStyle w:val="Compact"/>
              <w:jc w:val="left"/>
            </w:pPr>
            <w:r>
              <w:t xml:space="preserve">Family</w:t>
            </w:r>
          </w:p>
        </w:tc>
        <w:tc>
          <w:tcPr/>
          <w:p>
            <w:pPr>
              <w:pStyle w:val="Compact"/>
              <w:jc w:val="center"/>
            </w:pPr>
            <w:r>
              <w:rPr>
                <w:rStyle w:val="VerbatimChar"/>
              </w:rPr>
              <w:t xml:space="preserve">trap</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api_post_ok</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enc_amount</w:t>
            </w:r>
            <w:r>
              <w:t xml:space="preserve"> </w:t>
            </w:r>
            <w:r>
              <w:t xml:space="preserve">(PASS:</w:t>
            </w:r>
            <w:r>
              <w:t xml:space="preserve"> </w:t>
            </w:r>
            <m:oMath>
              <m:sSub>
                <m:e>
                  <m:r>
                    <m:t>W</m:t>
                  </m:r>
                </m:e>
                <m:sub>
                  <m:r>
                    <m:t>2</m:t>
                  </m:r>
                </m:sub>
              </m:sSub>
            </m:oMath>
            <w:r>
              <w:t xml:space="preserve">)</w:t>
            </w:r>
          </w:p>
        </w:tc>
      </w:tr>
      <w:tr>
        <w:tc>
          <w:tcPr/>
          <w:p>
            <w:pPr>
              <w:pStyle w:val="Compact"/>
              <w:jc w:val="left"/>
            </w:pPr>
            <w:r>
              <w:t xml:space="preserve">bag-of-words cosine</w:t>
            </w:r>
          </w:p>
        </w:tc>
        <w:tc>
          <w:tcPr/>
          <w:p>
            <w:pPr>
              <w:pStyle w:val="Compact"/>
              <w:jc w:val="left"/>
            </w:pPr>
            <w:r>
              <w:t xml:space="preserve">lexical</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bge-small-en-v1.5</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e5-small-v2</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ms-marco-MiniLM-L-6-v2</w:t>
            </w:r>
          </w:p>
        </w:tc>
        <w:tc>
          <w:tcPr/>
          <w:p>
            <w:pPr>
              <w:pStyle w:val="Compact"/>
              <w:jc w:val="left"/>
            </w:pPr>
            <w:r>
              <w:t xml:space="preserve">cross-encoder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 </w:t>
            </w:r>
            <m:oMath>
              <m:r>
                <m:rPr>
                  <m:sty m:val="p"/>
                </m:rPr>
                <m:t>×</m:t>
              </m:r>
            </m:oMath>
          </w:p>
        </w:tc>
      </w:tr>
      <w:tr>
        <w:tc>
          <w:tcPr/>
          <w:p>
            <w:pPr>
              <w:pStyle w:val="Compact"/>
              <w:jc w:val="left"/>
            </w:pPr>
            <w:r>
              <w:t xml:space="preserve">Haiku listwise (</w:t>
            </w:r>
            <m:oMath>
              <m:r>
                <m:t>n</m:t>
              </m:r>
              <m:r>
                <m:rPr>
                  <m:sty m:val="p"/>
                </m:rPr>
                <m:t>=</m:t>
              </m:r>
              <m:r>
                <m:t>30</m:t>
              </m:r>
            </m:oMath>
            <w:r>
              <w:t xml:space="preserve">)</w:t>
            </w:r>
          </w:p>
        </w:tc>
        <w:tc>
          <w:tcPr/>
          <w:p>
            <w:pPr>
              <w:pStyle w:val="Compact"/>
              <w:jc w:val="left"/>
            </w:pPr>
            <w:r>
              <w:t xml:space="preserve">LLM listwise</w:t>
            </w:r>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bl>
    <w:bookmarkEnd w:id="89"/>
    <w:bookmarkEnd w:id="90"/>
    <w:bookmarkEnd w:id="91"/>
    <w:bookmarkStart w:id="100"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interference</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r>
          <m:rPr>
            <m:nor/>
            <m:scr m:val="monospace"/>
            <m:sty m:val="p"/>
          </m:rPr>
          <m:t>none</m:t>
        </m:r>
        <m:r>
          <m:rPr>
            <m:sty m:val="p"/>
          </m:rPr>
          <m:t>,</m:t>
        </m:r>
        <m:r>
          <m:t>T</m:t>
        </m:r>
        <m:r>
          <m:rPr>
            <m:sty m:val="p"/>
          </m:rPr>
          <m:t>)</m:t>
        </m:r>
      </m:oMath>
      <w:r>
        <w:t xml:space="preserve"> </w:t>
      </w:r>
      <w:r>
        <w:t xml:space="preserve">is verified negative (</w:t>
      </w:r>
      <m:oMath>
        <m:sSub>
          <m:e>
            <m:r>
              <m:rPr>
                <m:sty m:val="p"/>
              </m:rPr>
              <m:t>Ψ</m:t>
            </m:r>
          </m:e>
          <m:sub>
            <m:r>
              <m:t>T</m:t>
            </m:r>
          </m:sub>
        </m:sSub>
        <m:r>
          <m:rPr>
            <m:sty m:val="p"/>
          </m:rPr>
          <m:t>≤</m:t>
        </m:r>
        <m:r>
          <m:rPr>
            <m:sty m:val="p"/>
          </m:rPr>
          <m:t>−</m:t>
        </m:r>
        <m:r>
          <m:t>τ</m:t>
        </m:r>
      </m:oMath>
      <w:r>
        <w:t xml:space="preserve">,</w:t>
      </w:r>
      <w:r>
        <w:t xml:space="preserve"> </w:t>
      </w:r>
      <m:oMath>
        <m:r>
          <m:t>τ</m:t>
        </m:r>
        <m:r>
          <m:rPr>
            <m:sty m:val="p"/>
          </m:rPr>
          <m:t>=</m:t>
        </m:r>
        <m:r>
          <m:t>0.30</m:t>
        </m:r>
      </m:oMath>
      <w:r>
        <w:t xml:space="preserve">) on at</w:t>
      </w:r>
      <w:r>
        <w:t xml:space="preserve"> </w:t>
      </w:r>
      <w:r>
        <w:t xml:space="preserve">least one cell for five of the six models (Table 6). Opus reproduces the effect</w:t>
      </w:r>
      <w:r>
        <w:t xml:space="preserve"> </w:t>
      </w:r>
      <w:r>
        <w:t xml:space="preserve">(</w:t>
      </w:r>
      <m:oMath>
        <m:r>
          <m:t>100</m:t>
        </m:r>
        <m:r>
          <m:rPr>
            <m:sty m:val="p"/>
          </m:rPr>
          <m:t>%</m:t>
        </m:r>
        <m:r>
          <m:rPr>
            <m:sty m:val="p"/>
          </m:rPr>
          <m:t>→</m:t>
        </m:r>
        <m:r>
          <m:t>38</m:t>
        </m:r>
        <m:r>
          <m:rPr>
            <m:sty m:val="p"/>
          </m:rPr>
          <m:t>%</m:t>
        </m:r>
      </m:oMath>
      <w:r>
        <w:t xml:space="preserve">,</w:t>
      </w:r>
      <w:r>
        <w:t xml:space="preserve"> </w:t>
      </w:r>
      <m:oMath>
        <m:sSub>
          <m:e>
            <m:r>
              <m:rPr>
                <m:sty m:val="p"/>
              </m:rPr>
              <m:t>Ψ</m:t>
            </m:r>
          </m:e>
          <m:sub>
            <m:r>
              <m:t>T</m:t>
            </m:r>
          </m:sub>
        </m:sSub>
        <m:r>
          <m:rPr>
            <m:sty m:val="p"/>
          </m:rPr>
          <m:t>=</m:t>
        </m:r>
        <m:r>
          <m:rPr>
            <m:sty m:val="p"/>
          </m:rPr>
          <m:t>−</m:t>
        </m:r>
        <m:r>
          <m:t>0.62</m:t>
        </m:r>
      </m:oMath>
      <w:r>
        <w:t xml:space="preserve">) but does not verify: the collapse is milder and its</w:t>
      </w:r>
      <w:r>
        <w:t xml:space="preserve"> </w:t>
      </w:r>
      <w:r>
        <w:rPr>
          <w:rStyle w:val="VerbatimChar"/>
        </w:rPr>
        <w:t xml:space="preserve">api_argorder</w:t>
      </w:r>
      <w:r>
        <w:t xml:space="preserve"> </w:t>
      </w:r>
      <w:r>
        <w:t xml:space="preserve">baseline leaks, both of which we tie to the model-relative value of context</w:t>
      </w:r>
      <w:r>
        <w:t xml:space="preserve"> </w:t>
      </w:r>
      <w:r>
        <w:t xml:space="preserve">in §7.4.4. This is a</w:t>
      </w:r>
      <w:r>
        <w:t xml:space="preserve"> </w:t>
      </w:r>
      <w:r>
        <w:t xml:space="preserve">verified empirical falsification of Blackwell superset-dominance on live models</w:t>
      </w:r>
      <w:r>
        <w:t xml:space="preserve"> </w:t>
      </w:r>
      <w:r>
        <w:t xml:space="preserve">(Theorem 3): strictly-more-informative context can hurt, and the deficiency</w:t>
      </w:r>
      <w:r>
        <w:t xml:space="preserve"> </w:t>
      </w:r>
      <w:r>
        <w:t xml:space="preserve">framework detects it precisely where every monotone scalar must miss it.</w:t>
      </w:r>
      <w:r>
        <w:t xml:space="preserve"> </w:t>
      </w:r>
      <w:r>
        <w:t xml:space="preserve">Figure 1 shows the collapse across the six models.</w:t>
      </w:r>
    </w:p>
    <w:bookmarkStart w:id="92" w:name="fig:collapse"/>
    <w:tbl>
      <w:tblPr>
        <w:tblStyle w:val="FigureTable"/>
        <w:tblW w:type="auto" w:w="0"/>
        <w:jc w:val="center"/>
        <w:tblLook w:firstRow="0" w:lastRow="0" w:firstColumn="0" w:lastColumn="0"/>
      </w:tblPr>
      <w:tblGrid/>
    </w:tbl>
    <w:p>
      <w:pPr>
        <w:pStyle w:val="ImageCaption"/>
      </w:pPr>
      <w:r>
        <w:t xml:space="preserve">Anti-monotonicity across the capability ladder: PASS on the</w:t>
      </w:r>
      <w:r>
        <w:t xml:space="preserve"> </w:t>
      </w:r>
      <w:r>
        <w:rPr>
          <w:rStyle w:val="VerbatimChar"/>
        </w:rPr>
        <w:t xml:space="preserve">api_post_ok</w:t>
      </w:r>
      <w:r>
        <w:t xml:space="preserve"> </w:t>
      </w:r>
      <w:r>
        <w:t xml:space="preserve">cell</w:t>
      </w:r>
      <w:r>
        <w:t xml:space="preserve"> </w:t>
      </w:r>
      <w:r>
        <w:t xml:space="preserve">under the sufficient source</w:t>
      </w:r>
      <w:r>
        <w:t xml:space="preserve"> </w:t>
      </w:r>
      <m:oMath>
        <m:sSub>
          <m:e>
            <m:r>
              <m:t>W</m:t>
            </m:r>
          </m:e>
          <m:sub>
            <m:r>
              <m:t>1</m:t>
            </m:r>
          </m:sub>
        </m:sSub>
      </m:oMath>
      <w:r>
        <w:t xml:space="preserve"> </w:t>
      </w:r>
      <w:r>
        <w:t xml:space="preserve">(light) versus the strict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(dark), per model (Table 8). The superset</w:t>
      </w:r>
      <w:r>
        <w:t xml:space="preserve"> </w:t>
      </w:r>
      <w:r>
        <w:rPr>
          <w:i/>
          <w:iCs/>
        </w:rPr>
        <w:t xml:space="preserve">contains</w:t>
      </w:r>
      <w:r>
        <w:t xml:space="preserve"> </w:t>
      </w:r>
      <m:oMath>
        <m:sSub>
          <m:e>
            <m:r>
              <m:t>W</m:t>
            </m:r>
          </m:e>
          <m:sub>
            <m:r>
              <m:t>1</m:t>
            </m:r>
          </m:sub>
        </m:sSub>
      </m:oMath>
      <w:r>
        <w:t xml:space="preserve">’s signal yet</w:t>
      </w:r>
      <w:r>
        <w:t xml:space="preserve"> </w:t>
      </w:r>
      <w:r>
        <w:t xml:space="preserve">collapses performance on every model; the effect is large but not monotone in</w:t>
      </w:r>
      <w:r>
        <w:t xml:space="preserve"> </w:t>
      </w:r>
      <w:r>
        <w:t xml:space="preserve">capability (Sonnet collapses hardest, Opus least). All runs single-shot,</w:t>
      </w:r>
      <w:r>
        <w:t xml:space="preserve"> </w:t>
      </w:r>
      <m:oMath>
        <m:r>
          <m:t>n</m:t>
        </m:r>
        <m:r>
          <m:rPr>
            <m:sty m:val="p"/>
          </m:rPr>
          <m:t>=</m:t>
        </m:r>
        <m:r>
          <m:t>40</m:t>
        </m:r>
      </m:oMath>
      <w:r>
        <w:t xml:space="preserve">. Haiku’s</w:t>
      </w:r>
      <w:r>
        <w:t xml:space="preserve"> </w:t>
      </w:r>
      <m:oMath>
        <m:sSub>
          <m:e>
            <m:r>
              <m:t>W</m:t>
            </m:r>
          </m:e>
          <m:sub>
            <m:r>
              <m:t>1</m:t>
            </m:r>
          </m:sub>
        </m:sSub>
      </m:oMath>
      <w:r>
        <w:t xml:space="preserve"> </w:t>
      </w:r>
      <w:r>
        <w:t xml:space="preserve">reads</w:t>
      </w:r>
      <w:r>
        <w:t xml:space="preserve"> </w:t>
      </w:r>
      <m:oMath>
        <m:r>
          <m:t>52</m:t>
        </m:r>
        <m:r>
          <m:rPr>
            <m:sty m:val="p"/>
          </m:rPr>
          <m:t>%</m:t>
        </m:r>
      </m:oMath>
      <w:r>
        <w:t xml:space="preserve"> </w:t>
      </w:r>
      <w:r>
        <w:t xml:space="preserve">on this cell only because about half of its replies omit the</w:t>
      </w:r>
      <w:r>
        <w:t xml:space="preserve"> </w:t>
      </w:r>
      <w:r>
        <w:rPr>
          <w:rStyle w:val="VerbatimChar"/>
        </w:rPr>
        <w:t xml:space="preserve">import ledger</w:t>
      </w:r>
      <w:r>
        <w:t xml:space="preserve"> </w:t>
      </w:r>
      <w:r>
        <w:t xml:space="preserve">line</w:t>
      </w:r>
      <w:r>
        <w:t xml:space="preserve"> </w:t>
      </w:r>
      <w:r>
        <w:t xml:space="preserve">while calling the contract correctly (raw-failure audit, §7.5.1: with the import</w:t>
      </w:r>
      <w:r>
        <w:t xml:space="preserve"> </w:t>
      </w:r>
      <w:r>
        <w:t xml:space="preserve">neutralized,</w:t>
      </w:r>
      <w:r>
        <w:t xml:space="preserve"> </w:t>
      </w:r>
      <m:oMath>
        <m:r>
          <m:t>40</m:t>
        </m:r>
        <m:r>
          <m:rPr>
            <m:sty m:val="p"/>
          </m:rPr>
          <m:t>/</m:t>
        </m:r>
        <m:r>
          <m:t>40</m:t>
        </m:r>
      </m:oMath>
      <w:r>
        <w:t xml:space="preserve">); its verified collapse is 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 </w:t>
      </w:r>
      <w:r>
        <w:t xml:space="preserve">(Table 6). Opus reproduces the collapse but does not verify.</w:t>
      </w:r>
    </w:p>
    <w:bookmarkEnd w:id="92"/>
    <w:bookmarkStart w:id="95"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w:t>
      </w:r>
      <w:r>
        <w:t xml:space="preserve"> </w:t>
      </w:r>
      <m:oMath>
        <m:sSub>
          <m:e>
            <m:r>
              <m:t>W</m:t>
            </m:r>
          </m:e>
          <m:sub>
            <m:r>
              <m:t>1</m:t>
            </m:r>
            <m:r>
              <m:rPr>
                <m:sty m:val="p"/>
              </m:rPr>
              <m:t>+</m:t>
            </m:r>
          </m:sub>
        </m:sSub>
      </m:oMath>
      <w:r>
        <w:t xml:space="preserve"> </w:t>
      </w:r>
      <w:r>
        <w:t xml:space="preserve">dominates</w:t>
      </w:r>
      <w:r>
        <w:t xml:space="preserve"> </w:t>
      </w:r>
      <m:oMath>
        <m:sSub>
          <m:e>
            <m:r>
              <m:t>W</m:t>
            </m:r>
          </m:e>
          <m:sub>
            <m:r>
              <m:t>2</m:t>
            </m:r>
          </m:sub>
        </m:sSub>
      </m:oMath>
      <w:r>
        <w:t xml:space="preserve"> </w:t>
      </w:r>
      <w:r>
        <w:t xml:space="preserve">(while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correct empirical summary is the two-element</w:t>
      </w:r>
      <w:r>
        <w:t xml:space="preserve"> </w:t>
      </w:r>
      <w:r>
        <w:t xml:space="preserve">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 represent</w:t>
      </w:r>
      <w:r>
        <w:t xml:space="preserve"> </w:t>
      </w:r>
      <w:r>
        <w:t xml:space="preserve">(Figure 2). This reads directly off the verified</w:t>
      </w:r>
      <w:r>
        <w:t xml:space="preserve"> </w:t>
      </w:r>
      <m:oMath>
        <m:r>
          <m:t>n</m:t>
        </m:r>
        <m:r>
          <m:rPr>
            <m:sty m:val="p"/>
          </m:rPr>
          <m:t>=</m:t>
        </m:r>
        <m:r>
          <m:t>40</m:t>
        </m:r>
      </m:oMath>
      <w:r>
        <w:t xml:space="preserve"> </w:t>
      </w:r>
      <w:r>
        <w:t xml:space="preserve">Haiku cells; the</w:t>
      </w:r>
      <w:r>
        <w:t xml:space="preserve"> </w:t>
      </w:r>
      <w:r>
        <w:t xml:space="preserve">selection rule it implies, keep the verified non-dominated set rather than force the superset,</w:t>
      </w:r>
      <w:r>
        <w:t xml:space="preserve"> </w:t>
      </w:r>
      <w:r>
        <w:t xml:space="preserve">is developed in a companion paper.</w:t>
      </w:r>
    </w:p>
    <w:bookmarkStart w:id="93"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6)</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 and</w:t>
      </w:r>
      <w:r>
        <w:t xml:space="preserve"> </w:t>
      </w:r>
      <w:r>
        <w:t xml:space="preserve">the correct output is the two-element Pareto front, which no scalar top-</w:t>
      </w:r>
      <m:oMath>
        <m:r>
          <m:t>1</m:t>
        </m:r>
      </m:oMath>
      <w:r>
        <w:t xml:space="preserve"> </w:t>
      </w:r>
      <w:r>
        <w:t xml:space="preserve">rule can represent.</w:t>
      </w:r>
    </w:p>
    <w:bookmarkEnd w:id="93"/>
    <w:bookmarkStart w:id="94" w:name="tab:interference"/>
    <w:p>
      <w:pPr>
        <w:pStyle w:val="TableCaption"/>
      </w:pPr>
      <w:r>
        <w:t xml:space="preserve">Anti-monotonicity (interference) verification on the carrying cell per model.</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r>
          <m:rPr>
            <m:nor/>
            <m:scr m:val="monospace"/>
            <m:sty m:val="p"/>
          </m:rPr>
          <m:t>none</m:t>
        </m:r>
        <m:r>
          <m:rPr>
            <m:sty m:val="p"/>
          </m:rPr>
          <m:t>)</m:t>
        </m:r>
      </m:oMath>
      <w:r>
        <w:t xml:space="preserve">;</w:t>
      </w:r>
      <w:r>
        <w:t xml:space="preserve"> </w:t>
      </w:r>
      <w:r>
        <w:t xml:space="preserve">“Upper”</w:t>
      </w:r>
      <w:r>
        <w:t xml:space="preserve"> </w:t>
      </w:r>
      <w:r>
        <w:t xml:space="preserve">is the</w:t>
      </w:r>
      <w:r>
        <w:t xml:space="preserve"> </w:t>
      </w:r>
      <m:oMath>
        <m:r>
          <m:t>η</m:t>
        </m:r>
        <m:r>
          <m:rPr>
            <m:sty m:val="p"/>
          </m:rPr>
          <m:t>/</m:t>
        </m:r>
        <m:r>
          <m:t>4</m:t>
        </m:r>
      </m:oMath>
      <w:r>
        <w:t xml:space="preserve"> </w:t>
      </w:r>
      <w:r>
        <w:t xml:space="preserve">Clopper–Pearson upper bound</w:t>
      </w:r>
      <w:r>
        <w:t xml:space="preserve"> </w:t>
      </w:r>
      <m:oMath>
        <m:sSub>
          <m:e>
            <m:bar>
              <m:barPr>
                <m:pos m:val="top"/>
              </m:barPr>
              <m:e>
                <m:r>
                  <m:rPr>
                    <m:sty m:val="p"/>
                  </m:rPr>
                  <m:t>Ψ</m:t>
                </m:r>
              </m:e>
            </m:bar>
          </m:e>
          <m:sub>
            <m:r>
              <m:t>T</m:t>
            </m:r>
          </m:sub>
        </m:sSub>
      </m:oMath>
      <w:r>
        <w:t xml:space="preserve"> </w:t>
      </w:r>
      <w:r>
        <w:t xml:space="preserve">of (7); the cell is verified harmful</w:t>
      </w:r>
      <w:r>
        <w:t xml:space="preserve"> </w:t>
      </w:r>
      <w:r>
        <w:t xml:space="preserve">when Upper</w:t>
      </w:r>
      <w:r>
        <w:t xml:space="preserve"> </w:t>
      </w:r>
      <m:oMath>
        <m:r>
          <m:rPr>
            <m:sty m:val="p"/>
          </m:rPr>
          <m:t>≤</m:t>
        </m:r>
        <m:r>
          <m:rPr>
            <m:sty m:val="p"/>
          </m:rPr>
          <m:t>−</m:t>
        </m:r>
        <m:r>
          <m:t>0.30</m:t>
        </m:r>
      </m:oMath>
      <w:r>
        <w:t xml:space="preserve">. The</w:t>
      </w:r>
      <w:r>
        <w:t xml:space="preserve"> </w:t>
      </w:r>
      <m:oMath>
        <m:sSub>
          <m:e>
            <m:r>
              <m:t>W</m:t>
            </m:r>
          </m:e>
          <m:sub>
            <m:r>
              <m:t>1</m:t>
            </m:r>
          </m:sub>
        </m:sSub>
        <m:r>
          <m:rPr>
            <m:sty m:val="p"/>
          </m:rPr>
          <m:t>→</m:t>
        </m:r>
        <m:sSub>
          <m:e>
            <m:r>
              <m:t>W</m:t>
            </m:r>
          </m:e>
          <m:sub>
            <m:r>
              <m:t>1</m:t>
            </m:r>
            <m:r>
              <m:rPr>
                <m:sty m:val="p"/>
              </m:rPr>
              <m:t>+</m:t>
            </m:r>
          </m:sub>
        </m:sSub>
      </m:oMath>
      <w:r>
        <w:t xml:space="preserve"> </w:t>
      </w:r>
      <w:r>
        <w:t xml:space="preserve">column reports the PASS collapse. The verification clears</w:t>
      </w:r>
      <w:r>
        <w:t xml:space="preserve"> </w:t>
      </w:r>
      <w:r>
        <w:t xml:space="preserve">only on cells whose</w:t>
      </w:r>
      <w:r>
        <w:t xml:space="preserve"> </w:t>
      </w:r>
      <w:r>
        <w:rPr>
          <w:rStyle w:val="VerbatimChar"/>
        </w:rPr>
        <w:t xml:space="preserve">none</w:t>
      </w:r>
      <w:r>
        <w:t xml:space="preserve"> </w:t>
      </w:r>
      <w:r>
        <w:t xml:space="preserve">baseline floors near zero (the leaky-baseline limitation;</w:t>
      </w:r>
      <w:r>
        <w:t xml:space="preserve"> </w:t>
      </w:r>
      <w:r>
        <w:t xml:space="preserve">Remark 6).</w:t>
      </w:r>
      <w:r>
        <w:t xml:space="preserve"> </w:t>
      </w:r>
      <m:oMath>
        <m:sSup>
          <m:e>
            <m:r>
              <m:t>​</m:t>
            </m:r>
          </m:e>
          <m:sup>
            <m:r>
              <m:rPr>
                <m:sty m:val="p"/>
              </m:rPr>
              <m:t>†</m:t>
            </m:r>
          </m:sup>
        </m:sSup>
      </m:oMath>
      <w:r>
        <w:t xml:space="preserve">Control row: the same cell with the omitted-</w:t>
      </w:r>
      <w:r>
        <w:rPr>
          <w:rStyle w:val="VerbatimChar"/>
        </w:rPr>
        <w:t xml:space="preserve">import</w:t>
      </w:r>
      <w:r>
        <w:t xml:space="preserve"> </w:t>
      </w:r>
      <w:r>
        <w:t xml:space="preserve">slip neutralized in the verifier (§7.5.1); its interference is verified in sign but not at the</w:t>
      </w:r>
      <w:r>
        <w:t xml:space="preserve"> </w:t>
      </w:r>
      <m:oMath>
        <m:r>
          <m:t>τ</m:t>
        </m:r>
        <m:r>
          <m:rPr>
            <m:sty m:val="p"/>
          </m:rPr>
          <m:t>=</m:t>
        </m:r>
        <m:r>
          <m:t>0.30</m:t>
        </m:r>
      </m:oMath>
      <w:r>
        <w:t xml:space="preserve"> </w:t>
      </w:r>
      <w:r>
        <w:t xml:space="preserve">margin.</w:t>
      </w:r>
    </w:p>
    <w:tbl>
      <w:tblPr>
        <w:tblStyle w:val="Table"/>
        <w:tblW w:type="auto" w:w="0"/>
        <w:tblLook w:firstRow="1" w:lastRow="0" w:firstColumn="0" w:lastColumn="0" w:noHBand="0" w:noVBand="0" w:val="0020"/>
        <w:tblCaption w:val="Anti-monotonicity (interference) verification on the carrying cell per model. \Psi_T =     \mathrm{PASS}(W_{1+}) - \mathrm{PASS}(W_1) - \mathrm{PASS}(W_2) + \mathrm{PASS}(\texttt{none}); “Upper” is the \eta/4 Clopper–Pearson upper bound \overline\Psi_T of (7); the cell is verified harmful when Upper \le -0.30. The W_1 \to W_{1+} column reports the PASS collapse. The verification clears only on cells whose none baseline floors near zero (the leaky-baseline limitation; Remark 6). ^{\dagger}Control row: the same cell with the omitted-import slip neutralized in the verifier (§7.5.1); its interference is verified in sign but not at the \tau=0.30 margin."/>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Carrying 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sSub>
                <m:e>
                  <m:r>
                    <m:rPr>
                      <m:sty m:val="p"/>
                    </m:rPr>
                    <m:t>Ψ</m:t>
                  </m:r>
                </m:e>
                <m:sub>
                  <m:r>
                    <m:t>T</m:t>
                  </m:r>
                </m:sub>
              </m:sSub>
            </m:oMath>
            <w:r>
              <w:t xml:space="preserve">​</w:t>
            </w:r>
          </w:p>
        </w:tc>
        <w:tc>
          <w:tcPr/>
          <w:p>
            <w:pPr>
              <w:pStyle w:val="Compact"/>
              <w:jc w:val="center"/>
            </w:pPr>
            <w:r>
              <w:t xml:space="preserve">Upper</w:t>
            </w:r>
          </w:p>
        </w:tc>
        <w:tc>
          <w:tcPr/>
          <w:p>
            <w:pPr>
              <w:pStyle w:val="Compact"/>
              <w:jc w:val="center"/>
            </w:pPr>
            <w:r>
              <w:t xml:space="preserve">Verified</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5</m:t>
              </m:r>
              <m:r>
                <m:rPr>
                  <m:sty m:val="p"/>
                </m:rPr>
                <m:t>%</m:t>
              </m:r>
            </m:oMath>
            <w:r>
              <w:t xml:space="preserve">​</w:t>
            </w:r>
          </w:p>
        </w:tc>
        <w:tc>
          <w:tcPr/>
          <w:p>
            <w:pPr>
              <w:pStyle w:val="Compact"/>
              <w:jc w:val="center"/>
            </w:pPr>
            <m:oMath>
              <m:r>
                <m:rPr>
                  <m:sty m:val="p"/>
                </m:rPr>
                <m:t>−</m:t>
              </m:r>
              <m:r>
                <m:t>0.93</m:t>
              </m:r>
            </m:oMath>
            <w:r>
              <w:t xml:space="preserve">​</w:t>
            </w:r>
          </w:p>
        </w:tc>
        <w:tc>
          <w:tcPr/>
          <w:p>
            <w:pPr>
              <w:pStyle w:val="Compact"/>
              <w:jc w:val="center"/>
            </w:pPr>
            <m:oMath>
              <m:r>
                <m:rPr>
                  <m:sty m:val="p"/>
                </m:rPr>
                <m:t>−</m:t>
              </m:r>
              <m:r>
                <m:t>0.56</m:t>
              </m:r>
            </m:oMath>
            <w:r>
              <w:t xml:space="preserve">​</w:t>
            </w:r>
          </w:p>
        </w:tc>
        <w:tc>
          <w:tcPr/>
          <w:p>
            <w:pPr>
              <w:pStyle w:val="Compact"/>
            </w:pP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m:oMath>
              <m:r>
                <m:t>52</m:t>
              </m:r>
              <m:r>
                <m:rPr>
                  <m:sty m:val="p"/>
                </m:rPr>
                <m:t>%</m:t>
              </m:r>
              <m:r>
                <m:rPr>
                  <m:sty m:val="p"/>
                </m:rPr>
                <m:t>→</m:t>
              </m:r>
              <m:r>
                <m:t>15</m:t>
              </m:r>
              <m:r>
                <m:rPr>
                  <m:sty m:val="p"/>
                </m:rPr>
                <m:t>%</m:t>
              </m:r>
            </m:oMath>
            <w:r>
              <w:t xml:space="preserve">​</w:t>
            </w:r>
          </w:p>
        </w:tc>
        <w:tc>
          <w:tcPr/>
          <w:p>
            <w:pPr>
              <w:pStyle w:val="Compact"/>
              <w:jc w:val="center"/>
            </w:pPr>
            <m:oMath>
              <m:r>
                <m:rPr>
                  <m:sty m:val="p"/>
                </m:rPr>
                <m:t>−</m:t>
              </m:r>
              <m:r>
                <m:t>0.38</m:t>
              </m:r>
            </m:oMath>
            <w:r>
              <w:t xml:space="preserve">​</w:t>
            </w:r>
          </w:p>
        </w:tc>
        <w:tc>
          <w:tcPr/>
          <w:p>
            <w:pPr>
              <w:pStyle w:val="Compact"/>
              <w:jc w:val="center"/>
            </w:pPr>
            <m:oMath>
              <m:r>
                <m:rPr>
                  <m:sty m:val="p"/>
                </m:rPr>
                <m:t>+</m:t>
              </m:r>
              <m:r>
                <m:t>0.08</m:t>
              </m:r>
            </m:oMath>
            <w:r>
              <w:t xml:space="preserve">​</w:t>
            </w:r>
          </w:p>
        </w:tc>
        <w:tc>
          <w:tcPr/>
          <w:p>
            <w:pPr>
              <w:pStyle w:val="Compact"/>
              <w:jc w:val="center"/>
            </w:pPr>
            <w:r>
              <w:t xml:space="preserve">no (import omission)</w:t>
            </w:r>
          </w:p>
        </w:tc>
      </w:tr>
      <w:tr>
        <w:tc>
          <w:tcPr/>
          <w:p>
            <w:pPr>
              <w:pStyle w:val="Compact"/>
              <w:jc w:val="left"/>
            </w:pPr>
            <w:r>
              <w:t xml:space="preserve">Haiku-4.5</w:t>
            </w:r>
          </w:p>
        </w:tc>
        <w:tc>
          <w:tcPr/>
          <w:p>
            <w:pPr>
              <w:pStyle w:val="Compact"/>
              <w:jc w:val="left"/>
            </w:pPr>
            <w:r>
              <w:rPr>
                <w:rStyle w:val="VerbatimChar"/>
              </w:rPr>
              <w:t xml:space="preserve">api_post_ok</w:t>
            </w:r>
            <w:r>
              <w:t xml:space="preserve">, import-neutralized</w:t>
            </w:r>
            <m:oMath>
              <m:sSup>
                <m:e>
                  <m:r>
                    <m:t>​</m:t>
                  </m:r>
                </m:e>
                <m:sup>
                  <m:r>
                    <m:rPr>
                      <m:sty m:val="p"/>
                    </m:rPr>
                    <m:t>†</m:t>
                  </m:r>
                </m:sup>
              </m:sSup>
            </m:oMath>
          </w:p>
        </w:tc>
        <w:tc>
          <w:tcPr/>
          <w:p>
            <w:pPr>
              <w:pStyle w:val="Compact"/>
              <w:jc w:val="center"/>
            </w:pPr>
            <m:oMath>
              <m:r>
                <m:t>100</m:t>
              </m:r>
              <m:r>
                <m:rPr>
                  <m:sty m:val="p"/>
                </m:rPr>
                <m:t>%</m:t>
              </m:r>
              <m:r>
                <m:rPr>
                  <m:sty m:val="p"/>
                </m:rPr>
                <m:t>→</m:t>
              </m:r>
              <m:r>
                <m:t>52</m:t>
              </m:r>
              <m:r>
                <m:rPr>
                  <m:sty m:val="p"/>
                </m:rPr>
                <m:t>%</m:t>
              </m:r>
            </m:oMath>
            <w:r>
              <w:t xml:space="preserve">​</w:t>
            </w:r>
          </w:p>
        </w:tc>
        <w:tc>
          <w:tcPr/>
          <w:p>
            <w:pPr>
              <w:pStyle w:val="Compact"/>
              <w:jc w:val="center"/>
            </w:pPr>
            <m:oMath>
              <m:r>
                <m:rPr>
                  <m:sty m:val="p"/>
                </m:rPr>
                <m:t>−</m:t>
              </m:r>
              <m:r>
                <m:t>0.48</m:t>
              </m:r>
            </m:oMath>
            <w:r>
              <w:t xml:space="preserve">​</w:t>
            </w:r>
          </w:p>
        </w:tc>
        <w:tc>
          <w:tcPr/>
          <w:p>
            <w:pPr>
              <w:pStyle w:val="Compact"/>
              <w:jc w:val="center"/>
            </w:pPr>
            <m:oMath>
              <m:r>
                <m:rPr>
                  <m:sty m:val="p"/>
                </m:rPr>
                <m:t>−</m:t>
              </m:r>
              <m:r>
                <m:t>0.09</m:t>
              </m:r>
            </m:oMath>
            <w:r>
              <w:t xml:space="preserve">​</w:t>
            </w:r>
          </w:p>
        </w:tc>
        <w:tc>
          <w:tcPr/>
          <w:p>
            <w:pPr>
              <w:pStyle w:val="Compact"/>
              <w:jc w:val="center"/>
            </w:pPr>
            <w:r>
              <w:t xml:space="preserve">sign only</w:t>
            </w:r>
            <m:oMath>
              <m:sSup>
                <m:e>
                  <m:r>
                    <m:t>​</m:t>
                  </m:r>
                </m:e>
                <m:sup>
                  <m:r>
                    <m:rPr>
                      <m:sty m:val="p"/>
                    </m:rPr>
                    <m:t>†</m:t>
                  </m:r>
                </m:sup>
              </m:sSup>
            </m:oMath>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2</m:t>
              </m:r>
              <m:r>
                <m:rPr>
                  <m:sty m:val="p"/>
                </m:rPr>
                <m:t>%</m:t>
              </m:r>
            </m:oMath>
            <w:r>
              <w:t xml:space="preserve">​</w:t>
            </w:r>
          </w:p>
        </w:tc>
        <w:tc>
          <w:tcPr/>
          <w:p>
            <w:pPr>
              <w:pStyle w:val="Compact"/>
              <w:jc w:val="center"/>
            </w:pPr>
            <m:oMath>
              <m:r>
                <m:rPr>
                  <m:sty m:val="p"/>
                </m:rPr>
                <m:t>−</m:t>
              </m:r>
              <m:r>
                <m:t>0.97</m:t>
              </m:r>
            </m:oMath>
            <w:r>
              <w:t xml:space="preserve">​</w:t>
            </w:r>
          </w:p>
        </w:tc>
        <w:tc>
          <w:tcPr/>
          <w:p>
            <w:pPr>
              <w:pStyle w:val="Compact"/>
              <w:jc w:val="center"/>
            </w:pPr>
            <m:oMath>
              <m:r>
                <m:rPr>
                  <m:sty m:val="p"/>
                </m:rPr>
                <m:t>−</m:t>
              </m:r>
              <m:r>
                <m:t>0.64</m:t>
              </m:r>
            </m:oMath>
            <w:r>
              <w:t xml:space="preserve">​</w:t>
            </w:r>
          </w:p>
        </w:tc>
        <w:tc>
          <w:tcPr/>
          <w:p>
            <w:pPr>
              <w:pStyle w:val="Compact"/>
            </w:pP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0.69</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0.95</m:t>
              </m:r>
            </m:oMath>
            <w:r>
              <w:t xml:space="preserve">​</w:t>
            </w:r>
          </w:p>
        </w:tc>
        <w:tc>
          <w:tcPr/>
          <w:p>
            <w:pPr>
              <w:pStyle w:val="Compact"/>
              <w:jc w:val="center"/>
            </w:pPr>
            <m:oMath>
              <m:r>
                <m:rPr>
                  <m:sty m:val="p"/>
                </m:rPr>
                <m:t>−</m:t>
              </m:r>
              <m:r>
                <m:t>0.60</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75</m:t>
              </m:r>
              <m:r>
                <m:rPr>
                  <m:sty m:val="p"/>
                </m:rPr>
                <m:t>%</m:t>
              </m:r>
              <m:r>
                <m:rPr>
                  <m:sty m:val="p"/>
                </m:rPr>
                <m:t>→</m:t>
              </m:r>
              <m:r>
                <m:t>0</m:t>
              </m:r>
              <m:r>
                <m:rPr>
                  <m:sty m:val="p"/>
                </m:rPr>
                <m:t>%</m:t>
              </m:r>
            </m:oMath>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0.36</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0.69</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38</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0.23</m:t>
              </m:r>
            </m:oMath>
            <w:r>
              <w:t xml:space="preserve">​</w:t>
            </w:r>
          </w:p>
        </w:tc>
        <w:tc>
          <w:tcPr/>
          <w:p>
            <w:pPr>
              <w:pStyle w:val="Compact"/>
              <w:jc w:val="center"/>
            </w:pPr>
            <w:r>
              <w:t xml:space="preserve">no (milder)</w:t>
            </w:r>
          </w:p>
        </w:tc>
      </w:tr>
    </w:tbl>
    <w:bookmarkEnd w:id="94"/>
    <w:bookmarkEnd w:id="95"/>
    <w:bookmarkStart w:id="96" w:name="Xe149701baef4ebfc0c0660f6732890156a3bb29"/>
    <w:p>
      <w:pPr>
        <w:pStyle w:val="Heading4"/>
      </w:pPr>
      <w:r>
        <w:t xml:space="preserve">The leaky-baseline limitation is a stated protocol.</w:t>
      </w:r>
    </w:p>
    <w:p>
      <w:pPr>
        <w:pStyle w:val="FirstParagraph"/>
      </w:pPr>
      <w:r>
        <w:t xml:space="preserve">The interference upper bound includes the term</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w:r>
        <w:t xml:space="preserve">, so it</w:t>
      </w:r>
      <w:r>
        <w:t xml:space="preserve"> </w:t>
      </w:r>
      <w:r>
        <w:t xml:space="preserve">can verify harm only on cells whose no-context baseline floors near zero. This is why</w:t>
      </w:r>
      <w:r>
        <w:t xml:space="preserve"> </w:t>
      </w:r>
      <w:r>
        <w:t xml:space="preserve">anti-monotonicity verifies on</w:t>
      </w:r>
      <w:r>
        <w:t xml:space="preserve"> </w:t>
      </w:r>
      <w:r>
        <w:rPr>
          <w:rStyle w:val="VerbatimChar"/>
        </w:rPr>
        <w:t xml:space="preserve">api_argorder</w:t>
      </w:r>
      <w:r>
        <w:t xml:space="preserve"> </w:t>
      </w:r>
      <w:r>
        <w:t xml:space="preserve">for Haiku (</w:t>
      </w:r>
      <w:r>
        <w:rPr>
          <w:rStyle w:val="VerbatimChar"/>
        </w:rPr>
        <w:t xml:space="preserve">none</w:t>
      </w:r>
      <w:r>
        <w:t xml:space="preserve"> </w:t>
      </w:r>
      <m:oMath>
        <m:r>
          <m:rPr>
            <m:sty m:val="p"/>
          </m:rPr>
          <m:t>=</m:t>
        </m:r>
        <m:r>
          <m:t>2</m:t>
        </m:r>
        <m:r>
          <m:rPr>
            <m:sty m:val="p"/>
          </m:rPr>
          <m:t>%</m:t>
        </m:r>
      </m:oMath>
      <w:r>
        <w:t xml:space="preserve">,</w:t>
      </w:r>
      <w:r>
        <w:t xml:space="preserve"> </w:t>
      </w:r>
      <m:oMath>
        <m:sSub>
          <m:e>
            <m:r>
              <m:t>W</m:t>
            </m:r>
          </m:e>
          <m:sub>
            <m:r>
              <m:t>1</m:t>
            </m:r>
          </m:sub>
        </m:sSub>
      </m:oMath>
      <w:r>
        <w:t xml:space="preserve"> </w:t>
      </w:r>
      <m:oMath>
        <m:r>
          <m:t>100</m:t>
        </m:r>
        <m:r>
          <m:rPr>
            <m:sty m:val="p"/>
          </m:rPr>
          <m:t>%</m:t>
        </m:r>
      </m:oMath>
      <w:r>
        <w:t xml:space="preserve">)</w:t>
      </w:r>
      <w:r>
        <w:t xml:space="preserve"> </w:t>
      </w:r>
      <w:r>
        <w:t xml:space="preserve">and Sonnet (</w:t>
      </w:r>
      <w:r>
        <w:rPr>
          <w:rStyle w:val="VerbatimChar"/>
        </w:rPr>
        <w:t xml:space="preserve">none</w:t>
      </w:r>
      <w:r>
        <w:t xml:space="preserve"> </w:t>
      </w:r>
      <m:oMath>
        <m:r>
          <m:rPr>
            <m:sty m:val="p"/>
          </m:rPr>
          <m:t>=</m:t>
        </m:r>
        <m:r>
          <m:t>0</m:t>
        </m:r>
        <m:r>
          <m:rPr>
            <m:sty m:val="p"/>
          </m:rPr>
          <m:t>%</m:t>
        </m:r>
      </m:oMath>
      <w:r>
        <w:t xml:space="preserve">) but not for GPT-5.5 (</w:t>
      </w:r>
      <w:r>
        <w:rPr>
          <w:rStyle w:val="VerbatimChar"/>
        </w:rPr>
        <w:t xml:space="preserve">none</w:t>
      </w:r>
      <w:r>
        <w:t xml:space="preserve"> </w:t>
      </w:r>
      <m:oMath>
        <m:r>
          <m:rPr>
            <m:sty m:val="p"/>
          </m:rPr>
          <m:t>=</m:t>
        </m:r>
        <m:r>
          <m:t>75</m:t>
        </m:r>
        <m:r>
          <m:rPr>
            <m:sty m:val="p"/>
          </m:rPr>
          <m:t>%</m:t>
        </m:r>
      </m:oMath>
      <w:r>
        <w:t xml:space="preserve">), Kimi (</w:t>
      </w:r>
      <m:oMath>
        <m:r>
          <m:t>45</m:t>
        </m:r>
        <m:r>
          <m:rPr>
            <m:sty m:val="p"/>
          </m:rPr>
          <m:t>%</m:t>
        </m:r>
      </m:oMath>
      <w:r>
        <w:t xml:space="preserve">), or Opus</w:t>
      </w:r>
      <w:r>
        <w:t xml:space="preserve"> </w:t>
      </w:r>
      <w:r>
        <w:t xml:space="preserve">(</w:t>
      </w:r>
      <m:oMath>
        <m:r>
          <m:t>40</m:t>
        </m:r>
        <m:r>
          <m:rPr>
            <m:sty m:val="p"/>
          </m:rPr>
          <m:t>%</m:t>
        </m:r>
      </m:oMath>
      <w:r>
        <w:t xml:space="preserve">), where a non-zero baseline mechanically shrinks</w:t>
      </w:r>
      <w:r>
        <w:t xml:space="preserve"> </w:t>
      </w:r>
      <m:oMath>
        <m:sSub>
          <m:e>
            <m:r>
              <m:rPr>
                <m:sty m:val="p"/>
              </m:rPr>
              <m:t>Ψ</m:t>
            </m:r>
          </m:e>
          <m:sub>
            <m:r>
              <m:t>T</m:t>
            </m:r>
          </m:sub>
        </m:sSub>
      </m:oMath>
      <w:r>
        <w:t xml:space="preserve">’s verifiable magnitude. We state</w:t>
      </w:r>
      <w:r>
        <w:t xml:space="preserve"> </w:t>
      </w:r>
      <w:r>
        <w:t xml:space="preserve">this as a protocol up front (Remark 6): we verify anti-monotonicity only on cells whose</w:t>
      </w:r>
      <w:r>
        <w:t xml:space="preserve"> </w:t>
      </w:r>
      <w:r>
        <w:rPr>
          <w:rStyle w:val="VerbatimChar"/>
        </w:rPr>
        <w:t xml:space="preserve">none</w:t>
      </w:r>
      <w:r>
        <w:t xml:space="preserve"> </w:t>
      </w:r>
      <w:r>
        <w:t xml:space="preserve">baseline floors near zero. Table 6 reports, per model, which cell</w:t>
      </w:r>
      <w:r>
        <w:t xml:space="preserve"> </w:t>
      </w:r>
      <w:r>
        <w:t xml:space="preserve">carried the verification and its collapse, alongside the</w:t>
      </w:r>
      <w:r>
        <w:t xml:space="preserve"> </w:t>
      </w:r>
      <m:oMath>
        <m:sSub>
          <m:e>
            <m:r>
              <m:t>W</m:t>
            </m:r>
          </m:e>
          <m:sub>
            <m:r>
              <m:t>1</m:t>
            </m:r>
          </m:sub>
        </m:sSub>
      </m:oMath>
      <w:r>
        <w:t xml:space="preserve"> </w:t>
      </w:r>
      <w:r>
        <w:t xml:space="preserve">ceiling: DeepSeek’s</w:t>
      </w:r>
      <w:r>
        <w:t xml:space="preserve"> </w:t>
      </w:r>
      <m:oMath>
        <m:sSub>
          <m:e>
            <m:r>
              <m:t>W</m:t>
            </m:r>
          </m:e>
          <m:sub>
            <m:r>
              <m:t>1</m:t>
            </m:r>
          </m:sub>
        </m:sSub>
      </m:oMath>
      <w:r>
        <w:t xml:space="preserve"> </w:t>
      </w:r>
      <w:r>
        <w:t xml:space="preserve">reaches only</w:t>
      </w:r>
      <w:r>
        <w:t xml:space="preserve"> </w:t>
      </w:r>
      <m:oMath>
        <m:r>
          <m:t>75</m:t>
        </m:r>
        <m:r>
          <m:rPr>
            <m:sty m:val="p"/>
          </m:rPr>
          <m:t>%</m:t>
        </m:r>
      </m:oMath>
      <w:r>
        <w:t xml:space="preserve"> </w:t>
      </w:r>
      <w:r>
        <w:t xml:space="preserve">on</w:t>
      </w:r>
      <w:r>
        <w:t xml:space="preserve"> </w:t>
      </w:r>
      <w:r>
        <w:rPr>
          <w:rStyle w:val="VerbatimChar"/>
        </w:rPr>
        <w:t xml:space="preserve">api_post_ok</w:t>
      </w:r>
      <w:r>
        <w:t xml:space="preserve"> </w:t>
      </w:r>
      <w:r>
        <w:t xml:space="preserve">(an honest capability difference), so its</w:t>
      </w:r>
      <w:r>
        <w:t xml:space="preserve"> </w:t>
      </w:r>
      <m:oMath>
        <m:sSub>
          <m:e>
            <m:r>
              <m:rPr>
                <m:sty m:val="p"/>
              </m:rPr>
              <m:t>Ψ</m:t>
            </m:r>
          </m:e>
          <m:sub>
            <m:r>
              <m:t>T</m:t>
            </m:r>
          </m:sub>
        </m:sSub>
        <m:r>
          <m:rPr>
            <m:sty m:val="p"/>
          </m:rPr>
          <m:t>=</m:t>
        </m:r>
        <m:r>
          <m:rPr>
            <m:sty m:val="p"/>
          </m:rPr>
          <m:t>−</m:t>
        </m:r>
        <m:r>
          <m:t>0.75</m:t>
        </m:r>
      </m:oMath>
      <w:r>
        <w:t xml:space="preserve"> </w:t>
      </w:r>
      <w:r>
        <w:t xml:space="preserve">starts</w:t>
      </w:r>
      <w:r>
        <w:t xml:space="preserve"> </w:t>
      </w:r>
      <w:r>
        <w:t xml:space="preserve">from a lower point and is not directly magnitude-comparable to Sonnet’s</w:t>
      </w:r>
      <w:r>
        <w:t xml:space="preserve"> </w:t>
      </w:r>
      <m:oMath>
        <m:r>
          <m:t>100</m:t>
        </m:r>
        <m:r>
          <m:rPr>
            <m:sty m:val="p"/>
          </m:rPr>
          <m:t>%</m:t>
        </m:r>
        <m:r>
          <m:rPr>
            <m:sty m:val="p"/>
          </m:rPr>
          <m:t>→</m:t>
        </m:r>
        <m:r>
          <m:t>2</m:t>
        </m:r>
        <m:r>
          <m:rPr>
            <m:sty m:val="p"/>
          </m:rPr>
          <m:t>%</m:t>
        </m:r>
      </m:oMath>
      <w:r>
        <w:t xml:space="preserve">.</w:t>
      </w:r>
    </w:p>
    <w:bookmarkEnd w:id="96"/>
    <w:bookmarkStart w:id="97" w:name="position-is-not-the-cause."/>
    <w:p>
      <w:pPr>
        <w:pStyle w:val="Heading4"/>
      </w:pPr>
      <w:r>
        <w:t xml:space="preserve">Position is not the cause.</w:t>
      </w:r>
    </w:p>
    <w:p>
      <w:pPr>
        <w:pStyle w:val="FirstParagraph"/>
      </w:pPr>
      <w:r>
        <w:t xml:space="preserve">The collapse is not a lost-in-the-middle or recency artifact. The length-matched padding control</w:t>
      </w:r>
      <w:r>
        <w:t xml:space="preserve"> </w:t>
      </w:r>
      <w:r>
        <w:t xml:space="preserve">(Appendix B)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holding position fixed and changing only the content is</w:t>
      </w:r>
      <w:r>
        <w:t xml:space="preserve"> </w:t>
      </w:r>
      <w:r>
        <w:t xml:space="preserve">what turns a harmless arm into a harmful one, so the cause is the added signal, not where it sits.</w:t>
      </w:r>
    </w:p>
    <w:bookmarkEnd w:id="97"/>
    <w:bookmarkStart w:id="98" w:name="X086de5874ce71cba9e6d9633bd38de7f701e1cb"/>
    <w:p>
      <w:pPr>
        <w:pStyle w:val="Heading4"/>
      </w:pPr>
      <w:r>
        <w:t xml:space="preserve">Runtime fingerprint (a descriptive correlate).</w:t>
      </w:r>
    </w:p>
    <w:p>
      <w:pPr>
        <w:pStyle w:val="FirstParagraph"/>
      </w:pPr>
      <w:r>
        <w:t xml:space="preserve">The harmful</w:t>
      </w:r>
      <w:r>
        <w:t xml:space="preserve"> </w:t>
      </w:r>
      <m:oMath>
        <m:sSub>
          <m:e>
            <m:r>
              <m:t>W</m:t>
            </m:r>
          </m:e>
          <m:sub>
            <m:r>
              <m:t>1</m:t>
            </m:r>
            <m:r>
              <m:rPr>
                <m:sty m:val="p"/>
              </m:rPr>
              <m:t>+</m:t>
            </m:r>
          </m:sub>
        </m:sSub>
      </m:oMath>
      <w:r>
        <w:t xml:space="preserve"> </w:t>
      </w:r>
      <w:r>
        <w:t xml:space="preserve">arm consistently emits more output tokens than</w:t>
      </w:r>
      <w:r>
        <w:t xml:space="preserve"> </w:t>
      </w:r>
      <m:oMath>
        <m:sSub>
          <m:e>
            <m:r>
              <m:t>W</m:t>
            </m:r>
          </m:e>
          <m:sub>
            <m:r>
              <m:t>1</m:t>
            </m:r>
          </m:sub>
        </m:sSub>
      </m:oMath>
      <w:r>
        <w:t xml:space="preserve"> </w:t>
      </w:r>
      <w:r>
        <w:t xml:space="preserve">across models. We report</w:t>
      </w:r>
      <w:r>
        <w:t xml:space="preserve"> </w:t>
      </w:r>
      <w:r>
        <w:t xml:space="preserve">this as a reproducible correlate of the harmful arm, not a mechanism: more output on the failing arm</w:t>
      </w:r>
      <w:r>
        <w:t xml:space="preserve"> </w:t>
      </w:r>
      <w:r>
        <w:t xml:space="preserve">could be effect rather than cause.</w:t>
      </w:r>
    </w:p>
    <w:bookmarkEnd w:id="98"/>
    <w:bookmarkStart w:id="99"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w:t>
      </w:r>
    </w:p>
    <w:bookmarkEnd w:id="99"/>
    <w:bookmarkEnd w:id="100"/>
    <w:bookmarkStart w:id="103"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3; Figure 3). So the value of the private context, the</w:t>
      </w:r>
      <w:r>
        <w:t xml:space="preserve"> </w:t>
      </w:r>
      <w:r>
        <w:t xml:space="preserve">model-relative quantity</w:t>
      </w:r>
      <w:r>
        <w:t xml:space="preserve"> </w:t>
      </w:r>
      <m:oMath>
        <m:r>
          <m:t>I</m:t>
        </m:r>
        <m:r>
          <m:rPr>
            <m:sty m:val="p"/>
          </m:rPr>
          <m:t>(</m:t>
        </m:r>
        <m:r>
          <m:t>S</m:t>
        </m:r>
        <m:r>
          <m:rPr>
            <m:sty m:val="p"/>
          </m:rPr>
          <m:t>;</m:t>
        </m:r>
        <m:r>
          <m:t>W</m:t>
        </m:r>
        <m:r>
          <m:rPr>
            <m:sty m:val="p"/>
          </m:rPr>
          <m:t>∣</m:t>
        </m:r>
        <m:r>
          <m:t>θ</m:t>
        </m:r>
        <m:r>
          <m:rPr>
            <m:sty m:val="p"/>
          </m:rPr>
          <m:t>)</m:t>
        </m:r>
      </m:oMath>
      <w:r>
        <w:t xml:space="preserve"> </w:t>
      </w:r>
      <w:r>
        <w:t xml:space="preserve">of §3.3, varies continuously across</w:t>
      </w:r>
      <w:r>
        <w:t xml:space="preserve"> </w:t>
      </w:r>
      <w:r>
        <w:t xml:space="preserve">models, and it tracks a vendor’s training rather than raw capability: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Start w:id="101" w:name="fig:spectrum"/>
    <w:tbl>
      <w:tblPr>
        <w:tblStyle w:val="FigureTable"/>
        <w:tblW w:type="auto" w:w="0"/>
        <w:jc w:val="center"/>
        <w:tblLook w:firstRow="0" w:lastRow="0" w:firstColumn="0" w:lastColumn="0"/>
      </w:tblPr>
      <w:tblGrid/>
    </w:tbl>
    <w:p>
      <w:pPr>
        <w:pStyle w:val="ImageCaption"/>
      </w:pPr>
      <w:r>
        <w:t xml:space="preserve">The model-relative value of private context as a spectrum: how often each model reproduces</w:t>
      </w:r>
      <w:r>
        <w:t xml:space="preserve"> </w:t>
      </w:r>
      <w:r>
        <w:t xml:space="preserve">the private convention with</w:t>
      </w:r>
      <w:r>
        <w:t xml:space="preserve"> </w:t>
      </w:r>
      <w:r>
        <w:rPr>
          <w:i/>
          <w:iCs/>
        </w:rPr>
        <w:t xml:space="preserve">no</w:t>
      </w:r>
      <w:r>
        <w:t xml:space="preserve"> </w:t>
      </w:r>
      <w:r>
        <w:t xml:space="preserve">context supplied (</w:t>
      </w:r>
      <w:r>
        <w:rPr>
          <w:rStyle w:val="VerbatimChar"/>
        </w:rPr>
        <w:t xml:space="preserve">none</w:t>
      </w:r>
      <w:r>
        <w:t xml:space="preserve"> </w:t>
      </w:r>
      <w:r>
        <w:t xml:space="preserve">arm,</w:t>
      </w:r>
      <w:r>
        <w:t xml:space="preserve"> </w:t>
      </w:r>
      <w:r>
        <w:rPr>
          <w:rStyle w:val="VerbatimChar"/>
        </w:rPr>
        <w:t xml:space="preserve">api_argorder</w:t>
      </w:r>
      <w:r>
        <w:t xml:space="preserve">).</w:t>
      </w:r>
      <w:r>
        <w:t xml:space="preserve"> </w:t>
      </w:r>
      <w:r>
        <w:t xml:space="preserve">The value of the same fixed source</w:t>
      </w:r>
      <w:r>
        <w:t xml:space="preserve"> </w:t>
      </w:r>
      <m:oMath>
        <m:sSub>
          <m:e>
            <m:r>
              <m:t>W</m:t>
            </m:r>
          </m:e>
          <m:sub>
            <m:r>
              <m:t>1</m:t>
            </m:r>
          </m:sub>
        </m:sSub>
      </m:oMath>
      <w:r>
        <w:t xml:space="preserve"> </w:t>
      </w:r>
      <w:r>
        <w:t xml:space="preserve">ranges from maximal (Sonnet, Haiku, DeepSeek: essentially</w:t>
      </w:r>
      <w:r>
        <w:t xml:space="preserve"> </w:t>
      </w:r>
      <w:r>
        <w:t xml:space="preserve">unguessable) to largely pre-priced-in (GPT-5.5:</w:t>
      </w:r>
      <w:r>
        <w:t xml:space="preserve"> </w:t>
      </w:r>
      <m:oMath>
        <m:r>
          <m:t>75</m:t>
        </m:r>
        <m:r>
          <m:rPr>
            <m:sty m:val="p"/>
          </m:rPr>
          <m:t>%</m:t>
        </m:r>
      </m:oMath>
      <w:r>
        <w:t xml:space="preserve"> </w:t>
      </w:r>
      <w:r>
        <w:t xml:space="preserve">guessed), and the ordering tracks vendor</w:t>
      </w:r>
      <w:r>
        <w:t xml:space="preserve"> </w:t>
      </w:r>
      <w:r>
        <w:t xml:space="preserve">training rather than capability, DeepSeek sits with the smaller Claude models despite being a</w:t>
      </w:r>
      <w:r>
        <w:t xml:space="preserve"> </w:t>
      </w:r>
      <w:r>
        <w:t xml:space="preserve">different vendor, and Opus (the strongest Anthropic model) guesses more than Sonnet.</w:t>
      </w:r>
    </w:p>
    <w:bookmarkEnd w:id="101"/>
    <w:bookmarkStart w:id="102" w:name="auditable-per-cell-record."/>
    <w:p>
      <w:pPr>
        <w:pStyle w:val="Heading4"/>
      </w:pPr>
      <w:r>
        <w:t xml:space="preserve">Auditable per-cell record.</w:t>
      </w:r>
    </w:p>
    <w:p>
      <w:pPr>
        <w:pStyle w:val="FirstParagraph"/>
      </w:pPr>
      <w:r>
        <w:t xml:space="preserve">The full per-arm PASS record for every carrying cell is Table 8 in Appendix B, so each verification can be reconstructed from the reported counts.</w:t>
      </w:r>
    </w:p>
    <w:bookmarkEnd w:id="102"/>
    <w:bookmarkEnd w:id="103"/>
    <w:bookmarkEnd w:id="104"/>
    <w:bookmarkStart w:id="106"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one-directional dominance fully verified at</w:t>
      </w:r>
      <w:r>
        <w:t xml:space="preserve"> </w:t>
      </w:r>
      <m:oMath>
        <m:r>
          <m:t>n</m:t>
        </m:r>
        <m:r>
          <m:rPr>
            <m:sty m:val="p"/>
          </m:rPr>
          <m:t>=</m:t>
        </m:r>
        <m:r>
          <m:t>80</m:t>
        </m:r>
      </m:oMath>
      <w:r>
        <w:t xml:space="preserve">;</w:t>
      </w:r>
      <w:r>
        <w:t xml:space="preserve"> </w:t>
      </w:r>
      <w:r>
        <w:t xml:space="preserve">its interference is verified in sign (</w:t>
      </w:r>
      <m:oMath>
        <m:sSub>
          <m:e>
            <m:r>
              <m:rPr>
                <m:sty m:val="p"/>
              </m:rPr>
              <m:t>Ψ</m:t>
            </m:r>
          </m:e>
          <m:sub>
            <m:r>
              <m:t>T</m:t>
            </m:r>
          </m:sub>
        </m:sSub>
        <m:r>
          <m:rPr>
            <m:sty m:val="p"/>
          </m:rPr>
          <m:t>&lt;</m:t>
        </m:r>
        <m:r>
          <m:t>0</m:t>
        </m:r>
      </m:oMath>
      <w:r>
        <w:t xml:space="preserve">, upper bound</w:t>
      </w:r>
      <w:r>
        <w:t xml:space="preserve"> </w:t>
      </w:r>
      <m:oMath>
        <m:r>
          <m:rPr>
            <m:sty m:val="p"/>
          </m:rPr>
          <m:t>−</m:t>
        </m:r>
        <m:r>
          <m:t>0.21</m:t>
        </m:r>
      </m:oMath>
      <w:r>
        <w:t xml:space="preserve">) but not at the</w:t>
      </w:r>
      <w:r>
        <w:t xml:space="preserve"> </w:t>
      </w:r>
      <m:oMath>
        <m:r>
          <m:t>τ</m:t>
        </m:r>
        <m:r>
          <m:rPr>
            <m:sty m:val="p"/>
          </m:rPr>
          <m:t>=</m:t>
        </m:r>
        <m:r>
          <m:t>0.30</m:t>
        </m:r>
      </m:oMath>
      <w:r>
        <w:t xml:space="preserve"> </w:t>
      </w:r>
      <w:r>
        <w:t xml:space="preserve">margin, because the</w:t>
      </w:r>
      <w:r>
        <w:t xml:space="preserve"> </w:t>
      </w:r>
      <m:oMath>
        <m:r>
          <m:t>80</m:t>
        </m:r>
        <m:r>
          <m:rPr>
            <m:sty m:val="p"/>
          </m:rPr>
          <m:t>%</m:t>
        </m:r>
      </m:oMath>
      <w:r>
        <w:t xml:space="preserve"> </w:t>
      </w:r>
      <m:oMath>
        <m:sSub>
          <m:e>
            <m:r>
              <m:t>V</m:t>
            </m:r>
          </m:e>
          <m:sub>
            <m:r>
              <m:t>1</m:t>
            </m:r>
          </m:sub>
        </m:sSub>
      </m:oMath>
      <w:r>
        <w:t xml:space="preserve"> </w:t>
      </w:r>
      <w:r>
        <w:t xml:space="preserve">ceiling keeps the four-term bound wide.</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interference verified, upper</w:t>
      </w:r>
      <w:r>
        <w:t xml:space="preserve"> </w:t>
      </w:r>
      <m:oMath>
        <m:r>
          <m:rPr>
            <m:sty m:val="p"/>
          </m:rPr>
          <m:t>−</m:t>
        </m:r>
        <m:r>
          <m:t>0.41</m:t>
        </m:r>
      </m:oMath>
      <w:r>
        <w:t xml:space="preserve">), attributing the collapse to the</w:t>
      </w:r>
      <w:r>
        <w:t xml:space="preserve"> </w:t>
      </w:r>
      <w:r>
        <w:t xml:space="preserve">added signal, not token count.</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Start w:id="105" w:name="sec:results-audit"/>
    <w:p>
      <w:pPr>
        <w:pStyle w:val="Heading3"/>
      </w:pPr>
      <w:r>
        <w:t xml:space="preserve">Raw-failure audit: what Haiku’s</w:t>
      </w:r>
      <w:r>
        <w:t xml:space="preserve"> </w:t>
      </w:r>
      <w:r>
        <w:rPr>
          <w:rStyle w:val="VerbatimChar"/>
        </w:rPr>
        <w:t xml:space="preserve">api_post_ok</w:t>
      </w:r>
      <w:r>
        <w:t xml:space="preserve"> </w:t>
      </w:r>
      <w:r>
        <w:t xml:space="preserve">cell measures</w:t>
      </w:r>
    </w:p>
    <w:p>
      <w:pPr>
        <w:pStyle w:val="FirstParagraph"/>
      </w:pPr>
      <w:r>
        <w:t xml:space="preserve">One cell in Table 8 is anomalous: Haiku’s</w:t>
      </w:r>
      <w:r>
        <w:t xml:space="preserve"> </w:t>
      </w:r>
      <m:oMath>
        <m:sSub>
          <m:e>
            <m:r>
              <m:t>W</m:t>
            </m:r>
          </m:e>
          <m:sub>
            <m:r>
              <m:t>1</m:t>
            </m:r>
          </m:sub>
        </m:sSub>
      </m:oMath>
      <w:r>
        <w:t xml:space="preserve"> </w:t>
      </w:r>
      <w:r>
        <w:t xml:space="preserve">arm scores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while scoring</w:t>
      </w:r>
      <w:r>
        <w:t xml:space="preserve"> </w:t>
      </w:r>
      <m:oMath>
        <m:r>
          <m:t>100</m:t>
        </m:r>
        <m:r>
          <m:rPr>
            <m:sty m:val="p"/>
          </m:rPr>
          <m:t>%</m:t>
        </m:r>
      </m:oMath>
      <w:r>
        <w:t xml:space="preserve"> </w:t>
      </w:r>
      <w:r>
        <w:t xml:space="preserve">on the harder</w:t>
      </w:r>
      <w:r>
        <w:t xml:space="preserve"> </w:t>
      </w:r>
      <w:r>
        <w:rPr>
          <w:rStyle w:val="VerbatimChar"/>
        </w:rPr>
        <w:t xml:space="preserve">api_argorder</w:t>
      </w:r>
      <w:r>
        <w:t xml:space="preserve"> </w:t>
      </w:r>
      <w:r>
        <w:t xml:space="preserve">under the same</w:t>
      </w:r>
      <w:r>
        <w:t xml:space="preserve"> </w:t>
      </w:r>
      <w:r>
        <w:t xml:space="preserve">source, and the pattern is stable across five independent Haiku runs (</w:t>
      </w:r>
      <m:oMath>
        <m:r>
          <m:t>45</m:t>
        </m:r>
      </m:oMath>
      <w:r>
        <w:t xml:space="preserve">–</w:t>
      </w:r>
      <m:oMath>
        <m:r>
          <m:t>57</m:t>
        </m:r>
        <m:r>
          <m:rPr>
            <m:sty m:val="p"/>
          </m:rPr>
          <m:t>%</m:t>
        </m:r>
      </m:oMath>
      <w:r>
        <w:t xml:space="preserve">). Because the</w:t>
      </w:r>
      <w:r>
        <w:t xml:space="preserve"> </w:t>
      </w:r>
      <w:r>
        <w:t xml:space="preserve">published harness does not retain raw completions, we re-drew the cell keeping every reply, the</w:t>
      </w:r>
      <w:r>
        <w:t xml:space="preserve"> </w:t>
      </w:r>
      <w:r>
        <w:t xml:space="preserve">extracted code, and the verifier’s stderr (</w:t>
      </w:r>
      <w:r>
        <w:rPr>
          <w:rStyle w:val="VerbatimChar"/>
        </w:rPr>
        <w:t xml:space="preserve">results/diag/</w:t>
      </w:r>
      <w:r>
        <w:t xml:space="preserve">,</w:t>
      </w:r>
      <w:r>
        <w:t xml:space="preserve"> </w:t>
      </w:r>
      <w:r>
        <w:rPr>
          <w:rStyle w:val="VerbatimChar"/>
        </w:rPr>
        <w:t xml:space="preserve">harness/diag/</w:t>
      </w:r>
      <w:r>
        <w:t xml:space="preserve">). The</w:t>
      </w:r>
      <w:r>
        <w:t xml:space="preserve"> </w:t>
      </w:r>
      <w:r>
        <w:t xml:space="preserve">failures are uniform. In</w:t>
      </w:r>
      <w:r>
        <w:t xml:space="preserve"> </w:t>
      </w:r>
      <m:oMath>
        <m:r>
          <m:t>12</m:t>
        </m:r>
        <m:r>
          <m:rPr>
            <m:sty m:val="p"/>
          </m:rPr>
          <m:t>/</m:t>
        </m:r>
        <m:r>
          <m:t>12</m:t>
        </m:r>
      </m:oMath>
      <w:r>
        <w:t xml:space="preserve"> </w:t>
      </w:r>
      <w:r>
        <w:t xml:space="preserve">draws the reply calls the private contract exactly as</w:t>
      </w:r>
      <w:r>
        <w:t xml:space="preserve"> </w:t>
      </w:r>
      <m:oMath>
        <m:sSub>
          <m:e>
            <m:r>
              <m:t>W</m:t>
            </m:r>
          </m:e>
          <m:sub>
            <m:r>
              <m:t>1</m:t>
            </m:r>
          </m:sub>
        </m:sSub>
      </m:oMath>
      <w:r>
        <w:t xml:space="preserve"> </w:t>
      </w:r>
      <w:r>
        <w:t xml:space="preserve">specifies,</w:t>
      </w:r>
      <w:r>
        <w:t xml:space="preserve"> </w:t>
      </w:r>
      <w:r>
        <w:rPr>
          <w:rStyle w:val="VerbatimChar"/>
        </w:rPr>
        <w:t xml:space="preserve">ledger.post(acct, cents, memo=note)</w:t>
      </w:r>
      <w:r>
        <w:t xml:space="preserve">, and every failure is the single omitted line</w:t>
      </w:r>
      <w:r>
        <w:t xml:space="preserve"> </w:t>
      </w:r>
      <w:r>
        <w:rPr>
          <w:rStyle w:val="VerbatimChar"/>
        </w:rPr>
        <w:t xml:space="preserve">import ledger</w:t>
      </w:r>
      <w:r>
        <w:t xml:space="preserve">: PASS coincides with the presence of that line (</w:t>
      </w:r>
      <m:oMath>
        <m:r>
          <m:t>5</m:t>
        </m:r>
        <m:r>
          <m:rPr>
            <m:sty m:val="p"/>
          </m:rPr>
          <m:t>/</m:t>
        </m:r>
        <m:r>
          <m:t>5</m:t>
        </m:r>
      </m:oMath>
      <w:r>
        <w:t xml:space="preserve"> </w:t>
      </w:r>
      <w:r>
        <w:t xml:space="preserve">against</w:t>
      </w:r>
      <w:r>
        <w:t xml:space="preserve"> </w:t>
      </w:r>
      <m:oMath>
        <m:r>
          <m:t>7</m:t>
        </m:r>
        <m:r>
          <m:rPr>
            <m:sty m:val="p"/>
          </m:rPr>
          <m:t>/</m:t>
        </m:r>
        <m:r>
          <m:t>7</m:t>
        </m:r>
      </m:oMath>
      <w:r>
        <w:t xml:space="preserve">), and on</w:t>
      </w:r>
      <w:r>
        <w:t xml:space="preserve"> </w:t>
      </w:r>
      <w:r>
        <w:t xml:space="preserve">the control cell</w:t>
      </w:r>
      <w:r>
        <w:t xml:space="preserve"> </w:t>
      </w:r>
      <w:r>
        <w:rPr>
          <w:rStyle w:val="VerbatimChar"/>
        </w:rPr>
        <w:t xml:space="preserve">api_argorder</w:t>
      </w:r>
      <w:r>
        <w:t xml:space="preserve"> </w:t>
      </w:r>
      <w:r>
        <w:t xml:space="preserve">the same model writes the import in</w:t>
      </w:r>
      <w:r>
        <w:t xml:space="preserve"> </w:t>
      </w:r>
      <m:oMath>
        <m:r>
          <m:t>8</m:t>
        </m:r>
        <m:r>
          <m:rPr>
            <m:sty m:val="p"/>
          </m:rPr>
          <m:t>/</m:t>
        </m:r>
        <m:r>
          <m:t>8</m:t>
        </m:r>
      </m:oMath>
      <w:r>
        <w:t xml:space="preserve">. The cause is prompt</w:t>
      </w:r>
      <w:r>
        <w:t xml:space="preserve"> </w:t>
      </w:r>
      <w:r>
        <w:t xml:space="preserve">wording, not the contract: this task’s prompt names the call as</w:t>
      </w:r>
      <w:r>
        <w:t xml:space="preserve"> </w:t>
      </w:r>
      <w:r>
        <w:rPr>
          <w:rStyle w:val="VerbatimChar"/>
        </w:rPr>
        <w:t xml:space="preserve">ledger.post</w:t>
      </w:r>
      <w:r>
        <w:t xml:space="preserve">, which Haiku</w:t>
      </w:r>
      <w:r>
        <w:t xml:space="preserve"> </w:t>
      </w:r>
      <w:r>
        <w:t xml:space="preserve">reads as already in scope. An import-neutralized control then re-measures all four arms at</w:t>
      </w:r>
      <w:r>
        <w:t xml:space="preserve"> </w:t>
      </w:r>
      <m:oMath>
        <m:r>
          <m:t>n</m:t>
        </m:r>
        <m:r>
          <m:rPr>
            <m:sty m:val="p"/>
          </m:rPr>
          <m:t>=</m:t>
        </m:r>
        <m:r>
          <m:t>40</m:t>
        </m:r>
      </m:oMath>
      <w:r>
        <w:t xml:space="preserve"> </w:t>
      </w:r>
      <w:r>
        <w:t xml:space="preserve">with a verifier that binds</w:t>
      </w:r>
      <w:r>
        <w:t xml:space="preserve"> </w:t>
      </w:r>
      <w:r>
        <w:rPr>
          <w:rStyle w:val="VerbatimChar"/>
        </w:rPr>
        <w:t xml:space="preserve">ledger</w:t>
      </w:r>
      <w:r>
        <w:t xml:space="preserve"> </w:t>
      </w:r>
      <w:r>
        <w:t xml:space="preserve">into the solution’s namespace when the reply omitted the</w:t>
      </w:r>
      <w:r>
        <w:t xml:space="preserve"> </w:t>
      </w:r>
      <w:r>
        <w:t xml:space="preserve">import and is otherwise identical:</w:t>
      </w:r>
      <w:r>
        <w:t xml:space="preserve"> </w:t>
      </w:r>
      <w:r>
        <w:rPr>
          <w:rStyle w:val="VerbatimChar"/>
        </w:rPr>
        <w:t xml:space="preserve">none</w:t>
      </w:r>
      <w:r>
        <w:t xml:space="preserve"> </w:t>
      </w:r>
      <m:oMath>
        <m:r>
          <m:t>0</m:t>
        </m:r>
        <m:r>
          <m:rPr>
            <m:sty m:val="p"/>
          </m:rPr>
          <m:t>/</m:t>
        </m:r>
        <m:r>
          <m:t>40</m:t>
        </m:r>
      </m:oMath>
      <w:r>
        <w:t xml:space="preserve"> </w:t>
      </w:r>
      <w:r>
        <w:t xml:space="preserve">and</w:t>
      </w:r>
      <w:r>
        <w:t xml:space="preserve"> </w:t>
      </w:r>
      <m:oMath>
        <m:sSub>
          <m:e>
            <m:r>
              <m:t>W</m:t>
            </m:r>
          </m:e>
          <m:sub>
            <m:r>
              <m:t>2</m:t>
            </m:r>
          </m:sub>
        </m:sSub>
      </m:oMath>
      <w:r>
        <w:t xml:space="preserve"> </w:t>
      </w:r>
      <m:oMath>
        <m:r>
          <m:t>0</m:t>
        </m:r>
        <m:r>
          <m:rPr>
            <m:sty m:val="p"/>
          </m:rPr>
          <m:t>/</m:t>
        </m:r>
        <m:r>
          <m:t>40</m:t>
        </m:r>
      </m:oMath>
      <w:r>
        <w:t xml:space="preserve"> </w:t>
      </w:r>
      <w:r>
        <w:t xml:space="preserve">under both verifiers</w:t>
      </w:r>
      <w:r>
        <w:t xml:space="preserve"> </w:t>
      </w:r>
      <w:r>
        <w:t xml:space="preserve">(neutralization leaks nothing),</w:t>
      </w:r>
      <w:r>
        <w:t xml:space="preserve"> </w:t>
      </w:r>
      <m:oMath>
        <m:sSub>
          <m:e>
            <m:r>
              <m:t>W</m:t>
            </m:r>
          </m:e>
          <m:sub>
            <m:r>
              <m:t>1</m:t>
            </m:r>
          </m:sub>
        </m:sSub>
      </m:oMath>
      <w:r>
        <w:t xml:space="preserve"> </w:t>
      </w:r>
      <w:r>
        <w:t xml:space="preserve">rises from</w:t>
      </w:r>
      <w:r>
        <w:t xml:space="preserve"> </w:t>
      </w:r>
      <m:oMath>
        <m:r>
          <m:t>23</m:t>
        </m:r>
        <m:r>
          <m:rPr>
            <m:sty m:val="p"/>
          </m:rPr>
          <m:t>/</m:t>
        </m:r>
        <m:r>
          <m:t>40</m:t>
        </m:r>
      </m:oMath>
      <w:r>
        <w:t xml:space="preserve"> </w:t>
      </w:r>
      <w:r>
        <w:t xml:space="preserve">to</w:t>
      </w:r>
      <w:r>
        <w:t xml:space="preserve"> </w:t>
      </w:r>
      <m:oMath>
        <m:r>
          <m:t>40</m:t>
        </m:r>
        <m:r>
          <m:rPr>
            <m:sty m:val="p"/>
          </m:rPr>
          <m:t>/</m:t>
        </m:r>
        <m:r>
          <m:t>40</m:t>
        </m:r>
      </m:oMath>
      <w:r>
        <w:t xml:space="preserve">, and</w:t>
      </w:r>
      <w:r>
        <w:t xml:space="preserve"> </w:t>
      </w:r>
      <m:oMath>
        <m:sSub>
          <m:e>
            <m:r>
              <m:t>W</m:t>
            </m:r>
          </m:e>
          <m:sub>
            <m:r>
              <m:t>1</m:t>
            </m:r>
            <m:r>
              <m:rPr>
                <m:sty m:val="p"/>
              </m:rPr>
              <m:t>+</m:t>
            </m:r>
          </m:sub>
        </m:sSub>
      </m:oMath>
      <w:r>
        <w:t xml:space="preserve"> </w:t>
      </w:r>
      <w:r>
        <w:t xml:space="preserve">from</w:t>
      </w:r>
      <w:r>
        <w:t xml:space="preserve"> </w:t>
      </w:r>
      <m:oMath>
        <m:r>
          <m:t>8</m:t>
        </m:r>
        <m:r>
          <m:rPr>
            <m:sty m:val="p"/>
          </m:rPr>
          <m:t>/</m:t>
        </m:r>
        <m:r>
          <m:t>40</m:t>
        </m:r>
      </m:oMath>
      <w:r>
        <w:t xml:space="preserve"> </w:t>
      </w:r>
      <w:r>
        <w:t xml:space="preserve">to</w:t>
      </w:r>
      <w:r>
        <w:t xml:space="preserve"> </w:t>
      </w:r>
      <m:oMath>
        <m:r>
          <m:t>21</m:t>
        </m:r>
        <m:r>
          <m:rPr>
            <m:sty m:val="p"/>
          </m:rPr>
          <m:t>/</m:t>
        </m:r>
        <m:r>
          <m:t>40</m:t>
        </m:r>
      </m:oMath>
      <w:r>
        <w:t xml:space="preserve">. The superset collapse on this cell is therefore real and has the mechanism the paper</w:t>
      </w:r>
      <w:r>
        <w:t xml:space="preserve"> </w:t>
      </w:r>
      <w:r>
        <w:t xml:space="preserve">describes: in the retained</w:t>
      </w:r>
      <w:r>
        <w:t xml:space="preserve"> </w:t>
      </w:r>
      <m:oMath>
        <m:sSub>
          <m:e>
            <m:r>
              <m:t>W</m:t>
            </m:r>
          </m:e>
          <m:sub>
            <m:r>
              <m:t>1</m:t>
            </m:r>
            <m:r>
              <m:rPr>
                <m:sty m:val="p"/>
              </m:rPr>
              <m:t>+</m:t>
            </m:r>
          </m:sub>
        </m:sSub>
      </m:oMath>
      <w:r>
        <w:t xml:space="preserve"> </w:t>
      </w:r>
      <w:r>
        <w:t xml:space="preserve">replies the model applies</w:t>
      </w:r>
      <w:r>
        <w:t xml:space="preserve"> </w:t>
      </w:r>
      <m:oMath>
        <m:sSub>
          <m:e>
            <m:r>
              <m:t>W</m:t>
            </m:r>
          </m:e>
          <m:sub>
            <m:r>
              <m:t>2</m:t>
            </m:r>
          </m:sub>
        </m:sSub>
      </m:oMath>
      <w:r>
        <w:t xml:space="preserve">’s wire encoding to a plain-cents</w:t>
      </w:r>
      <w:r>
        <w:t xml:space="preserve"> </w:t>
      </w:r>
      <w:r>
        <w:t xml:space="preserve">amount and posts</w:t>
      </w:r>
      <w:r>
        <w:t xml:space="preserve"> </w:t>
      </w:r>
      <w:r>
        <w:rPr>
          <w:rStyle w:val="VerbatimChar"/>
        </w:rPr>
        <w:t xml:space="preserve">’+500#5’</w:t>
      </w:r>
      <w:r>
        <w:t xml:space="preserve"> </w:t>
      </w:r>
      <w:r>
        <w:t xml:space="preserve">in place of</w:t>
      </w:r>
      <w:r>
        <w:t xml:space="preserve"> </w:t>
      </w:r>
      <w:r>
        <w:rPr>
          <w:rStyle w:val="VerbatimChar"/>
        </w:rPr>
        <w:t xml:space="preserve">500</w:t>
      </w:r>
      <w:r>
        <w:t xml:space="preserve">. With the import neutralized the</w:t>
      </w:r>
      <w:r>
        <w:t xml:space="preserve"> </w:t>
      </w:r>
      <w:r>
        <w:t xml:space="preserve">interference is</w:t>
      </w:r>
      <w:r>
        <w:t xml:space="preserve"> </w:t>
      </w:r>
      <m:oMath>
        <m:sSub>
          <m:e>
            <m:r>
              <m:rPr>
                <m:sty m:val="p"/>
              </m:rPr>
              <m:t>Ψ</m:t>
            </m:r>
          </m:e>
          <m:sub>
            <m:r>
              <m:t>T</m:t>
            </m:r>
          </m:sub>
        </m:sSub>
        <m:r>
          <m:rPr>
            <m:sty m:val="p"/>
          </m:rPr>
          <m:t>=</m:t>
        </m:r>
        <m:r>
          <m:rPr>
            <m:sty m:val="p"/>
          </m:rPr>
          <m:t>−</m:t>
        </m:r>
        <m:r>
          <m:t>0.48</m:t>
        </m:r>
      </m:oMath>
      <w:r>
        <w:t xml:space="preserve"> </w:t>
      </w:r>
      <w:r>
        <w:t xml:space="preserve">with upper bound</w:t>
      </w:r>
      <w:r>
        <w:t xml:space="preserve"> </w:t>
      </w:r>
      <m:oMath>
        <m:r>
          <m:rPr>
            <m:sty m:val="p"/>
          </m:rPr>
          <m:t>−</m:t>
        </m:r>
        <m:r>
          <m:t>0.09</m:t>
        </m:r>
      </m:oMath>
      <w:r>
        <w:t xml:space="preserve">, verified in sign but not at the</w:t>
      </w:r>
      <w:r>
        <w:t xml:space="preserve"> </w:t>
      </w:r>
      <m:oMath>
        <m:r>
          <m:t>τ</m:t>
        </m:r>
        <m:r>
          <m:rPr>
            <m:sty m:val="p"/>
          </m:rPr>
          <m:t>=</m:t>
        </m:r>
        <m:r>
          <m:t>0.30</m:t>
        </m:r>
      </m:oMath>
      <w:r>
        <w:t xml:space="preserve"> </w:t>
      </w:r>
      <w:r>
        <w:t xml:space="preserve">margin</w:t>
      </w:r>
      <w:r>
        <w:t xml:space="preserve"> </w:t>
      </w:r>
      <w:r>
        <w:t xml:space="preserve">(Table 6). We keep the original-protocol numbers in every table, since the</w:t>
      </w:r>
      <w:r>
        <w:t xml:space="preserve"> </w:t>
      </w:r>
      <w:r>
        <w:t xml:space="preserve">verifier is identical across models and the other five models include the import; the audit changes</w:t>
      </w:r>
      <w:r>
        <w:t xml:space="preserve"> </w:t>
      </w:r>
      <w:r>
        <w:t xml:space="preserve">the reading of one cell, not its measurement. Haiku’s verified claims rest on</w:t>
      </w:r>
      <w:r>
        <w:t xml:space="preserve"> </w:t>
      </w:r>
      <w:r>
        <w:rPr>
          <w:rStyle w:val="VerbatimChar"/>
        </w:rPr>
        <w:t xml:space="preserve">api_argorder</w:t>
      </w:r>
      <w:r>
        <w:t xml:space="preserve"> </w:t>
      </w:r>
      <w:r>
        <w:t xml:space="preserve">and are unaffected.</w:t>
      </w:r>
    </w:p>
    <w:bookmarkEnd w:id="105"/>
    <w:bookmarkEnd w:id="106"/>
    <w:bookmarkStart w:id="108" w:name="sec:results-policies"/>
    <w:p>
      <w:pPr>
        <w:pStyle w:val="Heading2"/>
      </w:pPr>
      <w:r>
        <w:t xml:space="preserve">The engineering consequence: four selection policies, one measured table</w:t>
      </w:r>
    </w:p>
    <w:p>
      <w:pPr>
        <w:pStyle w:val="FirstParagraph"/>
      </w:pPr>
      <w:r>
        <w:t xml:space="preserve">The formal results reduce to a comparison an engineer can act on. On the measured pair there are</w:t>
      </w:r>
      <w:r>
        <w:t xml:space="preserve"> </w:t>
      </w:r>
      <w:r>
        <w:t xml:space="preserve">four things a selection layer can do, and every one of them was measured (Table 8);</w:t>
      </w:r>
      <w:r>
        <w:t xml:space="preserve"> </w:t>
      </w:r>
      <w:r>
        <w:t xml:space="preserve">Table 7 scores them per model as mean PASS over the four verified cells.</w:t>
      </w:r>
      <w:r>
        <w:t xml:space="preserve"> </w:t>
      </w:r>
      <w:r>
        <w:rPr>
          <w:i/>
          <w:iCs/>
        </w:rPr>
        <w:t xml:space="preserve">Best fixed source</w:t>
      </w:r>
      <w:r>
        <w:t xml:space="preserve"> </w:t>
      </w:r>
      <w:r>
        <w:t xml:space="preserve">grants the entire query-independent-scalar class its best case: any such</w:t>
      </w:r>
      <w:r>
        <w:t xml:space="preserve"> </w:t>
      </w:r>
      <w:r>
        <w:t xml:space="preserve">scalar induces one total order, hence one top-1 reused for every task, and we let it pick the</w:t>
      </w:r>
      <w:r>
        <w:t xml:space="preserve"> </w:t>
      </w:r>
      <w:r>
        <w:t xml:space="preserve">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w:t>
      </w:r>
      <w:r>
        <w:t xml:space="preserve"> </w:t>
      </w:r>
      <w:r>
        <w:t xml:space="preserve">relevance, choosing</w:t>
      </w:r>
      <w:r>
        <w:t xml:space="preserve"> </w:t>
      </w:r>
      <m:oMath>
        <m:sSub>
          <m:e>
            <m:r>
              <m:t>W</m:t>
            </m:r>
          </m:e>
          <m:sub>
            <m:r>
              <m:t>1</m:t>
            </m:r>
          </m:sub>
        </m:sSub>
      </m:oMath>
      <w:r>
        <w:t xml:space="preserve"> </w:t>
      </w:r>
      <w:r>
        <w:t xml:space="preserve">on the API cells 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w:t>
      </w:r>
      <w:r>
        <w:t xml:space="preserve"> </w:t>
      </w:r>
      <w:r>
        <w:t xml:space="preserve">where every measured topical ranker puts the wrong source first</w:t>
      </w:r>
      <w:r>
        <w:t xml:space="preserve"> </w:t>
      </w:r>
      <w:r>
        <w:t xml:space="preserve">(§7.4.2).</w:t>
      </w:r>
      <w:r>
        <w:t xml:space="preserve"> </w:t>
      </w:r>
      <w:r>
        <w:rPr>
          <w:i/>
          <w:iCs/>
        </w:rPr>
        <w:t xml:space="preserve">Concatenate both</w:t>
      </w:r>
      <w:r>
        <w:t xml:space="preserve"> </w:t>
      </w:r>
      <w:r>
        <w:t xml:space="preserve">refuses to choose and submits</w:t>
      </w:r>
      <w:r>
        <w:t xml:space="preserve"> </w:t>
      </w:r>
      <m:oMath>
        <m:sSub>
          <m:e>
            <m:r>
              <m:t>W</m:t>
            </m:r>
          </m:e>
          <m:sub>
            <m:r>
              <m:t>1</m:t>
            </m:r>
            <m:r>
              <m:rPr>
                <m:sty m:val="p"/>
              </m:rPr>
              <m:t>+</m:t>
            </m:r>
          </m:sub>
        </m:sSub>
      </m:oMath>
      <w:r>
        <w:t xml:space="preserve">.</w:t>
      </w:r>
      <w:r>
        <w:t xml:space="preserve"> </w:t>
      </w:r>
      <w:r>
        <w:rPr>
          <w:i/>
          <w:iCs/>
        </w:rPr>
        <w:t xml:space="preserve">Front</w:t>
      </w:r>
      <w:r>
        <w:rPr>
          <w:i/>
          <w:iCs/>
        </w:rPr>
        <w:t xml:space="preserve"> </w:t>
      </w:r>
      <m:oMath>
        <m:r>
          <m:rPr>
            <m:sty m:val="p"/>
          </m:rPr>
          <m:t>+</m:t>
        </m:r>
      </m:oMath>
      <w:r>
        <w:rPr>
          <w:i/>
          <w:iCs/>
        </w:rPr>
        <w:t xml:space="preserve"> </w:t>
      </w:r>
      <w:r>
        <w:rPr>
          <w:i/>
          <w:iCs/>
        </w:rPr>
        <w:t xml:space="preserve">routing</w:t>
      </w:r>
      <w:r>
        <w:t xml:space="preserve"> </w:t>
      </w:r>
      <w:r>
        <w:t xml:space="preserve">keeps the verified non-dominated set</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and routes by task</w:t>
      </w:r>
      <w:r>
        <w:t xml:space="preserve"> </w:t>
      </w:r>
      <w:r>
        <w:t xml:space="preserve">family, attaining the per-cell maximum of the two sources; this is what the partial order licenses,</w:t>
      </w:r>
      <w:r>
        <w:t xml:space="preserve"> </w:t>
      </w:r>
      <w:r>
        <w:t xml:space="preserve">and its price is exactly one probe’s worth of knowledge, namely which source is decisive for which</w:t>
      </w:r>
      <w:r>
        <w:t xml:space="preserve"> </w:t>
      </w:r>
      <w:r>
        <w:t xml:space="preserve">family.</w:t>
      </w:r>
    </w:p>
    <w:bookmarkStart w:id="107" w:name="tab:policies"/>
    <w:p>
      <w:pPr>
        <w:pStyle w:val="TableCaption"/>
      </w:pPr>
      <w:r>
        <w:t xml:space="preserve">Mean PASS (%) over the four verified cells under four selection policies, per model,</w:t>
      </w:r>
      <w:r>
        <w:t xml:space="preserve"> </w:t>
      </w:r>
      <w:r>
        <w:t xml:space="preserve">computed from the measured per-cell rates of Table 8. The front-and-routing column</w:t>
      </w:r>
      <w:r>
        <w:t xml:space="preserve"> </w:t>
      </w:r>
      <w:r>
        <w:t xml:space="preserve">is the per-cell maximum 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and is therefore the ceiling of</w:t>
      </w:r>
      <w:r>
        <w:t xml:space="preserve"> </w:t>
      </w:r>
      <w:r>
        <w:rPr>
          <w:i/>
          <w:iCs/>
        </w:rPr>
        <w:t xml:space="preserve">any</w:t>
      </w:r>
      <w:r>
        <w:t xml:space="preserve"> </w:t>
      </w:r>
      <w:r>
        <w:t xml:space="preserve">selection</w:t>
      </w:r>
      <w:r>
        <w:t xml:space="preserve"> </w:t>
      </w:r>
      <w:r>
        <w:t xml:space="preserve">policy on these cells; its remaining gap to</w:t>
      </w:r>
      <w:r>
        <w:t xml:space="preserve"> </w:t>
      </w:r>
      <m:oMath>
        <m:r>
          <m:t>100</m:t>
        </m:r>
        <m:r>
          <m:rPr>
            <m:sty m:val="p"/>
          </m:rPr>
          <m:t>%</m:t>
        </m:r>
      </m:oMath>
      <w:r>
        <w:t xml:space="preserve"> </w:t>
      </w:r>
      <w:r>
        <w:t xml:space="preserve">is model capability, not selection error.</w:t>
      </w:r>
    </w:p>
    <w:tbl>
      <w:tblPr>
        <w:tblStyle w:val="Table"/>
        <w:tblW w:type="auto" w:w="0"/>
        <w:tblLook w:firstRow="1" w:lastRow="0" w:firstColumn="0" w:lastColumn="0" w:noHBand="0" w:noVBand="0" w:val="0020"/>
        <w:tblCaption w:val="Mean PASS (%) over the four verified cells under four selection policies, per model, computed from the measured per-cell rates of Table 8. The front-and-routing column is the per-cell maximum of W_1 and W_2 and is therefore the ceiling of any selection policy on these cells; its remaining gap to 100\% is model capability, not selection error."/>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Front</w:t>
            </w:r>
            <w:r>
              <w:t xml:space="preserve"> </w:t>
            </w:r>
            <m:oMath>
              <m:r>
                <m:rPr>
                  <m:sty m:val="p"/>
                </m:rPr>
                <m:t>+</m:t>
              </m:r>
            </m:oMath>
            <w:r>
              <w:t xml:space="preserve"> </w:t>
            </w:r>
            <w:r>
              <w:t xml:space="preserve">routing</w:t>
            </w:r>
          </w:p>
        </w:tc>
      </w:tr>
      <w:tr>
        <w:tc>
          <w:tcPr/>
          <w:p>
            <w:pPr>
              <w:pStyle w:val="Compact"/>
              <w:jc w:val="left"/>
            </w:pPr>
            <w:r>
              <w:t xml:space="preserve">Haiku-4.5</w:t>
            </w:r>
          </w:p>
        </w:tc>
        <w:tc>
          <w:tcPr/>
          <w:p>
            <w:pPr>
              <w:pStyle w:val="Compact"/>
              <w:jc w:val="center"/>
            </w:pPr>
            <w:r>
              <w:t xml:space="preserve">60.5</w:t>
            </w:r>
          </w:p>
        </w:tc>
        <w:tc>
          <w:tcPr/>
          <w:p>
            <w:pPr>
              <w:pStyle w:val="Compact"/>
              <w:jc w:val="center"/>
            </w:pPr>
            <w:r>
              <w:t xml:space="preserve">63.0</w:t>
            </w:r>
          </w:p>
        </w:tc>
        <w:tc>
          <w:tcPr/>
          <w:p>
            <w:pPr>
              <w:pStyle w:val="Compact"/>
              <w:jc w:val="center"/>
            </w:pPr>
            <w:r>
              <w:t xml:space="preserve">53.0</w:t>
            </w:r>
          </w:p>
        </w:tc>
        <w:tc>
          <w:tcPr/>
          <w:p>
            <w:pPr>
              <w:pStyle w:val="Compact"/>
              <w:jc w:val="center"/>
            </w:pPr>
            <w:r>
              <w:rPr>
                <w:b/>
                <w:bCs/>
              </w:rPr>
              <w:t xml:space="preserve">85.5</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74.5</w:t>
            </w:r>
          </w:p>
        </w:tc>
        <w:tc>
          <w:tcPr/>
          <w:p>
            <w:pPr>
              <w:pStyle w:val="Compact"/>
              <w:jc w:val="center"/>
            </w:pPr>
            <w:r>
              <w:t xml:space="preserve">36.8</w:t>
            </w:r>
          </w:p>
        </w:tc>
        <w:tc>
          <w:tcPr/>
          <w:p>
            <w:pPr>
              <w:pStyle w:val="Compact"/>
              <w:jc w:val="center"/>
            </w:pPr>
            <w:r>
              <w:rPr>
                <w:b/>
                <w:bCs/>
              </w:rPr>
              <w:t xml:space="preserve">99.5</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74.5</w:t>
            </w:r>
          </w:p>
        </w:tc>
        <w:tc>
          <w:tcPr/>
          <w:p>
            <w:pPr>
              <w:pStyle w:val="Compact"/>
              <w:jc w:val="center"/>
            </w:pPr>
            <w:r>
              <w:t xml:space="preserve">59.5</w:t>
            </w:r>
          </w:p>
        </w:tc>
        <w:tc>
          <w:tcPr/>
          <w:p>
            <w:pPr>
              <w:pStyle w:val="Compact"/>
              <w:jc w:val="center"/>
            </w:pPr>
            <w:r>
              <w:rPr>
                <w:b/>
                <w:bCs/>
              </w:rPr>
              <w:t xml:space="preserve">99.5</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60.3</w:t>
            </w:r>
          </w:p>
        </w:tc>
        <w:tc>
          <w:tcPr/>
          <w:p>
            <w:pPr>
              <w:pStyle w:val="Compact"/>
              <w:jc w:val="center"/>
            </w:pPr>
            <w:r>
              <w:t xml:space="preserve">52.8</w:t>
            </w:r>
          </w:p>
        </w:tc>
        <w:tc>
          <w:tcPr/>
          <w:p>
            <w:pPr>
              <w:pStyle w:val="Compact"/>
              <w:jc w:val="center"/>
            </w:pPr>
            <w:r>
              <w:t xml:space="preserve">42.0</w:t>
            </w:r>
          </w:p>
        </w:tc>
        <w:tc>
          <w:tcPr/>
          <w:p>
            <w:pPr>
              <w:pStyle w:val="Compact"/>
              <w:jc w:val="center"/>
            </w:pPr>
            <w:r>
              <w:rPr>
                <w:b/>
                <w:bCs/>
              </w:rPr>
              <w:t xml:space="preserve">77.3</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48.0</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70.1</w:t>
            </w:r>
          </w:p>
        </w:tc>
        <w:tc>
          <w:tcPr/>
          <w:p>
            <w:pPr>
              <w:pStyle w:val="Compact"/>
              <w:jc w:val="center"/>
            </w:pPr>
            <w:r>
              <w:t xml:space="preserve">68.9</w:t>
            </w:r>
          </w:p>
        </w:tc>
        <w:tc>
          <w:tcPr/>
          <w:p>
            <w:pPr>
              <w:pStyle w:val="Compact"/>
              <w:jc w:val="center"/>
            </w:pPr>
            <w:r>
              <w:t xml:space="preserve">48.2</w:t>
            </w:r>
          </w:p>
        </w:tc>
        <w:tc>
          <w:tcPr/>
          <w:p>
            <w:pPr>
              <w:pStyle w:val="Compact"/>
              <w:jc w:val="center"/>
            </w:pPr>
            <w:r>
              <w:rPr>
                <w:b/>
                <w:bCs/>
              </w:rPr>
              <w:t xml:space="preserve">93.4</w:t>
            </w:r>
          </w:p>
        </w:tc>
      </w:tr>
    </w:tbl>
    <w:bookmarkEnd w:id="107"/>
    <w:p>
      <w:pPr>
        <w:pStyle w:val="BodyText"/>
      </w:pPr>
      <w:r>
        <w:t xml:space="preserve">Three structural facts, not the magnitudes, are the point.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land within about one point of the same aggregate: the cap 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 not a</w:t>
      </w:r>
      <w:r>
        <w:t xml:space="preserve"> </w:t>
      </w:r>
      <w:r>
        <w:t xml:space="preserve">tie-breaking subtlety (§7.4.3). Third, the front column shows what selection</w:t>
      </w:r>
      <w:r>
        <w:t xml:space="preserve"> </w:t>
      </w:r>
      <w:r>
        <w:t xml:space="preserve">alone can recover: its shortfall from</w:t>
      </w:r>
      <w:r>
        <w:t xml:space="preserve"> </w:t>
      </w:r>
      <m:oMath>
        <m:r>
          <m:t>100</m:t>
        </m:r>
        <m:r>
          <m:rPr>
            <m:sty m:val="p"/>
          </m:rPr>
          <m:t>%</m:t>
        </m:r>
      </m:oMath>
      <w:r>
        <w:t xml:space="preserve"> </w:t>
      </w:r>
      <w:r>
        <w:t xml:space="preserve">is not selection error. For DeepSeek (</w:t>
      </w:r>
      <m:oMath>
        <m:r>
          <m:t>68</m:t>
        </m:r>
      </m:oMath>
      <w:r>
        <w:t xml:space="preserve">–</w:t>
      </w:r>
      <m:oMath>
        <m:r>
          <m:t>75</m:t>
        </m:r>
        <m:r>
          <m:rPr>
            <m:sty m:val="p"/>
          </m:rPr>
          <m:t>%</m:t>
        </m:r>
      </m:oMath>
      <w:r>
        <w:t xml:space="preserve"> </w:t>
      </w:r>
      <w:r>
        <w:t xml:space="preserve">band) it is the model’s own capability limit; for Haiku the apparent</w:t>
      </w:r>
      <w:r>
        <w:t xml:space="preserve"> </w:t>
      </w:r>
      <m:oMath>
        <m:r>
          <m:t>52</m:t>
        </m:r>
        <m:r>
          <m:rPr>
            <m:sty m:val="p"/>
          </m:rPr>
          <m:t>%</m:t>
        </m:r>
      </m:oMath>
      <w:r>
        <w:t xml:space="preserve"> </w:t>
      </w:r>
      <w:r>
        <w:t xml:space="preserve">ceiling on</w:t>
      </w:r>
      <w:r>
        <w:t xml:space="preserve"> </w:t>
      </w:r>
      <w:r>
        <w:rPr>
          <w:rStyle w:val="VerbatimChar"/>
        </w:rPr>
        <w:t xml:space="preserve">api_post_ok</w:t>
      </w:r>
      <w:r>
        <w:t xml:space="preserve"> </w:t>
      </w:r>
      <w:r>
        <w:t xml:space="preserve">is not even that. A raw-failure audit (§7.5.1) shows</w:t>
      </w:r>
      <w:r>
        <w:t xml:space="preserve"> </w:t>
      </w:r>
      <w:r>
        <w:t xml:space="preserve">every Haiku reply on that cell calls the private contract correctly and the deficit is an omitted</w:t>
      </w:r>
      <w:r>
        <w:t xml:space="preserve"> </w:t>
      </w:r>
      <w:r>
        <w:rPr>
          <w:rStyle w:val="VerbatimChar"/>
        </w:rPr>
        <w:t xml:space="preserve">import</w:t>
      </w:r>
      <w:r>
        <w:t xml:space="preserve"> </w:t>
      </w:r>
      <w:r>
        <w:t xml:space="preserve">line; with the import neutralized,</w:t>
      </w:r>
      <w:r>
        <w:t xml:space="preserve"> </w:t>
      </w:r>
      <m:oMath>
        <m:sSub>
          <m:e>
            <m:r>
              <m:t>W</m:t>
            </m:r>
          </m:e>
          <m:sub>
            <m:r>
              <m:t>1</m:t>
            </m:r>
          </m:sub>
        </m:sSub>
      </m:oMath>
      <w:r>
        <w:t xml:space="preserve"> </w:t>
      </w:r>
      <w:r>
        <w:t xml:space="preserve">scores</w:t>
      </w:r>
      <w:r>
        <w:t xml:space="preserve"> </w:t>
      </w:r>
      <m:oMath>
        <m:r>
          <m:t>40</m:t>
        </m:r>
        <m:r>
          <m:rPr>
            <m:sty m:val="p"/>
          </m:rPr>
          <m:t>/</m:t>
        </m:r>
        <m:r>
          <m:t>40</m:t>
        </m:r>
      </m:oMath>
      <w:r>
        <w:t xml:space="preserve">. One honest caveat: the four</w:t>
      </w:r>
      <w:r>
        <w:t xml:space="preserve"> </w:t>
      </w:r>
      <w:r>
        <w:t xml:space="preserve">cells were constructed to exhibit the phenomenon, so the aggregate magnitudes are diagnostic of the</w:t>
      </w:r>
      <w:r>
        <w:t xml:space="preserve"> </w:t>
      </w:r>
      <w:r>
        <w:t xml:space="preserve">failure structure, not an estimate of production-traffic gains; what transfers is the structure,</w:t>
      </w:r>
      <w:r>
        <w:t xml:space="preserve"> </w:t>
      </w:r>
      <w:r>
        <w:t xml:space="preserve">each cheap policy forfeits an entire cell class, and no total-order policy can keep all four.</w:t>
      </w:r>
    </w:p>
    <w:bookmarkEnd w:id="108"/>
    <w:bookmarkEnd w:id="109"/>
    <w:bookmarkStart w:id="126"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10" w:name="sec:disc-tradeoffs"/>
    <w:p>
      <w:pPr>
        <w:pStyle w:val="Heading2"/>
      </w:pPr>
      <w:r>
        <w:t xml:space="preserve">What the approach buys, and what it costs</w:t>
      </w:r>
    </w:p>
    <w:p>
      <w:pPr>
        <w:pStyle w:val="FirstParagraph"/>
      </w:pPr>
      <w:r>
        <w:t xml:space="preserve">Consolidating the comparison that runs through the paper: relative to the alternatives of</w:t>
      </w:r>
      <w:r>
        <w:t xml:space="preserve"> </w:t>
      </w:r>
      <w:r>
        <w:t xml:space="preserve">Table 2, the approach buys four things none of them provides. (i) A</w:t>
      </w:r>
      <w:r>
        <w:t xml:space="preserve"> </w:t>
      </w:r>
      <w:r>
        <w:rPr>
          <w:i/>
          <w:iCs/>
        </w:rPr>
        <w:t xml:space="preserve">diagnosis</w:t>
      </w:r>
      <w:r>
        <w:t xml:space="preserve">: incomparability and interference become named, testable properties rather than</w:t>
      </w:r>
      <w:r>
        <w:t xml:space="preserve"> </w:t>
      </w:r>
      <w:r>
        <w:t xml:space="preserve">anecdotes about</w:t>
      </w:r>
      <w:r>
        <w:t xml:space="preserve"> </w:t>
      </w:r>
      <w:r>
        <w:t xml:space="preserve">“context sometimes hurting.”</w:t>
      </w:r>
      <w:r>
        <w:t xml:space="preserve"> </w:t>
      </w:r>
      <w:r>
        <w:t xml:space="preserve">(ii)</w:t>
      </w:r>
      <w:r>
        <w:t xml:space="preserve"> </w:t>
      </w:r>
      <w:r>
        <w:rPr>
          <w:i/>
          <w:iCs/>
        </w:rPr>
        <w:t xml:space="preserve">Distribution-free finite-sample</w:t>
      </w:r>
      <w:r>
        <w:rPr>
          <w:i/>
          <w:iCs/>
        </w:rPr>
        <w:t xml:space="preserve"> </w:t>
      </w:r>
      <w:r>
        <w:rPr>
          <w:i/>
          <w:iCs/>
        </w:rPr>
        <w:t xml:space="preserve">verification</w:t>
      </w:r>
      <w:r>
        <w:t xml:space="preserve"> </w:t>
      </w:r>
      <w:r>
        <w:t xml:space="preserve">on live black-box models: exact intervals and multiplicity control, with no training</w:t>
      </w:r>
      <w:r>
        <w:t xml:space="preserve"> </w:t>
      </w:r>
      <w:r>
        <w:t xml:space="preserve">and no white-box access. (iii)</w:t>
      </w:r>
      <w:r>
        <w:t xml:space="preserve"> </w:t>
      </w:r>
      <w:r>
        <w:rPr>
          <w:i/>
          <w:iCs/>
        </w:rPr>
        <w:t xml:space="preserve">Model-relative measurement</w:t>
      </w:r>
      <w:r>
        <w:t xml:space="preserve">: the same protocol re-run on any</w:t>
      </w:r>
      <w:r>
        <w:t xml:space="preserve"> </w:t>
      </w:r>
      <w:r>
        <w:t xml:space="preserve">stack answers whether</w:t>
      </w:r>
      <w:r>
        <w:t xml:space="preserve"> </w:t>
      </w:r>
      <w:r>
        <w:rPr>
          <w:i/>
          <w:iCs/>
        </w:rPr>
        <w:t xml:space="preserve">your</w:t>
      </w:r>
      <w:r>
        <w:t xml:space="preserve"> </w:t>
      </w:r>
      <w:r>
        <w:t xml:space="preserve">model has this structure on</w:t>
      </w:r>
      <w:r>
        <w:t xml:space="preserve"> </w:t>
      </w:r>
      <w:r>
        <w:rPr>
          <w:i/>
          <w:iCs/>
        </w:rPr>
        <w:t xml:space="preserve">your</w:t>
      </w:r>
      <w:r>
        <w:t xml:space="preserve"> </w:t>
      </w:r>
      <w:r>
        <w:t xml:space="preserve">sources, including the</w:t>
      </w:r>
      <w:r>
        <w:t xml:space="preserve"> </w:t>
      </w:r>
      <w:r>
        <w:t xml:space="preserve">scalar-suffices answer when sources are nested. (iv) A</w:t>
      </w:r>
      <w:r>
        <w:t xml:space="preserve"> </w:t>
      </w:r>
      <w:r>
        <w:rPr>
          <w:i/>
          <w:iCs/>
        </w:rPr>
        <w:t xml:space="preserve">selection ceiling</w:t>
      </w:r>
      <w:r>
        <w:t xml:space="preserve">: the non-dominated</w:t>
      </w:r>
      <w:r>
        <w:t xml:space="preserve"> </w:t>
      </w:r>
      <w:r>
        <w:t xml:space="preserve">front attains the per-cell maximum of its members (Table 7), bounding what any</w:t>
      </w:r>
      <w:r>
        <w:t xml:space="preserve"> </w:t>
      </w:r>
      <w:r>
        <w:t xml:space="preserve">selection policy can recover and separating selection error from model capability. The costs are</w:t>
      </w:r>
      <w:r>
        <w:t xml:space="preserve"> </w:t>
      </w:r>
      <w:r>
        <w:t xml:space="preserve">equally concrete. Verification is bought with probe runs, so the method lives at curation scale, a</w:t>
      </w:r>
      <w:r>
        <w:t xml:space="preserve"> </w:t>
      </w:r>
      <w:r>
        <w:t xml:space="preserve">reranked shortlist or an offline context library, not corpus scale (§8.6). The</w:t>
      </w:r>
      <w:r>
        <w:t xml:space="preserve"> </w:t>
      </w:r>
      <w:r>
        <w:t xml:space="preserve">verified cells are constructed to make the structure visible, so the magnitudes are diagnostic, not</w:t>
      </w:r>
      <w:r>
        <w:t xml:space="preserve"> </w:t>
      </w:r>
      <w:r>
        <w:t xml:space="preserve">production estimates. And the guarantees are existential and model-relative: they establish that</w:t>
      </w:r>
      <w:r>
        <w:t xml:space="preserve"> </w:t>
      </w:r>
      <w:r>
        <w:t xml:space="preserve">the partial order is real and consequential where verified, not that every source pair in the wild</w:t>
      </w:r>
      <w:r>
        <w:t xml:space="preserve"> </w:t>
      </w:r>
      <w:r>
        <w:t xml:space="preserve">is incomparable. In exchange, the practitioner gets what the cheap alternatives cannot give: a</w:t>
      </w:r>
      <w:r>
        <w:t xml:space="preserve"> </w:t>
      </w:r>
      <w:r>
        <w:t xml:space="preserve">claim about their own system that is checked rather than assumed.</w:t>
      </w:r>
    </w:p>
    <w:bookmarkEnd w:id="110"/>
    <w:bookmarkStart w:id="113" w:name="sec:disc-bridge"/>
    <w:p>
      <w:pPr>
        <w:pStyle w:val="Heading2"/>
      </w:pPr>
      <w:r>
        <w:t xml:space="preserve">Scope of the claims</w:t>
      </w:r>
    </w:p>
    <w:p>
      <w:pPr>
        <w:pStyle w:val="FirstParagraph"/>
      </w:pPr>
      <w:bookmarkStart w:id="111" w:name="sec:disc-deficiency"/>
      <w:bookmarkEnd w:id="111"/>
      <w:bookmarkStart w:id="112" w:name="sec:disc-certificate"/>
      <w:bookmarkEnd w:id="112"/>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2 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1) that our</w:t>
      </w:r>
      <w:r>
        <w:t xml:space="preserve"> </w:t>
      </w:r>
      <w:r>
        <w:t xml:space="preserve">task design builds in and our measurements confirm.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5).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(one API task and one encoding task carry the pair-1</w:t>
      </w:r>
      <w:r>
        <w:t xml:space="preserve"> </w:t>
      </w:r>
      <w:r>
        <w:t xml:space="preserve">result), each claim is controlled on its own at level</w:t>
      </w:r>
      <w:r>
        <w:t xml:space="preserve"> </w:t>
      </w:r>
      <m:oMath>
        <m:r>
          <m:t>η</m:t>
        </m:r>
      </m:oMath>
      <w:r>
        <w:t xml:space="preserve"> </w:t>
      </w:r>
      <w:r>
        <w:t xml:space="preserve">rather than all at once</w:t>
      </w:r>
      <w:r>
        <w:t xml:space="preserve"> </w:t>
      </w:r>
      <w:r>
        <w:t xml:space="preserve">(§6.5), and we call</w:t>
      </w:r>
      <w:r>
        <w:t xml:space="preserve"> </w:t>
      </w:r>
      <m:oMath>
        <m:r>
          <m:rPr>
            <m:scr m:val="script"/>
            <m:sty m:val="p"/>
          </m:rPr>
          <m:t>D</m:t>
        </m:r>
      </m:oMath>
      <w:r>
        <w:t xml:space="preserve"> </w:t>
      </w:r>
      <w:r>
        <w:t xml:space="preserve">a fixed adversarial battery, not a task distribution.</w:t>
      </w:r>
    </w:p>
    <w:bookmarkEnd w:id="113"/>
    <w:bookmarkStart w:id="115" w:name="sec:disc-antimono"/>
    <w:p>
      <w:pPr>
        <w:pStyle w:val="Heading2"/>
      </w:pPr>
      <w:r>
        <w:t xml:space="preserve">Anti-monotonicity is real, verified, but not capability-ordered</w:t>
      </w:r>
    </w:p>
    <w:p>
      <w:pPr>
        <w:pStyle w:val="FirstParagraph"/>
      </w:pPr>
      <w:r>
        <w:t xml:space="preserve">The interference object</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r>
          <m:rPr>
            <m:nor/>
            <m:sty m:val="p"/>
          </m:rPr>
          <m:t>none</m:t>
        </m:r>
        <m:r>
          <m:rPr>
            <m:sty m:val="p"/>
          </m:rPr>
          <m:t>,</m:t>
        </m:r>
        <m:r>
          <m:t>T</m:t>
        </m:r>
        <m:r>
          <m:rPr>
            <m:sty m:val="p"/>
          </m:rPr>
          <m:t>)</m:t>
        </m:r>
      </m:oMath>
      <w:r>
        <w:t xml:space="preserve"> </w:t>
      </w:r>
      <w:r>
        <w:t xml:space="preserve">measures 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harms</w:t>
      </w:r>
      <w:r>
        <w:t xml:space="preserve"> </w:t>
      </w:r>
      <w:r>
        <w:t xml:space="preserve">performance. We verify</w:t>
      </w:r>
      <w:r>
        <w:t xml:space="preserve"> </w:t>
      </w:r>
      <m:oMath>
        <m:sSub>
          <m:e>
            <m:r>
              <m:rPr>
                <m:sty m:val="p"/>
              </m:rPr>
              <m:t>Ψ</m:t>
            </m:r>
          </m:e>
          <m:sub>
            <m:r>
              <m:t>T</m:t>
            </m:r>
          </m:sub>
        </m:sSub>
        <m:r>
          <m:rPr>
            <m:sty m:val="p"/>
          </m:rPr>
          <m:t>≤</m:t>
        </m:r>
        <m:r>
          <m:rPr>
            <m:sty m:val="p"/>
          </m:rPr>
          <m:t>−</m:t>
        </m:r>
        <m:r>
          <m:t>0.30</m:t>
        </m:r>
      </m:oMath>
      <w:r>
        <w:t xml:space="preserve"> </w:t>
      </w:r>
      <w:r>
        <w:t xml:space="preserve">on at least one cell for five of six models</w:t>
      </w:r>
      <w:r>
        <w:t xml:space="preserve"> </w:t>
      </w:r>
      <w:r>
        <w:t xml:space="preserve">(Table 6), with collapses as stark as</w:t>
      </w:r>
      <w:r>
        <w:t xml:space="preserve"> </w:t>
      </w:r>
      <m:oMath>
        <m:r>
          <m:t>100</m:t>
        </m:r>
        <m:r>
          <m:rPr>
            <m:sty m:val="p"/>
          </m:rPr>
          <m:t>%</m:t>
        </m:r>
        <m:r>
          <m:rPr>
            <m:sty m:val="p"/>
          </m:rPr>
          <m:t>→</m:t>
        </m:r>
        <m:r>
          <m:t>0</m:t>
        </m:r>
        <m:r>
          <m:rPr>
            <m:sty m:val="p"/>
          </m:rPr>
          <m:t>%</m:t>
        </m:r>
      </m:oMath>
      <w:r>
        <w:t xml:space="preserve"> </w:t>
      </w:r>
      <w:r>
        <w:t xml:space="preserve">(</w:t>
      </w:r>
      <m:oMath>
        <m:sSub>
          <m:e>
            <m:r>
              <m:rPr>
                <m:sty m:val="p"/>
              </m:rPr>
              <m:t>Ψ</m:t>
            </m:r>
          </m:e>
          <m:sub>
            <m:r>
              <m:t>T</m:t>
            </m:r>
          </m:sub>
        </m:sSub>
        <m:r>
          <m:rPr>
            <m:sty m:val="p"/>
          </m:rPr>
          <m:t>=</m:t>
        </m:r>
        <m:r>
          <m:rPr>
            <m:sty m:val="p"/>
          </m:rPr>
          <m:t>−</m:t>
        </m:r>
        <m:r>
          <m:t>1.00</m:t>
        </m:r>
      </m:oMath>
      <w:r>
        <w:t xml:space="preserve">, upper</w:t>
      </w:r>
      <w:r>
        <w:t xml:space="preserve"> </w:t>
      </w:r>
      <w:r>
        <w:t xml:space="preserve">bound</w:t>
      </w:r>
      <w:r>
        <w:t xml:space="preserve"> </w:t>
      </w:r>
      <m:oMath>
        <m:r>
          <m:rPr>
            <m:sty m:val="p"/>
          </m:rPr>
          <m:t>−</m:t>
        </m:r>
        <m:r>
          <m:t>0.69</m:t>
        </m:r>
      </m:oMath>
      <w:r>
        <w:t xml:space="preserve">) on Sonnet and Kimi. This is a verified empirical falsification of</w:t>
      </w:r>
      <w:r>
        <w:t xml:space="preserve"> </w:t>
      </w:r>
      <w:r>
        <w:t xml:space="preserve">superset-dominance for these fixed rules (Theorem 3): a literal superset of a</w:t>
      </w:r>
      <w:r>
        <w:t xml:space="preserve"> </w:t>
      </w:r>
      <w:r>
        <w:t xml:space="preserve">sufficient signal can sharply reduce PASS, which no monotone-submodular scalar context-value score can</w:t>
      </w:r>
      <w:r>
        <w:t xml:space="preserve"> </w:t>
      </w:r>
      <w:r>
        <w:t xml:space="preserve">represent.</w:t>
      </w:r>
    </w:p>
    <w:p>
      <w:pPr>
        <w:pStyle w:val="BodyText"/>
      </w:pPr>
      <w:r>
        <w:t xml:space="preserve">Two corrections follow from the data.</w:t>
      </w:r>
      <w:r>
        <w:t xml:space="preserve"> </w:t>
      </w:r>
      <w:r>
        <w:rPr>
          <w:b/>
          <w:bCs/>
        </w:rPr>
        <w:t xml:space="preserve">(i) The harm is not monotone in</w:t>
      </w:r>
      <w:r>
        <w:rPr>
          <w:b/>
          <w:bCs/>
        </w:rPr>
        <w:t xml:space="preserve"> </w:t>
      </w:r>
      <w:r>
        <w:rPr>
          <w:b/>
          <w:bCs/>
        </w:rPr>
        <w:t xml:space="preserve">capability.</w:t>
      </w:r>
      <w:r>
        <w:t xml:space="preserve"> </w:t>
      </w:r>
      <w:r>
        <w:t xml:space="preserve">An early two-point read (Haiku then Sonnet) suggested the collapse</w:t>
      </w:r>
      <w:r>
        <w:t xml:space="preserve"> </w:t>
      </w:r>
      <w:r>
        <w:t xml:space="preserve">“intensifies with</w:t>
      </w:r>
      <w:r>
        <w:t xml:space="preserve"> </w:t>
      </w:r>
      <w:r>
        <w:t xml:space="preserve">model strength”</w:t>
      </w:r>
      <w:r>
        <w:t xml:space="preserve">; the third Anthropic model (Opus) falsifies this. On</w:t>
      </w:r>
      <w:r>
        <w:t xml:space="preserve"> </w:t>
      </w:r>
      <w:r>
        <w:rPr>
          <w:rStyle w:val="VerbatimChar"/>
        </w:rPr>
        <w:t xml:space="preserve">api_argorder</w:t>
      </w:r>
      <w:r>
        <w:t xml:space="preserve"> </w:t>
      </w:r>
      <w:r>
        <w:t xml:space="preserve">the</w:t>
      </w:r>
      <w:r>
        <w:t xml:space="preserve"> </w:t>
      </w:r>
      <w:r>
        <w:t xml:space="preserve">collapse is</w:t>
      </w:r>
      <w:r>
        <w:t xml:space="preserve"> </w:t>
      </w:r>
      <m:oMath>
        <m:r>
          <m:t>100</m:t>
        </m:r>
        <m:r>
          <m:rPr>
            <m:sty m:val="p"/>
          </m:rPr>
          <m:t>→</m:t>
        </m:r>
        <m:r>
          <m:t>5</m:t>
        </m:r>
        <m:r>
          <m:rPr>
            <m:sty m:val="p"/>
          </m:rPr>
          <m:t>%</m:t>
        </m:r>
      </m:oMath>
      <w:r>
        <w:t xml:space="preserve"> </w:t>
      </w:r>
      <w:r>
        <w:t xml:space="preserve">(Haiku),</w:t>
      </w:r>
      <w:r>
        <w:t xml:space="preserve"> </w:t>
      </w:r>
      <m:oMath>
        <m:r>
          <m:t>100</m:t>
        </m:r>
        <m:r>
          <m:rPr>
            <m:sty m:val="p"/>
          </m:rPr>
          <m:t>→</m:t>
        </m:r>
        <m:r>
          <m:t>0</m:t>
        </m:r>
        <m:r>
          <m:rPr>
            <m:sty m:val="p"/>
          </m:rPr>
          <m:t>%</m:t>
        </m:r>
      </m:oMath>
      <w:r>
        <w:t xml:space="preserve"> </w:t>
      </w:r>
      <w:r>
        <w:t xml:space="preserve">(Sonnet), and</w:t>
      </w:r>
      <w:r>
        <w:t xml:space="preserve"> </w:t>
      </w:r>
      <m:oMath>
        <m:r>
          <m:t>100</m:t>
        </m:r>
        <m:r>
          <m:rPr>
            <m:sty m:val="p"/>
          </m:rPr>
          <m:t>→</m:t>
        </m:r>
        <m:r>
          <m:t>15</m:t>
        </m:r>
        <m:r>
          <m:rPr>
            <m:sty m:val="p"/>
          </m:rPr>
          <m:t>%</m:t>
        </m:r>
      </m:oMath>
      <w:r>
        <w:t xml:space="preserve"> </w:t>
      </w:r>
      <w:r>
        <w:t xml:space="preserve">(Opus); the middle model</w:t>
      </w:r>
      <w:r>
        <w:t xml:space="preserve"> </w:t>
      </w:r>
      <w:r>
        <w:t xml:space="preserve">(Sonnet) is the starkest and the strongest (Opus) the mildest. The defensible claim is robustness</w:t>
      </w:r>
      <w:r>
        <w:t xml:space="preserve"> </w:t>
      </w:r>
      <w:r>
        <w:t xml:space="preserve">across the capability ladder,</w:t>
      </w:r>
      <w:r>
        <w:t xml:space="preserve"> </w:t>
      </w:r>
      <w:r>
        <w:rPr>
          <w:i/>
          <w:iCs/>
        </w:rPr>
        <w:t xml:space="preserve">not</w:t>
      </w:r>
      <w:r>
        <w:t xml:space="preserve"> </w:t>
      </w:r>
      <w:r>
        <w:t xml:space="preserve">a capability trend.</w:t>
      </w:r>
      <w:r>
        <w:t xml:space="preserve"> </w:t>
      </w:r>
      <w:r>
        <w:rPr>
          <w:b/>
          <w:bCs/>
        </w:rPr>
        <w:t xml:space="preserve">(ii) The interference verification is structurally cell-selected.</w:t>
      </w:r>
      <w:r>
        <w:t xml:space="preserve"> </w:t>
      </w:r>
      <w:r>
        <w:t xml:space="preserve">Its upper bound includes</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ty m:val="p"/>
              </m:rPr>
              <m:t>none</m:t>
            </m:r>
          </m:sub>
        </m:sSub>
        <m:r>
          <m:rPr>
            <m:sty m:val="p"/>
          </m:rPr>
          <m:t>)</m:t>
        </m:r>
      </m:oMath>
      <w:r>
        <w:t xml:space="preserve">, so it can only verify harm on cells whose none-baseline</w:t>
      </w:r>
      <w:r>
        <w:t xml:space="preserve"> </w:t>
      </w:r>
      <w:r>
        <w:t xml:space="preserve">floors near zero. This is precisely the set of cells unguessable for the model under test, which</w:t>
      </w:r>
      <w:r>
        <w:t xml:space="preserve"> </w:t>
      </w:r>
      <w:r>
        <w:t xml:space="preserve">couples the verifiable-harm set to the model-relative value of private context (§8.4).</w:t>
      </w:r>
      <w:r>
        <w:t xml:space="preserve"> </w:t>
      </w:r>
      <w:r>
        <w:t xml:space="preserve">We treat this as a protocol (Remark 6): we verify anti-monotonicity only on</w:t>
      </w:r>
      <w:r>
        <w:t xml:space="preserve"> </w:t>
      </w:r>
      <w:r>
        <w:t xml:space="preserve">floor-baseline cells, because a leaky baseline</w:t>
      </w:r>
      <w:r>
        <w:t xml:space="preserve"> </w:t>
      </w:r>
      <w:r>
        <w:t xml:space="preserve">mechanically shrinks the verifiable</w:t>
      </w:r>
      <w:r>
        <w:t xml:space="preserve"> </w:t>
      </w:r>
      <m:oMath>
        <m:sSub>
          <m:e>
            <m:r>
              <m:rPr>
                <m:sty m:val="p"/>
              </m:rPr>
              <m:t>Ψ</m:t>
            </m:r>
          </m:e>
          <m:sub>
            <m:r>
              <m:t>T</m:t>
            </m:r>
          </m:sub>
        </m:sSub>
      </m:oMath>
      <w:r>
        <w:t xml:space="preserve">. On</w:t>
      </w:r>
      <w:r>
        <w:t xml:space="preserve"> </w:t>
      </w:r>
      <w:r>
        <w:rPr>
          <w:rStyle w:val="VerbatimChar"/>
        </w:rPr>
        <w:t xml:space="preserve">api_argorder</w:t>
      </w:r>
      <w:r>
        <w:t xml:space="preserve"> </w:t>
      </w:r>
      <w:r>
        <w:t xml:space="preserve">the harm is verified for</w:t>
      </w:r>
      <w:r>
        <w:t xml:space="preserve"> </w:t>
      </w:r>
      <w:r>
        <w:t xml:space="preserve">Haiku (baseline</w:t>
      </w:r>
      <w:r>
        <w:t xml:space="preserve"> </w:t>
      </w:r>
      <m:oMath>
        <m:r>
          <m:t>2</m:t>
        </m:r>
        <m:r>
          <m:rPr>
            <m:sty m:val="p"/>
          </m:rPr>
          <m:t>%</m:t>
        </m:r>
      </m:oMath>
      <w:r>
        <w:t xml:space="preserve">) and Sonnet (</w:t>
      </w:r>
      <m:oMath>
        <m:r>
          <m:t>0</m:t>
        </m:r>
        <m:r>
          <m:rPr>
            <m:sty m:val="p"/>
          </m:rPr>
          <m:t>%</m:t>
        </m:r>
      </m:oMath>
      <w:r>
        <w:t xml:space="preserve">) but not for GPT-5.5 (baseline</w:t>
      </w:r>
      <w:r>
        <w:t xml:space="preserve"> </w:t>
      </w:r>
      <m:oMath>
        <m:r>
          <m:t>75</m:t>
        </m:r>
        <m:r>
          <m:rPr>
            <m:sty m:val="p"/>
          </m:rPr>
          <m:t>%</m:t>
        </m:r>
      </m:oMath>
      <w:r>
        <w:t xml:space="preserve">), Kimi (</w:t>
      </w:r>
      <m:oMath>
        <m:r>
          <m:t>45</m:t>
        </m:r>
        <m:r>
          <m:rPr>
            <m:sty m:val="p"/>
          </m:rPr>
          <m:t>%</m:t>
        </m:r>
      </m:oMath>
      <w:r>
        <w:t xml:space="preserve">), or Opus (</w:t>
      </w:r>
      <m:oMath>
        <m:r>
          <m:t>40</m:t>
        </m:r>
        <m:r>
          <m:rPr>
            <m:sty m:val="p"/>
          </m:rPr>
          <m:t>%</m:t>
        </m:r>
      </m:oMath>
      <w:r>
        <w:t xml:space="preserve">).</w:t>
      </w:r>
    </w:p>
    <w:bookmarkStart w:id="114" w:name="will-scale-restore-blackwell-coherence"/>
    <w:p>
      <w:pPr>
        <w:pStyle w:val="Heading4"/>
      </w:pPr>
      <w:r>
        <w:t xml:space="preserve">Will scale restore Blackwell coherence?</w:t>
      </w:r>
    </w:p>
    <w:p>
      <w:pPr>
        <w:pStyle w:val="FirstParagraph"/>
      </w:pPr>
      <w:r>
        <w:t xml:space="preserve">The capability non-monotonicity raises a question this framework makes precisely testable: is</w:t>
      </w:r>
      <w:r>
        <w:t xml:space="preserve"> </w:t>
      </w:r>
      <w:r>
        <w:t xml:space="preserve">Blackwell coherence of the realized rule an emergent property of scale? Three points on one</w:t>
      </w:r>
      <w:r>
        <w:t xml:space="preserve"> </w:t>
      </w:r>
      <w:r>
        <w:t xml:space="preserve">vendor’s ladder cannot estimate that curve, and we decline to extrapolate from them; what the</w:t>
      </w:r>
      <w:r>
        <w:t xml:space="preserve"> </w:t>
      </w:r>
      <w:r>
        <w:t xml:space="preserve">framework contributes is the</w:t>
      </w:r>
      <w:r>
        <w:t xml:space="preserve"> </w:t>
      </w:r>
      <w:r>
        <w:rPr>
          <w:i/>
          <w:iCs/>
        </w:rPr>
        <w:t xml:space="preserve">instrument</w:t>
      </w:r>
      <w:r>
        <w:t xml:space="preserve">: coherence is now a verifiable property of any</w:t>
      </w:r>
      <w:r>
        <w:t xml:space="preserve"> </w:t>
      </w:r>
      <w:r>
        <w:t xml:space="preserve">fixed rule, so</w:t>
      </w:r>
      <w:r>
        <w:t xml:space="preserve"> </w:t>
      </w:r>
      <w:r>
        <w:t xml:space="preserve">“</w:t>
      </w:r>
      <m:oMath>
        <m:sSub>
          <m:e>
            <m:r>
              <m:rPr>
                <m:sty m:val="p"/>
              </m:rPr>
              <m:t>Ψ</m:t>
            </m:r>
          </m:e>
          <m:sub>
            <m:r>
              <m:t>T</m:t>
            </m:r>
          </m:sub>
        </m:sSub>
      </m:oMath>
      <w:r>
        <w:t xml:space="preserve"> </w:t>
      </w:r>
      <w:r>
        <w:t xml:space="preserve">versus scale”</w:t>
      </w:r>
      <w:r>
        <w:t xml:space="preserve"> </w:t>
      </w:r>
      <w:r>
        <w:t xml:space="preserve">is a measurable trajectory across model generations</w:t>
      </w:r>
      <w:r>
        <w:t xml:space="preserve"> </w:t>
      </w:r>
      <w:r>
        <w:t xml:space="preserve">rather than a speculation, and the present data offer no comfort that the frontier is already</w:t>
      </w:r>
      <w:r>
        <w:t xml:space="preserve"> </w:t>
      </w:r>
      <w:r>
        <w:t xml:space="preserve">there (GPT-5.5 verifies a</w:t>
      </w:r>
      <w:r>
        <w:t xml:space="preserve"> </w:t>
      </w:r>
      <m:oMath>
        <m:r>
          <m:t>100</m:t>
        </m:r>
        <m:r>
          <m:rPr>
            <m:sty m:val="p"/>
          </m:rPr>
          <m:t>%</m:t>
        </m:r>
        <m:r>
          <m:t>​</m:t>
        </m:r>
        <m:r>
          <m:rPr>
            <m:sty m:val="p"/>
          </m:rPr>
          <m:t>→</m:t>
        </m:r>
        <m:r>
          <m:t>​</m:t>
        </m:r>
        <m:r>
          <m:t>0</m:t>
        </m:r>
        <m:r>
          <m:rPr>
            <m:sty m:val="p"/>
          </m:rPr>
          <m:t>%</m:t>
        </m:r>
      </m:oMath>
      <w:r>
        <w:t xml:space="preserve"> </w:t>
      </w:r>
      <w:r>
        <w:t xml:space="preserve">collapse; Opus reproduces the harm at strong point</w:t>
      </w:r>
      <w:r>
        <w:t xml:space="preserve"> </w:t>
      </w:r>
      <w:r>
        <w:t xml:space="preserve">estimates). Two things would remain true under any scaling outcome. First, the theory treats</w:t>
      </w:r>
      <w:r>
        <w:t xml:space="preserve"> </w:t>
      </w:r>
      <m:oMath>
        <m:sSub>
          <m:e>
            <m:r>
              <m:t>δ</m:t>
            </m:r>
          </m:e>
          <m:sub>
            <m:r>
              <m:t>M</m:t>
            </m:r>
          </m:sub>
        </m:sSub>
      </m:oMath>
      <w:r>
        <w:t xml:space="preserve"> </w:t>
      </w:r>
      <w:r>
        <w:t xml:space="preserve">as fixed</w:t>
      </w:r>
      <w:r>
        <w:t xml:space="preserve"> </w:t>
      </w:r>
      <w:r>
        <w:rPr>
          <w:i/>
          <w:iCs/>
        </w:rPr>
        <w:t xml:space="preserve">per measurement</w:t>
      </w:r>
      <w:r>
        <w:t xml:space="preserve">, not as a claim that models are static: every new</w:t>
      </w:r>
      <w:r>
        <w:t xml:space="preserve"> </w:t>
      </w:r>
      <w:r>
        <w:t xml:space="preserve">model or configuration is a new</w:t>
      </w:r>
      <w:r>
        <w:t xml:space="preserve"> </w:t>
      </w:r>
      <m:oMath>
        <m:r>
          <m:t>θ</m:t>
        </m:r>
      </m:oMath>
      <w:r>
        <w:t xml:space="preserve"> </w:t>
      </w:r>
      <w:r>
        <w:t xml:space="preserve">(§3.3), and every verified quantity is</w:t>
      </w:r>
      <w:r>
        <w:t xml:space="preserve"> </w:t>
      </w:r>
      <w:r>
        <w:t xml:space="preserve">indexed by it, so model evolution is inside the framework, not outside it. Second, and</w:t>
      </w:r>
      <w:r>
        <w:t xml:space="preserve"> </w:t>
      </w:r>
      <w:r>
        <w:t xml:space="preserve">decisively: anti-monotonicity is a coherence failure of the</w:t>
      </w:r>
      <w:r>
        <w:t xml:space="preserve"> </w:t>
      </w:r>
      <w:r>
        <w:rPr>
          <w:i/>
          <w:iCs/>
        </w:rPr>
        <w:t xml:space="preserve">rule</w:t>
      </w:r>
      <w:r>
        <w:t xml:space="preserve"> </w:t>
      </w:r>
      <w:r>
        <w:t xml:space="preserve">and could in principle</w:t>
      </w:r>
      <w:r>
        <w:t xml:space="preserve"> </w:t>
      </w:r>
      <w:r>
        <w:t xml:space="preserve">vanish with scale, but incomparability is a structural property of the</w:t>
      </w:r>
      <w:r>
        <w:t xml:space="preserve"> </w:t>
      </w:r>
      <w:r>
        <w:rPr>
          <w:i/>
          <w:iCs/>
        </w:rPr>
        <w:t xml:space="preserve">sources</w:t>
      </w:r>
      <w:r>
        <w:t xml:space="preserve">, mutually</w:t>
      </w:r>
      <w:r>
        <w:t xml:space="preserve"> </w:t>
      </w:r>
      <w:r>
        <w:t xml:space="preserve">non-refining signals stay incomparable no matter how capable the reader becomes, so the paper’s</w:t>
      </w:r>
      <w:r>
        <w:t xml:space="preserve"> </w:t>
      </w:r>
      <w:r>
        <w:t xml:space="preserve">central claim, that selection is a partial-order problem, is invariant to how the scaling</w:t>
      </w:r>
      <w:r>
        <w:t xml:space="preserve"> </w:t>
      </w:r>
      <w:r>
        <w:t xml:space="preserve">question resolves; scale can change only how gracefully a fixed rule degrades, never the order</w:t>
      </w:r>
      <w:r>
        <w:t xml:space="preserve"> </w:t>
      </w:r>
      <w:r>
        <w:t xml:space="preserve">itself.</w:t>
      </w:r>
    </w:p>
    <w:bookmarkEnd w:id="114"/>
    <w:bookmarkEnd w:id="115"/>
    <w:bookmarkStart w:id="116" w:name="sec:disc-moat"/>
    <w:p>
      <w:pPr>
        <w:pStyle w:val="Heading2"/>
      </w:pPr>
      <w:r>
        <w:t xml:space="preserve">The value of private context is model-relative and tracks vendor training</w:t>
      </w:r>
    </w:p>
    <w:p>
      <w:pPr>
        <w:pStyle w:val="FirstParagraph"/>
      </w:pPr>
      <w:r>
        <w:t xml:space="preserve">The value of a private convention,</w:t>
      </w:r>
      <w:r>
        <w:t xml:space="preserve"> </w:t>
      </w:r>
      <m:oMath>
        <m:r>
          <m:t>I</m:t>
        </m:r>
        <m:r>
          <m:rPr>
            <m:sty m:val="p"/>
          </m:rPr>
          <m:t>(</m:t>
        </m:r>
        <m:r>
          <m:t>S</m:t>
        </m:r>
        <m:r>
          <m:rPr>
            <m:sty m:val="p"/>
          </m:rPr>
          <m:t>;</m:t>
        </m:r>
        <m:r>
          <m:t>W</m:t>
        </m:r>
        <m:r>
          <m:rPr>
            <m:sty m:val="p"/>
          </m:rPr>
          <m:t>∣</m:t>
        </m:r>
        <m:r>
          <m:t>θ</m:t>
        </m:r>
        <m:r>
          <m:rPr>
            <m:sty m:val="p"/>
          </m:rPr>
          <m:t>)</m:t>
        </m:r>
      </m:oMath>
      <w:r>
        <w:t xml:space="preserve">, is itself a model-relative (</w:t>
      </w:r>
      <m:oMath>
        <m:r>
          <m:t>θ</m:t>
        </m:r>
      </m:oMath>
      <w:r>
        <w:t xml:space="preserve">-dependent)</w:t>
      </w:r>
      <w:r>
        <w:t xml:space="preserve"> </w:t>
      </w:r>
      <w:r>
        <w:t xml:space="preserve">object, and the data give a clean continuous map of it. The none-arm baseline on</w:t>
      </w:r>
      <w:r>
        <w:t xml:space="preserve"> </w:t>
      </w:r>
      <w:r>
        <w:rPr>
          <w:rStyle w:val="VerbatimChar"/>
        </w:rPr>
        <w:t xml:space="preserve">api_argorder</w:t>
      </w:r>
      <w:r>
        <w:t xml:space="preserve">, how often a model reproduces the private convention with no context supplied, forms a spectrum:</w:t>
      </w:r>
      <w:r>
        <w:t xml:space="preserve"> </w:t>
      </w:r>
      <w:r>
        <w:t xml:space="preserve">Haiku and Sonnet</w:t>
      </w:r>
      <w:r>
        <w:t xml:space="preserve"> </w:t>
      </w:r>
      <m:oMath>
        <m:r>
          <m:rPr>
            <m:sty m:val="p"/>
          </m:rPr>
          <m:t>∼</m:t>
        </m:r>
        <m:r>
          <m:t>​</m:t>
        </m:r>
        <m:r>
          <m:t>0</m:t>
        </m:r>
        <m:r>
          <m:rPr>
            <m:sty m:val="p"/>
          </m:rPr>
          <m:t>%</m:t>
        </m:r>
      </m:oMath>
      <w:r>
        <w:t xml:space="preserve">, DeepSeek</w:t>
      </w:r>
      <w:r>
        <w:t xml:space="preserve"> </w:t>
      </w:r>
      <m:oMath>
        <m:r>
          <m:t>2</m:t>
        </m:r>
        <m:r>
          <m:rPr>
            <m:sty m:val="p"/>
          </m:rPr>
          <m:t>%</m:t>
        </m:r>
      </m:oMath>
      <w:r>
        <w:t xml:space="preserve">, Opus</w:t>
      </w:r>
      <w:r>
        <w:t xml:space="preserve"> </w:t>
      </w:r>
      <m:oMath>
        <m:r>
          <m:t>15</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We do not claim this</w:t>
      </w:r>
      <w:r>
        <w:t xml:space="preserve"> </w:t>
      </w:r>
      <w:r>
        <w:t xml:space="preserve">tracks capability. The decisive piece of evidence is DeepSeek: it has a tight, near-zero prior like</w:t>
      </w:r>
      <w:r>
        <w:t xml:space="preserve"> </w:t>
      </w:r>
      <w:r>
        <w:t xml:space="preserve">Claude despite being a different vendor, while GPT-5.5’s prior is wide (</w:t>
      </w:r>
      <m:oMath>
        <m:r>
          <m:t>55</m:t>
        </m:r>
        <m:r>
          <m:rPr>
            <m:sty m:val="p"/>
          </m:rPr>
          <m:t>%</m:t>
        </m:r>
      </m:oMath>
      <w:r>
        <w:t xml:space="preserve">–</w:t>
      </w:r>
      <m:oMath>
        <m:r>
          <m:t>75</m:t>
        </m:r>
        <m:r>
          <m:rPr>
            <m:sty m:val="p"/>
          </m:rPr>
          <m:t>%</m:t>
        </m:r>
      </m:oMath>
      <w:r>
        <w:t xml:space="preserve"> </w:t>
      </w:r>
      <w:r>
        <w:t xml:space="preserve">guessing on</w:t>
      </w:r>
      <w:r>
        <w:t xml:space="preserve"> </w:t>
      </w:r>
      <w:r>
        <w:rPr>
          <w:rStyle w:val="VerbatimChar"/>
        </w:rPr>
        <w:t xml:space="preserve">api_argorder</w:t>
      </w:r>
      <w:r>
        <w:t xml:space="preserve">/</w:t>
      </w:r>
      <w:r>
        <w:rPr>
          <w:rStyle w:val="VerbatimChar"/>
        </w:rPr>
        <w:t xml:space="preserve">enc_amount</w:t>
      </w:r>
      <w:r>
        <w:t xml:space="preserve">). A</w:t>
      </w:r>
      <w:r>
        <w:t xml:space="preserve"> </w:t>
      </w:r>
      <w:r>
        <w:t xml:space="preserve">“stronger-model-knows-more”</w:t>
      </w:r>
      <w:r>
        <w:t xml:space="preserve"> </w:t>
      </w:r>
      <w:r>
        <w:t xml:space="preserve">account predicts the</w:t>
      </w:r>
      <w:r>
        <w:t xml:space="preserve"> </w:t>
      </w:r>
      <w:r>
        <w:t xml:space="preserve">spectrum to follow capability; it does not. We read</w:t>
      </w:r>
      <w:r>
        <w:t xml:space="preserve"> </w:t>
      </w:r>
      <m:oMath>
        <m:r>
          <m:t>I</m:t>
        </m:r>
        <m:r>
          <m:rPr>
            <m:sty m:val="p"/>
          </m:rPr>
          <m:t>(</m:t>
        </m:r>
        <m:r>
          <m:t>S</m:t>
        </m:r>
        <m:r>
          <m:rPr>
            <m:sty m:val="p"/>
          </m:rPr>
          <m:t>;</m:t>
        </m:r>
        <m:r>
          <m:t>W</m:t>
        </m:r>
        <m:r>
          <m:rPr>
            <m:sty m:val="p"/>
          </m:rPr>
          <m:t>∣</m:t>
        </m:r>
        <m:r>
          <m:t>θ</m:t>
        </m:r>
        <m:r>
          <m:rPr>
            <m:sty m:val="p"/>
          </m:rPr>
          <m:t>)</m:t>
        </m:r>
      </m:oMath>
      <w:r>
        <w:t xml:space="preserve"> </w:t>
      </w:r>
      <w:r>
        <w:t xml:space="preserve">as tracking a vendor’s training</w:t>
      </w:r>
      <w:r>
        <w:t xml:space="preserve"> </w:t>
      </w:r>
      <w:r>
        <w:t xml:space="preserve">distribution rather than raw capability, which makes the theory’s</w:t>
      </w:r>
      <w:r>
        <w:t xml:space="preserve"> </w:t>
      </w:r>
      <m:oMath>
        <m:r>
          <m:t>θ</m:t>
        </m:r>
      </m:oMath>
      <w:r>
        <w:t xml:space="preserve">-dependence concrete and</w:t>
      </w:r>
      <w:r>
        <w:t xml:space="preserve"> </w:t>
      </w:r>
      <w:r>
        <w:t xml:space="preserve">caps which cells verify per model.</w:t>
      </w:r>
    </w:p>
    <w:bookmarkEnd w:id="116"/>
    <w:bookmarkStart w:id="118"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w:t>
      </w:r>
      <w:r>
        <w:t xml:space="preserve"> </w:t>
      </w:r>
      <m:oMath>
        <m:sSub>
          <m:e>
            <m:r>
              <m:t>W</m:t>
            </m:r>
          </m:e>
          <m:sub>
            <m:r>
              <m:t>1</m:t>
            </m:r>
            <m:r>
              <m:rPr>
                <m:sty m:val="p"/>
              </m:rPr>
              <m:t>+</m:t>
            </m:r>
          </m:sub>
        </m:sSub>
      </m:oMath>
      <w:r>
        <w:t xml:space="preserve"> </w:t>
      </w:r>
      <w:r>
        <w:t xml:space="preserve">emits between</w:t>
      </w:r>
      <w:r>
        <w:t xml:space="preserve"> </w:t>
      </w:r>
      <m:oMath>
        <m:r>
          <m:rPr>
            <m:sty m:val="p"/>
          </m:rPr>
          <m:t>+</m:t>
        </m:r>
        <m:r>
          <m:t>87</m:t>
        </m:r>
        <m:r>
          <m:rPr>
            <m:sty m:val="p"/>
          </m:rPr>
          <m:t>%</m:t>
        </m:r>
      </m:oMath>
      <w:r>
        <w:t xml:space="preserve"> </w:t>
      </w:r>
      <w:r>
        <w:t xml:space="preserve">and</w:t>
      </w:r>
      <w:r>
        <w:t xml:space="preserve"> </w:t>
      </w:r>
      <m:oMath>
        <m:r>
          <m:rPr>
            <m:sty m:val="p"/>
          </m:rPr>
          <m:t>+</m:t>
        </m:r>
        <m:r>
          <m:t>281</m:t>
        </m:r>
        <m:r>
          <m:rPr>
            <m:sty m:val="p"/>
          </m:rPr>
          <m:t>%</m:t>
        </m:r>
      </m:oMath>
      <w:r>
        <w:t xml:space="preserve"> </w:t>
      </w:r>
      <w:r>
        <w:t xml:space="preserve">more output tokens than</w:t>
      </w:r>
      <w:r>
        <w:t xml:space="preserve"> </w:t>
      </w:r>
      <m:oMath>
        <m:sSub>
          <m:e>
            <m:r>
              <m:t>W</m:t>
            </m:r>
          </m:e>
          <m:sub>
            <m:r>
              <m:t>1</m:t>
            </m:r>
          </m:sub>
        </m:sSub>
      </m:oMath>
      <w:r>
        <w:t xml:space="preserve"> </w:t>
      </w:r>
      <w:r>
        <w:t xml:space="preserve">on the API collapse cells (e.g. Haiku</w:t>
      </w:r>
      <w:r>
        <w:t xml:space="preserve"> </w:t>
      </w:r>
      <m:oMath>
        <m:r>
          <m:rPr>
            <m:sty m:val="p"/>
          </m:rPr>
          <m:t>+</m:t>
        </m:r>
        <m:r>
          <m:t>106</m:t>
        </m:r>
        <m:r>
          <m:rPr>
            <m:sty m:val="p"/>
          </m:rPr>
          <m:t>%</m:t>
        </m:r>
        <m:r>
          <m:rPr>
            <m:sty m:val="p"/>
          </m:rPr>
          <m:t>/</m:t>
        </m:r>
        <m:r>
          <m:rPr>
            <m:sty m:val="p"/>
          </m:rPr>
          <m:t>+</m:t>
        </m:r>
        <m:r>
          <m:t>87</m:t>
        </m:r>
        <m:r>
          <m:rPr>
            <m:sty m:val="p"/>
          </m:rPr>
          <m:t>%</m:t>
        </m:r>
        <m:r>
          <m:rPr>
            <m:sty m:val="p"/>
          </m:rPr>
          <m:t>/</m:t>
        </m:r>
        <m:r>
          <m:rPr>
            <m:sty m:val="p"/>
          </m:rPr>
          <m:t>+</m:t>
        </m:r>
        <m:r>
          <m:t>252</m:t>
        </m:r>
        <m:r>
          <m:rPr>
            <m:sty m:val="p"/>
          </m:rPr>
          <m:t>%</m:t>
        </m:r>
      </m:oMath>
      <w:r>
        <w:t xml:space="preserve">; Sonnet</w:t>
      </w:r>
      <w:r>
        <w:t xml:space="preserve"> </w:t>
      </w:r>
      <m:oMath>
        <m:r>
          <m:rPr>
            <m:sty m:val="p"/>
          </m:rPr>
          <m:t>+</m:t>
        </m:r>
        <m:r>
          <m:t>120</m:t>
        </m:r>
        <m:r>
          <m:rPr>
            <m:sty m:val="p"/>
          </m:rPr>
          <m:t>%</m:t>
        </m:r>
        <m:r>
          <m:rPr>
            <m:sty m:val="p"/>
          </m:rPr>
          <m:t>/</m:t>
        </m:r>
        <m:r>
          <m:rPr>
            <m:sty m:val="p"/>
          </m:rPr>
          <m:t>+</m:t>
        </m:r>
        <m:r>
          <m:t>131</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One might read this as</w:t>
      </w:r>
      <w:r>
        <w:t xml:space="preserve"> </w:t>
      </w:r>
      <w:r>
        <w:t xml:space="preserve">“verbose thrashing”</w:t>
      </w:r>
      <w:r>
        <w:t xml:space="preserve"> </w:t>
      </w:r>
      <w:r>
        <w:t xml:space="preserve">causing the failure, but the relationship is correlational and uncontrolled: the</w:t>
      </w:r>
      <w:r>
        <w:t xml:space="preserve"> </w:t>
      </w:r>
      <w:r>
        <w:t xml:space="preserve">same superset arm also inflates output by</w:t>
      </w:r>
      <w:r>
        <w:t xml:space="preserve"> </w:t>
      </w:r>
      <m:oMath>
        <m:r>
          <m:rPr>
            <m:sty m:val="p"/>
          </m:rPr>
          <m:t>+</m:t>
        </m:r>
        <m:r>
          <m:t>12</m:t>
        </m:r>
        <m:r>
          <m:rPr>
            <m:sty m:val="p"/>
          </m:rPr>
          <m:t>%</m:t>
        </m:r>
      </m:oMath>
      <w:r>
        <w:t xml:space="preserve"> </w:t>
      </w:r>
      <w:r>
        <w:t xml:space="preserve">on the</w:t>
      </w:r>
      <w:r>
        <w:t xml:space="preserve"> </w:t>
      </w:r>
      <w:r>
        <w:rPr>
          <w:i/>
          <w:iCs/>
        </w:rPr>
        <w:t xml:space="preserve">still-passing</w:t>
      </w:r>
      <w:r>
        <w:t xml:space="preserve"> </w:t>
      </w:r>
      <w:r>
        <w:t xml:space="preserve">encoding cell, which</w:t>
      </w:r>
      <w:r>
        <w:t xml:space="preserve"> </w:t>
      </w:r>
      <w:r>
        <w:t xml:space="preserve">undercuts a clean</w:t>
      </w:r>
      <w:r>
        <w:t xml:space="preserve"> </w:t>
      </w:r>
      <w:r>
        <w:t xml:space="preserve">“verbosity causes collapse”</w:t>
      </w:r>
      <w:r>
        <w:t xml:space="preserve"> </w:t>
      </w:r>
      <w:r>
        <w:t xml:space="preserve">account. We therefore treat the token fingerprint as a</w:t>
      </w:r>
      <w:r>
        <w:t xml:space="preserve"> </w:t>
      </w:r>
      <w:r>
        <w:t xml:space="preserve">reproducible correlate of the harmful arm, not a mechanism.</w:t>
      </w:r>
    </w:p>
    <w:p>
      <w:pPr>
        <w:pStyle w:val="BodyText"/>
      </w:pPr>
      <w:r>
        <w:t xml:space="preserve">Two points bound what this paper can and cannot say about mechanism. First, the claim structure is</w:t>
      </w:r>
      <w:r>
        <w:t xml:space="preserve"> </w:t>
      </w:r>
      <w:r>
        <w:t xml:space="preserve">deliberately mechanism-agnostic: Theorem 3 verifies that the realized rule is not</w:t>
      </w:r>
      <w:r>
        <w:t xml:space="preserve"> </w:t>
      </w:r>
      <w:r>
        <w:t xml:space="preserve">Blackwell-coherent</w:t>
      </w:r>
      <w:r>
        <w:t xml:space="preserve"> </w:t>
      </w:r>
      <w:r>
        <w:rPr>
          <w:i/>
          <w:iCs/>
        </w:rPr>
        <w:t xml:space="preserve">whatever</w:t>
      </w:r>
      <w:r>
        <w:t xml:space="preserve"> </w:t>
      </w:r>
      <w:r>
        <w:t xml:space="preserve">the internal cause, and the behavioral controls already</w:t>
      </w:r>
      <w:r>
        <w:t xml:space="preserve"> </w:t>
      </w:r>
      <w:r>
        <w:t xml:space="preserve">constrain the hypothesis space from the outside, the harm is not position (order control), not</w:t>
      </w:r>
      <w:r>
        <w:t xml:space="preserve"> </w:t>
      </w:r>
      <w:r>
        <w:t xml:space="preserve">token count (padding control), and is largely, though not fully, curable by explicit convention</w:t>
      </w:r>
      <w:r>
        <w:t xml:space="preserve"> </w:t>
      </w:r>
      <w:r>
        <w:t xml:space="preserve">routing (instruction ablation), a signature consistent with convention interference or</w:t>
      </w:r>
      <w:r>
        <w:t xml:space="preserve"> </w:t>
      </w:r>
      <w:r>
        <w:t xml:space="preserve">mis-binding rather than capacity exhaustion. Second, an activation-level account is genuinely out</w:t>
      </w:r>
      <w:r>
        <w:t xml:space="preserve"> </w:t>
      </w:r>
      <w:r>
        <w:t xml:space="preserve">of reach for the objects studied here: four of the six models are closed-weight production APIs,</w:t>
      </w:r>
      <w:r>
        <w:t xml:space="preserve"> </w:t>
      </w:r>
      <w:r>
        <w:t xml:space="preserve">and the phenomenon is cross-vendor, so any internal story must generalize across architectures we</w:t>
      </w:r>
      <w:r>
        <w:t xml:space="preserve"> </w:t>
      </w:r>
      <w:r>
        <w:t xml:space="preserve">cannot open. The direct path to mechanism is to reproduce the collapse on an open-weight model</w:t>
      </w:r>
      <w:r>
        <w:t xml:space="preserve"> </w:t>
      </w:r>
      <w:r>
        <w:t xml:space="preserve">with the same harness (the launchers speak any OpenAI-compatible endpoint) and then instrument</w:t>
      </w:r>
      <w:r>
        <w:t xml:space="preserve"> </w:t>
      </w:r>
      <w:r>
        <w:t xml:space="preserve">attention and activation patterns on the contrasting arms; we regard this as the natural</w:t>
      </w:r>
      <w:r>
        <w:t xml:space="preserve"> </w:t>
      </w:r>
      <w:r>
        <w:t xml:space="preserve">mechanistic companion study, downstream of, not prerequisite to, the verified behavioral claim.</w:t>
      </w:r>
    </w:p>
    <w:bookmarkStart w:id="117" w:name="X37a5acb05d688eb32bbe54c216dbcf303d3b4c3"/>
    <w:p>
      <w:pPr>
        <w:pStyle w:val="Heading4"/>
      </w:pPr>
      <w:r>
        <w:t xml:space="preserve">Levels of description, and three readings of the phenomenon.</w:t>
      </w:r>
    </w:p>
    <w:p>
      <w:pPr>
        <w:pStyle w:val="FirstParagraph"/>
      </w:pPr>
      <w:r>
        <w:t xml:space="preserve">The partial order is a decision-theoretic, behavioral-level frame; it does not compete with a</w:t>
      </w:r>
      <w:r>
        <w:t xml:space="preserve"> </w:t>
      </w:r>
      <w:r>
        <w:t xml:space="preserve">computational account of how conditioning on added text changes the model’s processing. The two</w:t>
      </w:r>
      <w:r>
        <w:t xml:space="preserve"> </w:t>
      </w:r>
      <w:r>
        <w:t xml:space="preserve">are levels of description of the same event, and the verified behavioral facts are the</w:t>
      </w:r>
      <w:r>
        <w:t xml:space="preserve"> </w:t>
      </w:r>
      <w:r>
        <w:t xml:space="preserve">constraints any computational account must satisfy. Three interpretive readings are compatible</w:t>
      </w:r>
      <w:r>
        <w:t xml:space="preserve"> </w:t>
      </w:r>
      <w:r>
        <w:t xml:space="preserve">with the present data, and each is discriminable by a named experiment.</w:t>
      </w:r>
      <w:r>
        <w:t xml:space="preserve"> </w:t>
      </w:r>
      <w:r>
        <w:rPr>
          <w:b/>
          <w:bCs/>
        </w:rPr>
        <w:t xml:space="preserve">(i) A transient</w:t>
      </w:r>
      <w:r>
        <w:rPr>
          <w:b/>
          <w:bCs/>
        </w:rPr>
        <w:t xml:space="preserve"> </w:t>
      </w:r>
      <w:r>
        <w:rPr>
          <w:b/>
          <w:bCs/>
        </w:rPr>
        <w:t xml:space="preserve">failure of current models</w:t>
      </w:r>
      <w:r>
        <w:t xml:space="preserve">: discriminated by the coherence-versus-scale trajectory of</w:t>
      </w:r>
      <w:r>
        <w:t xml:space="preserve"> </w:t>
      </w:r>
      <w:r>
        <w:t xml:space="preserve">§8.3, if</w:t>
      </w:r>
      <w:r>
        <w:t xml:space="preserve"> </w:t>
      </w:r>
      <m:oMath>
        <m:sSub>
          <m:e>
            <m:r>
              <m:rPr>
                <m:sty m:val="p"/>
              </m:rPr>
              <m:t>Ψ</m:t>
            </m:r>
          </m:e>
          <m:sub>
            <m:r>
              <m:t>T</m:t>
            </m:r>
          </m:sub>
        </m:sSub>
      </m:oMath>
      <w:r>
        <w:t xml:space="preserve"> </w:t>
      </w:r>
      <w:r>
        <w:t xml:space="preserve">shrinks toward zero across model generations, the</w:t>
      </w:r>
      <w:r>
        <w:t xml:space="preserve"> </w:t>
      </w:r>
      <w:r>
        <w:t xml:space="preserve">anti-monotonicity half of the phenomenon was a passing artifact (the incomparability half, being</w:t>
      </w:r>
      <w:r>
        <w:t xml:space="preserve"> </w:t>
      </w:r>
      <w:r>
        <w:t xml:space="preserve">a property of the sources, remains).</w:t>
      </w:r>
      <w:r>
        <w:t xml:space="preserve"> </w:t>
      </w:r>
      <w:r>
        <w:rPr>
          <w:b/>
          <w:bCs/>
        </w:rPr>
        <w:t xml:space="preserve">(ii) A property of fixed-compute inference</w:t>
      </w:r>
      <w:r>
        <w:t xml:space="preserve">: a rule</w:t>
      </w:r>
      <w:r>
        <w:t xml:space="preserve"> </w:t>
      </w:r>
      <w:r>
        <w:t xml:space="preserve">that spends the same forward computation regardless of context configuration cannot be optimal</w:t>
      </w:r>
      <w:r>
        <w:t xml:space="preserve"> </w:t>
      </w:r>
      <w:r>
        <w:t xml:space="preserve">for every configuration, on this reading some coherence violation persists at every scale and</w:t>
      </w:r>
      <w:r>
        <w:t xml:space="preserve"> </w:t>
      </w:r>
      <w:r>
        <w:t xml:space="preserve">only relocates.</w:t>
      </w:r>
      <w:r>
        <w:t xml:space="preserve"> </w:t>
      </w:r>
      <w:r>
        <w:rPr>
          <w:b/>
          <w:bCs/>
        </w:rPr>
        <w:t xml:space="preserve">(iii) Prompts as programs</w:t>
      </w:r>
      <w:r>
        <w:t xml:space="preserve">: the added convention does not merely add</w:t>
      </w:r>
      <w:r>
        <w:t xml:space="preserve"> </w:t>
      </w:r>
      <w:r>
        <w:t xml:space="preserve">information, it selects a different computation; this reading is supported by the routing</w:t>
      </w:r>
      <w:r>
        <w:t xml:space="preserve"> </w:t>
      </w:r>
      <w:r>
        <w:t xml:space="preserve">result, a one-line control statement that adds no task-relevant information recovers most of the</w:t>
      </w:r>
      <w:r>
        <w:t xml:space="preserve"> </w:t>
      </w:r>
      <w:r>
        <w:t xml:space="preserve">collapse, and by the structured-context ablation, labeled XML segmentation of the same content</w:t>
      </w:r>
      <w:r>
        <w:t xml:space="preserve"> </w:t>
      </w:r>
      <w:r>
        <w:t xml:space="preserve">recovers only a minority of the collapse (</w:t>
      </w:r>
      <m:oMath>
        <m:r>
          <m:t>2</m:t>
        </m:r>
        <m:r>
          <m:rPr>
            <m:sty m:val="p"/>
          </m:rPr>
          <m:t>%</m:t>
        </m:r>
        <m:r>
          <m:rPr>
            <m:sty m:val="p"/>
          </m:rPr>
          <m:t>→</m:t>
        </m:r>
        <m:r>
          <m:t>42</m:t>
        </m:r>
        <m:r>
          <m:rPr>
            <m:sty m:val="p"/>
          </m:rPr>
          <m:t>%</m:t>
        </m:r>
      </m:oMath>
      <w:r>
        <w:t xml:space="preserve">) while the routing statement recovers most</w:t>
      </w:r>
      <w:r>
        <w:t xml:space="preserve"> </w:t>
      </w:r>
      <w:r>
        <w:t xml:space="preserve">of it (</w:t>
      </w:r>
      <m:oMath>
        <m:r>
          <m:rPr>
            <m:sty m:val="p"/>
          </m:rPr>
          <m:t>→</m:t>
        </m:r>
        <m:r>
          <m:t>80</m:t>
        </m:r>
        <m:r>
          <m:rPr>
            <m:sty m:val="p"/>
          </m:rPr>
          <m:t>%</m:t>
        </m:r>
      </m:oMath>
      <w:r>
        <w:t xml:space="preserve">), locating the operative variable in convention-to-task</w:t>
      </w:r>
      <w:r>
        <w:t xml:space="preserve"> </w:t>
      </w:r>
      <w:r>
        <w:rPr>
          <w:i/>
          <w:iCs/>
        </w:rPr>
        <w:t xml:space="preserve">routing</w:t>
      </w:r>
      <w:r>
        <w:t xml:space="preserve"> </w:t>
      </w:r>
      <w:r>
        <w:t xml:space="preserve">rather</w:t>
      </w:r>
      <w:r>
        <w:t xml:space="preserve"> </w:t>
      </w:r>
      <w:r>
        <w:t xml:space="preserve">than formatting or segmentation. We state these as interpretations, not findings; every verified</w:t>
      </w:r>
      <w:r>
        <w:t xml:space="preserve"> </w:t>
      </w:r>
      <w:r>
        <w:t xml:space="preserve">claim in the paper is independent of which reading is true.</w:t>
      </w:r>
    </w:p>
    <w:bookmarkEnd w:id="117"/>
    <w:bookmarkEnd w:id="118"/>
    <w:bookmarkStart w:id="125"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19"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with its guarantees and evaluation against strong reranker baselines, is factored into a</w:t>
      </w:r>
      <w:r>
        <w:t xml:space="preserve"> </w:t>
      </w:r>
      <w:r>
        <w:t xml:space="preserve">companion paper.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w:t>
      </w:r>
    </w:p>
    <w:bookmarkEnd w:id="119"/>
    <w:bookmarkStart w:id="120"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interference is verified in sign</w:t>
      </w:r>
      <w:r>
        <w:t xml:space="preserve"> </w:t>
      </w:r>
      <w:r>
        <w:t xml:space="preserve">(</w:t>
      </w:r>
      <m:oMath>
        <m:sSub>
          <m:e>
            <m:r>
              <m:rPr>
                <m:sty m:val="p"/>
              </m:rPr>
              <m:t>Ψ</m:t>
            </m:r>
          </m:e>
          <m:sub>
            <m:r>
              <m:t>T</m:t>
            </m:r>
          </m:sub>
        </m:sSub>
        <m:r>
          <m:rPr>
            <m:sty m:val="p"/>
          </m:rPr>
          <m:t>&lt;</m:t>
        </m:r>
        <m:r>
          <m:t>0</m:t>
        </m:r>
      </m:oMath>
      <w:r>
        <w:t xml:space="preserve"> </w:t>
      </w:r>
      <w:r>
        <w:t xml:space="preserve">at</w:t>
      </w:r>
      <w:r>
        <w:t xml:space="preserve"> </w:t>
      </w:r>
      <m:oMath>
        <m:r>
          <m:t>n</m:t>
        </m:r>
        <m:r>
          <m:rPr>
            <m:sty m:val="p"/>
          </m:rPr>
          <m:t>=</m:t>
        </m:r>
        <m:r>
          <m:t>80</m:t>
        </m:r>
      </m:oMath>
      <w:r>
        <w:t xml:space="preserve">) but not at the</w:t>
      </w:r>
      <w:r>
        <w:t xml:space="preserve"> </w:t>
      </w:r>
      <m:oMath>
        <m:r>
          <m:t>τ</m:t>
        </m:r>
        <m:r>
          <m:rPr>
            <m:sty m:val="p"/>
          </m:rPr>
          <m:t>=</m:t>
        </m:r>
        <m:r>
          <m:t>0.30</m:t>
        </m:r>
      </m:oMath>
      <w:r>
        <w:t xml:space="preserve"> </w:t>
      </w:r>
      <w:r>
        <w:t xml:space="preserve">margin, its</w:t>
      </w:r>
      <w:r>
        <w:t xml:space="preserve"> </w:t>
      </w:r>
      <m:oMath>
        <m:r>
          <m:t>80</m:t>
        </m:r>
        <m:r>
          <m:rPr>
            <m:sty m:val="p"/>
          </m:rPr>
          <m:t>%</m:t>
        </m:r>
      </m:oMath>
      <w:r>
        <w:t xml:space="preserve"> </w:t>
      </w:r>
      <m:oMath>
        <m:sSub>
          <m:e>
            <m:r>
              <m:t>V</m:t>
            </m:r>
          </m:e>
          <m:sub>
            <m:r>
              <m:t>1</m:t>
            </m:r>
          </m:sub>
        </m:sSub>
      </m:oMath>
      <w:r>
        <w:t xml:space="preserve"> </w:t>
      </w:r>
      <w:r>
        <w:t xml:space="preserve">ceiling keeps the</w:t>
      </w:r>
      <w:r>
        <w:t xml:space="preserve"> </w:t>
      </w:r>
      <w:r>
        <w:t xml:space="preserve">four-term bound wide;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20"/>
    <w:bookmarkStart w:id="121"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Ψ</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21"/>
    <w:bookmarkStart w:id="122"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 and measuring verified-incomparability prevalence on natural</w:t>
      </w:r>
      <w:r>
        <w:t xml:space="preserve"> </w:t>
      </w:r>
      <w:r>
        <w:t xml:space="preserve">document pairs is the direct next experiment.</w:t>
      </w:r>
    </w:p>
    <w:bookmarkEnd w:id="122"/>
    <w:bookmarkStart w:id="123"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which holds because each draw is an independent</w:t>
      </w:r>
      <w:r>
        <w:t xml:space="preserve"> </w:t>
      </w:r>
      <w:r>
        <w:t xml:space="preserve">single-shot call (protocol in Appendix C). Interference is verifiable only on cells</w:t>
      </w:r>
      <w:r>
        <w:t xml:space="preserve"> </w:t>
      </w:r>
      <w:r>
        <w:t xml:space="preserve">whose</w:t>
      </w:r>
      <w:r>
        <w:t xml:space="preserve"> </w:t>
      </w:r>
      <w:r>
        <w:rPr>
          <w:rStyle w:val="VerbatimChar"/>
        </w:rPr>
        <w:t xml:space="preserve">none</w:t>
      </w:r>
      <w:r>
        <w:t xml:space="preserve"> </w:t>
      </w:r>
      <w:r>
        <w:t xml:space="preserve">baseline floors near zero, stated as a protocol (Remark 6);</w:t>
      </w:r>
      <w:r>
        <w:t xml:space="preserve"> </w:t>
      </w:r>
      <w:r>
        <w:t xml:space="preserve">marginal-versus-joint control is discussed in §8.2.</w:t>
      </w:r>
    </w:p>
    <w:bookmarkEnd w:id="123"/>
    <w:bookmarkStart w:id="124"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24"/>
    <w:bookmarkEnd w:id="125"/>
    <w:bookmarkEnd w:id="126"/>
    <w:bookmarkStart w:id="127" w:name="sec:conclusion"/>
    <w:p>
      <w:pPr>
        <w:pStyle w:val="Heading1"/>
      </w:pPr>
      <w:r>
        <w:t xml:space="preserve">Conclusion</w:t>
      </w:r>
    </w:p>
    <w:p>
      <w:pPr>
        <w:pStyle w:val="FirstParagraph"/>
      </w:pPr>
      <w:r>
        <w:t xml:space="preserve">Context selection is, at bottom, a partial-order problem, not a scalar one. When two sources are</w:t>
      </w:r>
      <w:r>
        <w:t xml:space="preserve"> </w:t>
      </w:r>
      <w:r>
        <w:t xml:space="preserve">incomparable, no scalar score can rank them correctly for all tasks (Theorem 2),</w:t>
      </w:r>
      <w:r>
        <w:t xml:space="preserve"> </w:t>
      </w:r>
      <w:r>
        <w:t xml:space="preserve">which explains the field’s</w:t>
      </w:r>
      <w:r>
        <w:t xml:space="preserve"> </w:t>
      </w:r>
      <w:r>
        <w:t xml:space="preserve">“relevance does not transfer”</w:t>
      </w:r>
      <w:r>
        <w:t xml:space="preserve"> </w:t>
      </w:r>
      <w:r>
        <w:t xml:space="preserve">folklore.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five of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 and</w:t>
      </w:r>
      <w:r>
        <w:t xml:space="preserve"> </w:t>
      </w:r>
      <w:r>
        <w:t xml:space="preserve">tracks a vendor’s training rather than raw capability.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2.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length-matched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a theorem about</w:t>
      </w:r>
      <w:r>
        <w:t xml:space="preserve"> </w:t>
      </w:r>
      <w:r>
        <w:rPr>
          <w:i/>
          <w:iCs/>
        </w:rPr>
        <w:t xml:space="preserve">cheap</w:t>
      </w:r>
      <w:r>
        <w:t xml:space="preserve"> </w:t>
      </w:r>
      <w:r>
        <w:t xml:space="preserve">selection: per-source scalars</w:t>
      </w:r>
      <w:r>
        <w:t xml:space="preserve"> </w:t>
      </w:r>
      <w:r>
        <w:t xml:space="preserve">(Theorem 2) and topical query-conditioned scores</w:t>
      </w:r>
      <w:r>
        <w:t xml:space="preserve"> </w:t>
      </w:r>
      <w:r>
        <w:t xml:space="preserve">(Proposition 2), not all context selection.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The hierarchy is computational: scalar scores cannot represent</w:t>
      </w:r>
      <w:r>
        <w:t xml:space="preserve"> </w:t>
      </w:r>
      <w:r>
        <w:t xml:space="preserve">the order, and probes that read content can measure it, at probe cost.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27"/>
    <w:bookmarkStart w:id="139" w:name="app:proofs"/>
    <w:p>
      <w:pPr>
        <w:pStyle w:val="Heading1"/>
      </w:pPr>
      <w:r>
        <w:t xml:space="preserve">Deferred proofs and technical material</w:t>
      </w:r>
    </w:p>
    <w:bookmarkStart w:id="128"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28"/>
    <w:bookmarkStart w:id="129"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But</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the first inequality because</w:t>
      </w:r>
      <w:r>
        <w:t xml:space="preserve"> </w:t>
      </w:r>
      <w:r>
        <w:t xml:space="preserve">the optimal rule weakly improves on any fixed rule, the second by hypothesis, a contradiction.</w:t>
      </w:r>
      <w:r>
        <w:t xml:space="preserve"> </w:t>
      </w:r>
      <w:r>
        <w:t xml:space="preserve">Hence</w:t>
      </w:r>
      <w:r>
        <w:t xml:space="preserve"> </w:t>
      </w:r>
      <m:oMath>
        <m:sSub>
          <m:e>
            <m:r>
              <m:t>W</m:t>
            </m:r>
          </m:e>
          <m:sub>
            <m:r>
              <m:t>2</m:t>
            </m:r>
          </m:sub>
        </m:sSub>
        <m:sSub>
          <m:e>
            <m:r>
              <m:rPr>
                <m:sty m:val="p"/>
              </m:rPr>
              <m:t>⋡</m:t>
            </m:r>
          </m:e>
          <m:sub>
            <m:r>
              <m:t>B</m:t>
            </m:r>
          </m:sub>
        </m:sSub>
        <m:sSub>
          <m:e>
            <m:r>
              <m:t>W</m:t>
            </m:r>
          </m:e>
          <m:sub>
            <m:r>
              <m:t>1</m:t>
            </m:r>
          </m:sub>
        </m:sSub>
      </m:oMath>
      <w:r>
        <w:t xml:space="preserve">. Symmetrically,</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r>
          <m:rPr>
            <m:sty m:val="p"/>
          </m:rPr>
          <m: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Neither dominance direction holds,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The caps are essential: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 Blackwell</w:t>
      </w:r>
      <w:r>
        <w:t xml:space="preserve"> </w:t>
      </w:r>
      <w:r>
        <w:rPr>
          <w:i/>
          <w:iCs/>
        </w:rPr>
        <w:t xml:space="preserve">equivalence</w:t>
      </w:r>
      <w:r>
        <w:t xml:space="preserve">, since a fixed rule keyed to one signal’s surface form can under-perform on</w:t>
      </w:r>
      <w:r>
        <w:t xml:space="preserve"> </w:t>
      </w:r>
      <w:r>
        <w:t xml:space="preserve">the other, exactly the non-coherence phenomenon Theorem 3 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29"/>
    <w:bookmarkStart w:id="130"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2, cannot rank a Blackwell-incomparable pair correctly</w:t>
      </w:r>
      <w:r>
        <w:t xml:space="preserve"> </w:t>
      </w:r>
      <w:r>
        <w:t xml:space="preserve">for all tasks. ◻</w:t>
      </w:r>
    </w:p>
    <w:bookmarkEnd w:id="130"/>
    <w:bookmarkStart w:id="131"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w:t>
      </w:r>
      <w:hyperlink w:anchor="ref-clopperpearson1934">
        <w:r>
          <w:rPr>
            <w:rStyle w:val="Hyperlink"/>
          </w:rPr>
          <w:t xml:space="preserve">Clopper and Pearson 1934</w:t>
        </w:r>
      </w:hyperlink>
      <w:r>
        <w:t xml:space="preserve">)</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31"/>
    <w:bookmarkStart w:id="132" w:name="proof-of-proposition-4"/>
    <w:p>
      <w:pPr>
        <w:pStyle w:val="Heading2"/>
      </w:pPr>
      <w:r>
        <w:t xml:space="preserve">Proof of Proposition 4</w:t>
      </w:r>
    </w:p>
    <w:p>
      <w:pPr>
        <w:pStyle w:val="FirstParagraph"/>
      </w:pPr>
      <w:r>
        <w:rPr>
          <w:i/>
          <w:iCs/>
        </w:rPr>
        <w:t xml:space="preserve">Proof.</w:t>
      </w:r>
      <w:r>
        <w:t xml:space="preserve"> </w:t>
      </w:r>
      <w:r>
        <w:t xml:space="preserve">The four arms are independent Bernoulli samples (separate completions), so on the intersection of</w:t>
      </w:r>
      <w:r>
        <w:t xml:space="preserve"> </w:t>
      </w:r>
      <w:r>
        <w:t xml:space="preserve">the four Clopper–Pearson events, probability</w:t>
      </w:r>
      <w:r>
        <w:t xml:space="preserve"> </w:t>
      </w:r>
      <m:oMath>
        <m:r>
          <m:rPr>
            <m:sty m:val="p"/>
          </m:rPr>
          <m:t>≥</m:t>
        </m:r>
        <m:r>
          <m:t>1</m:t>
        </m:r>
        <m:r>
          <m:rPr>
            <m:sty m:val="p"/>
          </m:rPr>
          <m:t>−</m:t>
        </m:r>
        <m:r>
          <m:t>4</m:t>
        </m:r>
        <m:r>
          <m:t>α</m:t>
        </m:r>
        <m:r>
          <m:rPr>
            <m:sty m:val="p"/>
          </m:rPr>
          <m:t>=</m:t>
        </m:r>
        <m:r>
          <m:t>1</m:t>
        </m:r>
        <m:r>
          <m:rPr>
            <m:sty m:val="p"/>
          </m:rPr>
          <m:t>−</m:t>
        </m:r>
        <m:r>
          <m:t>η</m:t>
        </m:r>
      </m:oMath>
      <w:r>
        <w:t xml:space="preserve"> </w:t>
      </w:r>
      <w:r>
        <w:t xml:space="preserve">by the union</w:t>
      </w:r>
      <w:r>
        <w:t xml:space="preserve"> </w:t>
      </w:r>
      <w:r>
        <w:t xml:space="preserve">bound, each true proportion lies in its interval. Substituting the coverage-respecting endpoint for</w:t>
      </w:r>
      <w:r>
        <w:t xml:space="preserve"> </w:t>
      </w:r>
      <w:r>
        <w:t xml:space="preserve">each term of (6) (upper endpoints for the positively-signed</w:t>
      </w:r>
      <w:r>
        <w:t xml:space="preserve"> </w:t>
      </w:r>
      <m:oMath>
        <m:sSub>
          <m:e>
            <m:r>
              <m:t>p</m:t>
            </m:r>
          </m:e>
          <m:sub>
            <m:sSub>
              <m:e>
                <m:r>
                  <m:t>W</m:t>
                </m:r>
              </m:e>
              <m:sub>
                <m:r>
                  <m:t>1</m:t>
                </m:r>
                <m:r>
                  <m:rPr>
                    <m:sty m:val="p"/>
                  </m:rPr>
                  <m:t>+</m:t>
                </m:r>
              </m:sub>
            </m:sSub>
          </m:sub>
        </m:sSub>
        <m:r>
          <m:rPr>
            <m:sty m:val="p"/>
          </m:rPr>
          <m:t>,</m:t>
        </m:r>
        <m:sSub>
          <m:e>
            <m:r>
              <m:t>p</m:t>
            </m:r>
          </m:e>
          <m:sub>
            <m:r>
              <m:rPr>
                <m:nor/>
                <m:scr m:val="monospace"/>
                <m:sty m:val="p"/>
              </m:rPr>
              <m:t>none</m:t>
            </m:r>
          </m:sub>
        </m:sSub>
      </m:oMath>
      <w:r>
        <w:t xml:space="preserve">, lower endpoints for the negatively-signed</w:t>
      </w:r>
      <w:r>
        <w:t xml:space="preserve"> </w:t>
      </w:r>
      <m:oMath>
        <m:sSub>
          <m:e>
            <m:r>
              <m:t>p</m:t>
            </m:r>
          </m:e>
          <m:sub>
            <m:sSub>
              <m:e>
                <m:r>
                  <m:t>W</m:t>
                </m:r>
              </m:e>
              <m:sub>
                <m:r>
                  <m:t>1</m:t>
                </m:r>
              </m:sub>
            </m:sSub>
          </m:sub>
        </m:sSub>
        <m:r>
          <m:rPr>
            <m:sty m:val="p"/>
          </m:rPr>
          <m:t>,</m:t>
        </m:r>
        <m:sSub>
          <m:e>
            <m:r>
              <m:t>p</m:t>
            </m:r>
          </m:e>
          <m:sub>
            <m:sSub>
              <m:e>
                <m:r>
                  <m:t>W</m:t>
                </m:r>
              </m:e>
              <m:sub>
                <m:r>
                  <m:t>2</m:t>
                </m:r>
              </m:sub>
            </m:sSub>
          </m:sub>
        </m:sSub>
      </m:oMath>
      <w:r>
        <w:t xml:space="preserve">) gives</w:t>
      </w:r>
      <w:r>
        <w:t xml:space="preserve"> </w:t>
      </w:r>
      <m:oMath>
        <m:sSub>
          <m:e>
            <m:r>
              <m:rPr>
                <m:sty m:val="p"/>
              </m:rPr>
              <m:t>Ψ</m:t>
            </m:r>
          </m:e>
          <m:sub>
            <m:sSup>
              <m:e>
                <m:r>
                  <m:t>T</m:t>
                </m:r>
              </m:e>
              <m:sup>
                <m:r>
                  <m:rPr>
                    <m:sty m:val="p"/>
                  </m:rPr>
                  <m:t>⋆</m:t>
                </m:r>
              </m:sup>
            </m:sSup>
          </m:sub>
        </m:sSub>
        <m:r>
          <m:rPr>
            <m:sty m:val="p"/>
          </m:rPr>
          <m:t>≤</m:t>
        </m:r>
        <m:sSub>
          <m:e>
            <m:bar>
              <m:barPr>
                <m:pos m:val="top"/>
              </m:barPr>
              <m:e>
                <m:r>
                  <m:rPr>
                    <m:sty m:val="p"/>
                  </m:rPr>
                  <m:t>Ψ</m:t>
                </m:r>
              </m:e>
            </m:bar>
          </m:e>
          <m:sub>
            <m:sSup>
              <m:e>
                <m:r>
                  <m:t>T</m:t>
                </m:r>
              </m:e>
              <m:sup>
                <m:r>
                  <m:rPr>
                    <m:sty m:val="p"/>
                  </m:rPr>
                  <m:t>⋆</m:t>
                </m:r>
              </m:sup>
            </m:sSup>
          </m:sub>
        </m:sSub>
      </m:oMath>
      <w:r>
        <w:t xml:space="preserve"> </w:t>
      </w:r>
      <w:r>
        <w:t xml:space="preserve">on that event. For a post-hoc selected cell, replacing</w:t>
      </w:r>
      <w:r>
        <w:t xml:space="preserve"> </w:t>
      </w:r>
      <m:oMath>
        <m:r>
          <m:t>α</m:t>
        </m:r>
      </m:oMath>
      <w:r>
        <w:t xml:space="preserve"> </w:t>
      </w:r>
      <w:r>
        <w:t xml:space="preserve">by</w:t>
      </w:r>
      <w:r>
        <w:t xml:space="preserve"> </w:t>
      </w:r>
      <m:oMath>
        <m:r>
          <m:t>η</m:t>
        </m:r>
        <m:r>
          <m:rPr>
            <m:sty m:val="p"/>
          </m:rPr>
          <m:t>/</m:t>
        </m:r>
        <m:r>
          <m:rPr>
            <m:sty m:val="p"/>
          </m:rPr>
          <m:t>(</m:t>
        </m:r>
        <m:r>
          <m:t>4</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4</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32"/>
    <w:bookmarkStart w:id="133"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By Theorem 1 any rule whose value respects</w:t>
      </w:r>
      <w:r>
        <w:t xml:space="preserve"> </w:t>
      </w:r>
      <m:oMath>
        <m:sSub>
          <m:e>
            <m:r>
              <m:rPr>
                <m:sty m:val="p"/>
              </m:rPr>
              <m:t>≽</m:t>
            </m:r>
          </m:e>
          <m:sub>
            <m:r>
              <m:t>B</m:t>
            </m:r>
          </m:sub>
        </m:sSub>
      </m:oMath>
      <w:r>
        <w:t xml:space="preserve"> </w:t>
      </w:r>
      <w:r>
        <w:t xml:space="preserve">weakly improves under the dominating experiment. The hypothesized strict decrease</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contradicts monotonicity, so</w:t>
      </w:r>
      <w:r>
        <w:t xml:space="preserve"> </w:t>
      </w:r>
      <m:oMath>
        <m:sSub>
          <m:e>
            <m:r>
              <m:t>δ</m:t>
            </m:r>
          </m:e>
          <m:sub>
            <m:r>
              <m:t>M</m:t>
            </m:r>
          </m:sub>
        </m:sSub>
      </m:oMath>
      <w:r>
        <w:t xml:space="preserve"> </w:t>
      </w:r>
      <w:r>
        <w:t xml:space="preserve">is not Blackwell-coherent. A monotone-submodular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33"/>
    <w:bookmarkStart w:id="135" w:name="why-a-naive-dkw-bound-fails"/>
    <w:p>
      <w:pPr>
        <w:pStyle w:val="Heading2"/>
      </w:pPr>
      <w:r>
        <w:t xml:space="preserve">Why a naive DKW bound fails</w:t>
      </w:r>
    </w:p>
    <w:bookmarkStart w:id="134" w:name="rem:dkw"/>
    <w:p>
      <w:pPr>
        <w:pStyle w:val="FirstParagraph"/>
      </w:pPr>
      <w:r>
        <w:rPr>
          <w:i/>
          <w:iCs/>
        </w:rPr>
        <w:t xml:space="preserve">Remark 7</w:t>
      </w:r>
      <w:r>
        <w:t xml:space="preserve"> </w:t>
      </w:r>
      <w:r>
        <w:t xml:space="preserve">(Why a naive DKW bound fails).</w:t>
      </w:r>
      <w:r>
        <w:t xml:space="preserve"> </w:t>
      </w:r>
      <w:r>
        <w:t xml:space="preserve"> </w:t>
      </w:r>
      <w:r>
        <w:t xml:space="preserve">The Dvoretzky–Kiefer–Wolfowitz inequality </w:t>
      </w:r>
      <w:r>
        <w:t xml:space="preserve">(</w:t>
      </w:r>
      <w:hyperlink w:anchor="ref-dvoretzky1956">
        <w:r>
          <w:rPr>
            <w:rStyle w:val="Hyperlink"/>
          </w:rPr>
          <w:t xml:space="preserve">Dvoretzky et al. 1956</w:t>
        </w:r>
      </w:hyperlink>
      <w:r>
        <w:t xml:space="preserve">)</w:t>
      </w:r>
      <w:r>
        <w:t xml:space="preserve"> </w:t>
      </w:r>
      <w:r>
        <w:t xml:space="preserve">bounds the sup-deviation of</w:t>
      </w:r>
      <w:r>
        <w:t xml:space="preserve"> </w:t>
      </w:r>
      <w:r>
        <w:rPr>
          <w:i/>
          <w:iCs/>
        </w:rPr>
        <w:t xml:space="preserve">one</w:t>
      </w:r>
      <w:r>
        <w:t xml:space="preserve"> </w:t>
      </w:r>
      <w:r>
        <w:t xml:space="preserve">empirical CDF from</w:t>
      </w:r>
      <w:r>
        <w:t xml:space="preserve"> </w:t>
      </w:r>
      <w:r>
        <w:rPr>
          <w:i/>
          <w:iCs/>
        </w:rPr>
        <w:t xml:space="preserve">its own</w:t>
      </w:r>
      <w:r>
        <w:t xml:space="preserve"> </w:t>
      </w:r>
      <w:r>
        <w:t xml:space="preserve">population CDF over a single i.i.d. sample. Our object</w:t>
      </w:r>
      <w:r>
        <w:t xml:space="preserve"> </w:t>
      </w:r>
      <w:r>
        <w:t xml:space="preserve">is different in two ways that DKW does not handle: it is a</w:t>
      </w:r>
      <w:r>
        <w:t xml:space="preserve"> </w:t>
      </w:r>
      <m:oMath>
        <m:r>
          <m:rPr>
            <m:sty m:val="p"/>
          </m:rPr>
          <m:t>max</m:t>
        </m:r>
      </m:oMath>
      <w:r>
        <w:t xml:space="preserve"> </w:t>
      </w:r>
      <w:r>
        <w:t xml:space="preserve">over</w:t>
      </w:r>
      <w:r>
        <w:t xml:space="preserve"> </w:t>
      </w:r>
      <m:oMath>
        <m:r>
          <m:rPr>
            <m:sty m:val="p"/>
          </m:rPr>
          <m:t>|</m:t>
        </m:r>
        <m:r>
          <m:rPr>
            <m:scr m:val="script"/>
            <m:sty m:val="p"/>
          </m:rPr>
          <m:t>D</m:t>
        </m:r>
        <m:r>
          <m:rPr>
            <m:sty m:val="p"/>
          </m:rPr>
          <m:t>|</m:t>
        </m:r>
      </m:oMath>
      <w:r>
        <w:t xml:space="preserve"> </w:t>
      </w:r>
      <w:r>
        <w:rPr>
          <w:i/>
          <w:iCs/>
        </w:rPr>
        <w:t xml:space="preserve">differences of</w:t>
      </w:r>
      <w:r>
        <w:rPr>
          <w:i/>
          <w:iCs/>
        </w:rPr>
        <w:t xml:space="preserve"> </w:t>
      </w:r>
      <w:r>
        <w:rPr>
          <w:i/>
          <w:iCs/>
        </w:rPr>
        <w:t xml:space="preserve">two binomial means across distinct cells</w:t>
      </w:r>
      <w:r>
        <w:t xml:space="preserve">, and the</w:t>
      </w:r>
      <w:r>
        <w:t xml:space="preserve"> </w:t>
      </w:r>
      <m:oMath>
        <m:r>
          <m:rPr>
            <m:sty m:val="p"/>
          </m:rPr>
          <m:t>max</m:t>
        </m:r>
      </m:oMath>
      <w:r>
        <w:t xml:space="preserve"> </w:t>
      </w:r>
      <w:r>
        <w:rPr>
          <w:i/>
          <w:iCs/>
        </w:rPr>
        <w:t xml:space="preserve">selects</w:t>
      </w:r>
      <w:r>
        <w:t xml:space="preserve"> </w:t>
      </w:r>
      <w:r>
        <w:t xml:space="preserve">the argmax-gap cell. A</w:t>
      </w:r>
      <w:r>
        <w:t xml:space="preserve"> </w:t>
      </w:r>
      <w:r>
        <w:t xml:space="preserve">single-sample sup inequality neither spans distinct cells nor pays for the selection, so its nominal</w:t>
      </w:r>
      <w:r>
        <w:t xml:space="preserve"> </w:t>
      </w:r>
      <w:r>
        <w:t xml:space="preserve">level under-covers a supremum over</w:t>
      </w:r>
      <w:r>
        <w:t xml:space="preserve"> </w:t>
      </w:r>
      <m:oMath>
        <m:r>
          <m:rPr>
            <m:sty m:val="p"/>
          </m:rPr>
          <m:t>|</m:t>
        </m:r>
        <m:r>
          <m:rPr>
            <m:scr m:val="script"/>
            <m:sty m:val="p"/>
          </m:rPr>
          <m:t>D</m:t>
        </m:r>
        <m:r>
          <m:rPr>
            <m:sty m:val="p"/>
          </m:rPr>
          <m:t>|</m:t>
        </m:r>
      </m:oMath>
      <w:r>
        <w:t xml:space="preserve"> </w:t>
      </w:r>
      <w:r>
        <w:t xml:space="preserve">comparisons; the Type-I error grows with</w:t>
      </w:r>
      <w:r>
        <w:t xml:space="preserve"> </w:t>
      </w:r>
      <m:oMath>
        <m:r>
          <m:rPr>
            <m:sty m:val="p"/>
          </m:rPr>
          <m:t>|</m:t>
        </m:r>
        <m:r>
          <m:rPr>
            <m:scr m:val="script"/>
            <m:sty m:val="p"/>
          </m:rPr>
          <m:t>D</m:t>
        </m:r>
        <m:r>
          <m:rPr>
            <m:sty m:val="p"/>
          </m:rPr>
          <m:t>|</m:t>
        </m:r>
      </m:oMath>
      <w:r>
        <w:t xml:space="preserve">. The</w:t>
      </w:r>
      <w:r>
        <w:t xml:space="preserve"> </w:t>
      </w:r>
      <w:r>
        <w:t xml:space="preserve">multiplicity must be paid explicitly via the union bound (Proposition 3), not</w:t>
      </w:r>
      <w:r>
        <w:t xml:space="preserve"> </w:t>
      </w:r>
      <w:r>
        <w:t xml:space="preserve">absorbed into a single-sample DKW envelope.</w:t>
      </w:r>
    </w:p>
    <w:bookmarkEnd w:id="134"/>
    <w:bookmarkEnd w:id="135"/>
    <w:bookmarkStart w:id="137" w:name="relation-to-llm-evaluation-statistics"/>
    <w:p>
      <w:pPr>
        <w:pStyle w:val="Heading2"/>
      </w:pPr>
      <w:r>
        <w:t xml:space="preserve">Relation to LLM-evaluation statistics</w:t>
      </w:r>
    </w:p>
    <w:bookmarkStart w:id="136" w:name="rem:evalstats"/>
    <w:p>
      <w:pPr>
        <w:pStyle w:val="FirstParagraph"/>
      </w:pPr>
      <w:r>
        <w:rPr>
          <w:i/>
          <w:iCs/>
        </w:rPr>
        <w:t xml:space="preserve">Remark 8</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w:t>
      </w:r>
      <w:hyperlink w:anchor="ref-miller2024errorbars">
        <w:r>
          <w:rPr>
            <w:rStyle w:val="Hyperlink"/>
          </w:rPr>
          <w:t xml:space="preserve">Miller 2024</w:t>
        </w:r>
      </w:hyperlink>
      <w:r>
        <w:t xml:space="preserve">)</w:t>
      </w:r>
      <w:r>
        <w:t xml:space="preserve">, two-sample tests verifying behavioral differences between</w:t>
      </w:r>
      <w:r>
        <w:t xml:space="preserve"> </w:t>
      </w:r>
      <w:r>
        <w:t xml:space="preserve">API-served models </w:t>
      </w:r>
      <w:r>
        <w:t xml:space="preserve">(</w:t>
      </w:r>
      <w:hyperlink w:anchor="ref-gao2024modelequality">
        <w:r>
          <w:rPr>
            <w:rStyle w:val="Hyperlink"/>
          </w:rPr>
          <w:t xml:space="preserve">Gao et al. 2025</w:t>
        </w:r>
      </w:hyperlink>
      <w:r>
        <w:t xml:space="preserve">)</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w:t>
      </w:r>
      <w:hyperlink w:anchor="ref-bowyer2025clt">
        <w:r>
          <w:rPr>
            <w:rStyle w:val="Hyperlink"/>
          </w:rPr>
          <w:t xml:space="preserve">Bowyer et al. 2025</w:t>
        </w:r>
      </w:hyperlink>
      <w:r>
        <w:t xml:space="preserve">)</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36"/>
    <w:bookmarkEnd w:id="137"/>
    <w:bookmarkStart w:id="138" w:name="subsec:power"/>
    <w:p>
      <w:pPr>
        <w:pStyle w:val="Heading2"/>
      </w:pPr>
      <w:r>
        <w:t xml:space="preserve">Power and the role of</w:t>
      </w:r>
      <w:r>
        <w:t xml:space="preserve"> </w:t>
      </w:r>
      <m:oMath>
        <m:r>
          <m:t>n</m:t>
        </m:r>
      </m:oMath>
    </w:p>
    <w:p>
      <w:pPr>
        <w:pStyle w:val="FirstParagraph"/>
      </w:pPr>
      <w:r>
        <w:t xml:space="preserve">The two verifications have different effective-</w:t>
      </w:r>
      <m:oMath>
        <m:r>
          <m:t>n</m:t>
        </m:r>
      </m:oMath>
      <w:r>
        <w:t xml:space="preserve"> </w:t>
      </w:r>
      <w:r>
        <w:t xml:space="preserve">requirements, which is why at a common</w:t>
      </w:r>
      <w:r>
        <w:t xml:space="preserve"> </w:t>
      </w:r>
      <m:oMath>
        <m:r>
          <m:t>n</m:t>
        </m:r>
        <m:r>
          <m:rPr>
            <m:sty m:val="p"/>
          </m:rPr>
          <m:t>=</m:t>
        </m:r>
        <m:r>
          <m:t>40</m:t>
        </m:r>
      </m:oMath>
      <w:r>
        <w:t xml:space="preserve"> </w:t>
      </w:r>
      <w:r>
        <w:t xml:space="preserve">Opus verifies incomparability but not interference. For a stark cell with empirical</w:t>
      </w:r>
      <w:r>
        <w:t xml:space="preserve"> </w:t>
      </w:r>
      <w:r>
        <w:t xml:space="preserve">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collapses to a</w:t>
      </w:r>
      <w:r>
        <w:t xml:space="preserve"> </w:t>
      </w:r>
      <w:r>
        <w:t xml:space="preserve">one-sided bound that clears</w:t>
      </w:r>
      <w:r>
        <w:t xml:space="preserve"> </w:t>
      </w:r>
      <m:oMath>
        <m:r>
          <m:t>0</m:t>
        </m:r>
      </m:oMath>
      <w:r>
        <w:t xml:space="preserve"> </w:t>
      </w:r>
      <w:r>
        <w:t xml:space="preserve">even at small</w:t>
      </w:r>
      <w:r>
        <w:t xml:space="preserve"> </w:t>
      </w:r>
      <m:oMath>
        <m:r>
          <m:t>n</m:t>
        </m:r>
      </m:oMath>
      <w:r>
        <w:t xml:space="preserve">: the incomparability verification (5) is</w:t>
      </w:r>
      <w:r>
        <w:t xml:space="preserve"> </w:t>
      </w:r>
      <w:r>
        <w:t xml:space="preserve">carried by such stark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 versa), so it is easy</w:t>
      </w:r>
      <w:r>
        <w:t xml:space="preserve"> </w:t>
      </w:r>
      <w:r>
        <w:t xml:space="preserve">to clear. The interference verification (7) mixes a possibly-intermediate</w:t>
      </w:r>
      <w:r>
        <w:t xml:space="preserve"> </w:t>
      </w:r>
      <w:r>
        <w:rPr>
          <w:rStyle w:val="VerbatimChar"/>
        </w:rPr>
        <w:t xml:space="preserve">none</w:t>
      </w:r>
      <w:r>
        <w:t xml:space="preserve"> </w:t>
      </w:r>
      <w:r>
        <w:t xml:space="preserve">baseline and the</w:t>
      </w:r>
      <w:r>
        <w:t xml:space="preserve"> </w:t>
      </w:r>
      <m:oMath>
        <m:sSub>
          <m:e>
            <m:r>
              <m:t>W</m:t>
            </m:r>
          </m:e>
          <m:sub>
            <m:r>
              <m:t>1</m:t>
            </m:r>
            <m:r>
              <m:rPr>
                <m:sty m:val="p"/>
              </m:rPr>
              <m:t>+</m:t>
            </m:r>
          </m:sub>
        </m:sSub>
      </m:oMath>
      <w:r>
        <w:t xml:space="preserve"> </w:t>
      </w:r>
      <w:r>
        <w:t xml:space="preserve">arm; with non-endpoint proportions (as for Opus, whose</w:t>
      </w:r>
      <w:r>
        <w:t xml:space="preserve"> </w:t>
      </w:r>
      <w:r>
        <w:t xml:space="preserve">collapse is milder and whose</w:t>
      </w:r>
      <w:r>
        <w:t xml:space="preserve"> </w:t>
      </w:r>
      <w:r>
        <w:rPr>
          <w:rStyle w:val="VerbatimChar"/>
        </w:rPr>
        <w:t xml:space="preserve">api_argorder</w:t>
      </w:r>
      <w:r>
        <w:t xml:space="preserve"> </w:t>
      </w:r>
      <w:r>
        <w:t xml:space="preserve">baseline leaks) the four-term interval stays</w:t>
      </w:r>
      <w:r>
        <w:t xml:space="preserve"> </w:t>
      </w:r>
      <w:r>
        <w:t xml:space="preserve">wide, so the same</w:t>
      </w:r>
      <w:r>
        <w:t xml:space="preserve"> </w:t>
      </w:r>
      <m:oMath>
        <m:r>
          <m:t>n</m:t>
        </m:r>
      </m:oMath>
      <w:r>
        <w:t xml:space="preserve"> </w:t>
      </w:r>
      <w:r>
        <w:t xml:space="preserve">that verifies incomparability need not verify interference.</w:t>
      </w:r>
    </w:p>
    <w:bookmarkEnd w:id="138"/>
    <w:bookmarkEnd w:id="139"/>
    <w:bookmarkStart w:id="146" w:name="app:record"/>
    <w:p>
      <w:pPr>
        <w:pStyle w:val="Heading1"/>
      </w:pPr>
      <w:r>
        <w:t xml:space="preserve">Extended experimental record</w:t>
      </w:r>
    </w:p>
    <w:bookmarkStart w:id="140" w:name="tab:percell"/>
    <w:p>
      <w:pPr>
        <w:pStyle w:val="TableCaption"/>
      </w:pPr>
      <w:r>
        <w:t xml:space="preserve">Per-cell PASS rates (</w:t>
      </w:r>
      <m:oMath>
        <m:r>
          <m:rPr>
            <m:sty m:val="p"/>
          </m:rPr>
          <m:t>%</m:t>
        </m:r>
      </m:oMath>
      <w:r>
        <w:t xml:space="preserve">) for all four verified cells, by arm, all single-shot at</w:t>
      </w:r>
      <w:r>
        <w:t xml:space="preserve"> </w:t>
      </w:r>
      <m:oMath>
        <m:r>
          <m:t>n</m:t>
        </m:r>
        <m:r>
          <m:rPr>
            <m:sty m:val="p"/>
          </m:rPr>
          <m:t>=</m:t>
        </m:r>
        <m:r>
          <m:t>40</m:t>
        </m:r>
      </m:oMath>
      <w:r>
        <w:t xml:space="preserve">.</w:t>
      </w:r>
      <w:r>
        <w:t xml:space="preserve"> </w:t>
      </w:r>
      <w:r>
        <w:t xml:space="preserve">Every model was measured on every cell and arm. The encoding rows (</w:t>
      </w:r>
      <w:r>
        <w:rPr>
          <w:rStyle w:val="VerbatimChar"/>
        </w:rPr>
        <w:t xml:space="preserve">enc_amount</w:t>
      </w:r>
      <w:r>
        <w:t xml:space="preserve">) carry the</w:t>
      </w:r>
      <w:r>
        <w:t xml:space="preserve"> </w:t>
      </w:r>
      <m:oMath>
        <m:sSub>
          <m:e>
            <m:r>
              <m:t>W</m:t>
            </m:r>
          </m:e>
          <m:sub>
            <m:r>
              <m:t>2</m:t>
            </m:r>
          </m:sub>
        </m:sSub>
        <m:r>
          <m:t>​</m:t>
        </m:r>
        <m:r>
          <m:rPr>
            <m:sty m:val="p"/>
          </m:rPr>
          <m:t>&gt;</m:t>
        </m:r>
        <m:r>
          <m:t>​</m:t>
        </m:r>
        <m:sSub>
          <m:e>
            <m:r>
              <m:t>W</m:t>
            </m:r>
          </m:e>
          <m:sub>
            <m:r>
              <m:t>1</m:t>
            </m:r>
          </m:sub>
        </m:sSub>
      </m:oMath>
      <w:r>
        <w:t xml:space="preserve"> </w:t>
      </w:r>
      <w:r>
        <w:t xml:space="preserve">direction of incomparability: on every model</w:t>
      </w:r>
      <w:r>
        <w:t xml:space="preserve"> </w:t>
      </w:r>
      <m:oMath>
        <m:sSub>
          <m:e>
            <m:r>
              <m:t>W</m:t>
            </m:r>
          </m:e>
          <m:sub>
            <m:r>
              <m:t>2</m:t>
            </m:r>
          </m:sub>
        </m:sSub>
      </m:oMath>
      <w:r>
        <w:t xml:space="preserve"> </w:t>
      </w:r>
      <w:r>
        <w:t xml:space="preserve">solves encoding while</w:t>
      </w:r>
      <w:r>
        <w:t xml:space="preserve"> </w:t>
      </w:r>
      <m:oMath>
        <m:sSub>
          <m:e>
            <m:r>
              <m:t>W</m:t>
            </m:r>
          </m:e>
          <m:sub>
            <m:r>
              <m:t>1</m:t>
            </m:r>
          </m:sub>
        </m:sSub>
      </m:oMath>
      <w:r>
        <w:t xml:space="preserve"> </w:t>
      </w:r>
      <w:r>
        <w:t xml:space="preserve">fails</w:t>
      </w:r>
      <w:r>
        <w:t xml:space="preserve"> </w:t>
      </w:r>
      <w:r>
        <w:t xml:space="preserve">it, mirroring the API cells where</w:t>
      </w:r>
      <w:r>
        <w:t xml:space="preserve"> </w:t>
      </w:r>
      <m:oMath>
        <m:sSub>
          <m:e>
            <m:r>
              <m:t>W</m:t>
            </m:r>
          </m:e>
          <m:sub>
            <m:r>
              <m:t>1</m:t>
            </m:r>
          </m:sub>
        </m:sSub>
      </m:oMath>
      <w:r>
        <w:t xml:space="preserve"> </w:t>
      </w:r>
      <w:r>
        <w:t xml:space="preserve">solves and</w:t>
      </w:r>
      <w:r>
        <w:t xml:space="preserve"> </w:t>
      </w:r>
      <m:oMath>
        <m:sSub>
          <m:e>
            <m:r>
              <m:t>W</m:t>
            </m:r>
          </m:e>
          <m:sub>
            <m:r>
              <m:t>2</m:t>
            </m:r>
          </m:sub>
        </m:sSub>
      </m:oMath>
      <w:r>
        <w:t xml:space="preserve"> </w:t>
      </w:r>
      <w:r>
        <w:t xml:space="preserve">fails.</w:t>
      </w:r>
    </w:p>
    <w:tbl>
      <w:tblPr>
        <w:tblStyle w:val="Table"/>
        <w:tblW w:type="auto" w:w="0"/>
        <w:tblLook w:firstRow="1" w:lastRow="0" w:firstColumn="0" w:lastColumn="0" w:noHBand="0" w:noVBand="0" w:val="0020"/>
        <w:tblCaption w:val="Per-cell PASS rates (\%) for all four verified cells, by arm, all single-shot at n=40. Every model was measured on every cell and arm. The encoding rows (enc_amount) carry the W_2\!&gt;\!W_1 direction of incomparability: on every model W_2 solves encoding while W_1 fails it, mirroring the API cells where W_1 solves and W_2 fails."/>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w:r>
              <w:rPr>
                <w:rStyle w:val="VerbatimChar"/>
              </w:rPr>
              <w:t xml:space="preserve">none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c>
          <w:tcPr/>
          <w:p>
            <w:pPr>
              <w:pStyle w:val="Compact"/>
              <w:jc w:val="center"/>
            </w:pPr>
            <m:oMath>
              <m:sSub>
                <m:e>
                  <m:r>
                    <m:t>W</m:t>
                  </m:r>
                </m:e>
                <m:sub>
                  <m:r>
                    <m:t>1</m:t>
                  </m:r>
                  <m:r>
                    <m:rPr>
                      <m:sty m:val="p"/>
                    </m:rPr>
                    <m:t>+</m:t>
                  </m:r>
                </m:sub>
              </m:sSub>
            </m:oMath>
            <w:r>
              <w:t xml:space="preserve">​</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52</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Haiku-4.5</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Haiku-4.5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90</w:t>
            </w:r>
          </w:p>
        </w:tc>
        <w:tc>
          <w:tcPr/>
          <w:p>
            <w:pPr>
              <w:pStyle w:val="Compact"/>
              <w:jc w:val="center"/>
            </w:pPr>
            <w:r>
              <w:t xml:space="preserve">0</w:t>
            </w:r>
          </w:p>
        </w:tc>
        <w:tc>
          <w:tcPr/>
          <w:p>
            <w:pPr>
              <w:pStyle w:val="Compact"/>
              <w:jc w:val="center"/>
            </w:pPr>
            <w:r>
              <w:t xml:space="preserve">92</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2</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Sonnet-4.6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80</w:t>
            </w:r>
          </w:p>
        </w:tc>
      </w:tr>
      <w:tr>
        <w:tc>
          <w:tcPr/>
          <w:p>
            <w:pPr>
              <w:pStyle w:val="Compact"/>
              <w:jc w:val="left"/>
            </w:pPr>
            <w:r>
              <w:t xml:space="preserve">Sonnet-4.6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65</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38</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w:r>
              <w:t xml:space="preserve">40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Opus-4.8</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85</w:t>
            </w:r>
          </w:p>
        </w:tc>
      </w:tr>
      <w:tr>
        <w:tc>
          <w:tcPr/>
          <w:p>
            <w:pPr>
              <w:pStyle w:val="Compact"/>
              <w:jc w:val="left"/>
            </w:pPr>
            <w:r>
              <w:t xml:space="preserve">Opus-4.8</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w:r>
              <w:t xml:space="preserve">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w:r>
              <w:t xml:space="preserve">75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enc_amount</w:t>
            </w:r>
          </w:p>
        </w:tc>
        <w:tc>
          <w:tcPr/>
          <w:p>
            <w:pPr>
              <w:pStyle w:val="Compact"/>
              <w:jc w:val="center"/>
            </w:pPr>
            <w:r>
              <w:t xml:space="preserve">55</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68</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DeepSeek-V4-Pro</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68</w:t>
            </w:r>
          </w:p>
        </w:tc>
        <w:tc>
          <w:tcPr/>
          <w:p>
            <w:pPr>
              <w:pStyle w:val="Compact"/>
              <w:jc w:val="center"/>
            </w:pPr>
            <w:r>
              <w:t xml:space="preserve">65</w:t>
            </w:r>
          </w:p>
        </w:tc>
      </w:tr>
      <w:tr>
        <w:tc>
          <w:tcPr/>
          <w:p>
            <w:pPr>
              <w:pStyle w:val="Compact"/>
              <w:jc w:val="left"/>
            </w:pPr>
            <w:r>
              <w:t xml:space="preserve">DeepSeek-V4-Pro</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0</w:t>
            </w:r>
          </w:p>
        </w:tc>
        <w:tc>
          <w:tcPr/>
          <w:p>
            <w:pPr>
              <w:pStyle w:val="Compact"/>
              <w:jc w:val="center"/>
            </w:pPr>
            <w:r>
              <w:t xml:space="preserve">98</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w:r>
              <w:t xml:space="preserve">45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92</w:t>
            </w:r>
          </w:p>
        </w:tc>
      </w:tr>
      <w:tr>
        <w:tc>
          <w:tcPr/>
          <w:p>
            <w:pPr>
              <w:pStyle w:val="Compact"/>
              <w:jc w:val="left"/>
            </w:pPr>
            <w:r>
              <w:t xml:space="preserve">Kimi-K2.6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bl>
    <w:bookmarkEnd w:id="140"/>
    <w:bookmarkStart w:id="145"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41"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Ψ</m:t>
            </m:r>
          </m:e>
          <m:sub>
            <m:r>
              <m:t>T</m:t>
            </m:r>
          </m:sub>
        </m:sSub>
        <m:r>
          <m:rPr>
            <m:sty m:val="p"/>
          </m:rPr>
          <m:t>=</m:t>
        </m:r>
        <m:r>
          <m:rPr>
            <m:sty m:val="p"/>
          </m:rPr>
          <m:t>−</m:t>
        </m:r>
        <m:r>
          <m:t>0.53</m:t>
        </m:r>
      </m:oMath>
      <w:r>
        <w:t xml:space="preserve">); re-running the four arms of the contract cell at</w:t>
      </w:r>
      <w:r>
        <w:t xml:space="preserve"> </w:t>
      </w:r>
      <m:oMath>
        <m:r>
          <m:t>n</m:t>
        </m:r>
        <m:r>
          <m:rPr>
            <m:sty m:val="p"/>
          </m:rPr>
          <m:t>=</m:t>
        </m:r>
        <m:r>
          <m:t>80</m:t>
        </m:r>
      </m:oMath>
      <w:r>
        <w:t xml:space="preserve"> </w:t>
      </w:r>
      <w:r>
        <w:t xml:space="preserve">shows the collapse is stable (</w:t>
      </w:r>
      <m:oMath>
        <m:r>
          <m:t>80</m:t>
        </m:r>
        <m:r>
          <m:rPr>
            <m:sty m:val="p"/>
          </m:rPr>
          <m:t>%</m:t>
        </m:r>
        <m:r>
          <m:t>​</m:t>
        </m:r>
        <m:r>
          <m:rPr>
            <m:sty m:val="p"/>
          </m:rPr>
          <m:t>→</m:t>
        </m:r>
        <m:r>
          <m:t>​</m:t>
        </m:r>
        <m:r>
          <m:t>29</m:t>
        </m:r>
        <m:r>
          <m:rPr>
            <m:sty m:val="p"/>
          </m:rPr>
          <m:t>%</m:t>
        </m:r>
      </m:oMath>
      <w:r>
        <w:t xml:space="preserve">,</w:t>
      </w:r>
      <w:r>
        <w:t xml:space="preserve"> </w:t>
      </w:r>
      <m:oMath>
        <m:sSub>
          <m:e>
            <m:r>
              <m:rPr>
                <m:sty m:val="p"/>
              </m:rPr>
              <m:t>Ψ</m:t>
            </m:r>
          </m:e>
          <m:sub>
            <m:r>
              <m:t>T</m:t>
            </m:r>
          </m:sub>
        </m:sSub>
        <m:r>
          <m:rPr>
            <m:sty m:val="p"/>
          </m:rPr>
          <m:t>=</m:t>
        </m:r>
        <m:r>
          <m:rPr>
            <m:sty m:val="p"/>
          </m:rPr>
          <m:t>−</m:t>
        </m:r>
        <m:r>
          <m:t>0.51</m:t>
        </m:r>
      </m:oMath>
      <w:r>
        <w:t xml:space="preserve">) with Clopper–Pearson upper</w:t>
      </w:r>
      <w:r>
        <w:t xml:space="preserve"> </w:t>
      </w:r>
      <w:r>
        <w:t xml:space="preserve">bound</w:t>
      </w:r>
      <w:r>
        <w:t xml:space="preserve"> </w:t>
      </w:r>
      <m:oMath>
        <m:r>
          <m:rPr>
            <m:sty m:val="p"/>
          </m:rPr>
          <m:t>−</m:t>
        </m:r>
        <m:r>
          <m:t>0.21</m:t>
        </m:r>
      </m:oMath>
      <w:r>
        <w:t xml:space="preserve">, which verifies</w:t>
      </w:r>
      <w:r>
        <w:t xml:space="preserve"> </w:t>
      </w:r>
      <w:r>
        <w:rPr>
          <w:i/>
          <w:iCs/>
        </w:rPr>
        <w:t xml:space="preserve">strictly negative</w:t>
      </w:r>
      <w:r>
        <w:t xml:space="preserve"> </w:t>
      </w:r>
      <w:r>
        <w:t xml:space="preserve">interference (</w:t>
      </w:r>
      <m:oMath>
        <m:sSub>
          <m:e>
            <m:r>
              <m:rPr>
                <m:sty m:val="p"/>
              </m:rPr>
              <m:t>Ψ</m:t>
            </m:r>
          </m:e>
          <m:sub>
            <m:r>
              <m:t>T</m:t>
            </m:r>
          </m:sub>
        </m:sSub>
        <m:r>
          <m:rPr>
            <m:sty m:val="p"/>
          </m:rPr>
          <m:t>&lt;</m:t>
        </m:r>
        <m:r>
          <m:t>0</m:t>
        </m:r>
      </m:oMath>
      <w:r>
        <w:t xml:space="preserve"> </w:t>
      </w:r>
      <w:r>
        <w:t xml:space="preserve">at</w:t>
      </w:r>
      <w:r>
        <w:t xml:space="preserve"> </w:t>
      </w:r>
      <m:oMath>
        <m:r>
          <m:rPr>
            <m:sty m:val="p"/>
          </m:rPr>
          <m:t>≥</m:t>
        </m:r>
        <m:r>
          <m:t>90</m:t>
        </m:r>
        <m:r>
          <m:rPr>
            <m:sty m:val="p"/>
          </m:rPr>
          <m:t>%</m:t>
        </m:r>
      </m:oMath>
      <w:r>
        <w:t xml:space="preserve">) but</w:t>
      </w:r>
      <w:r>
        <w:t xml:space="preserve"> </w:t>
      </w:r>
      <w:r>
        <w:t xml:space="preserve">does not clear the pre-registered magnitude margin</w:t>
      </w:r>
      <w:r>
        <w:t xml:space="preserve"> </w:t>
      </w:r>
      <m:oMath>
        <m:r>
          <m:t>τ</m:t>
        </m:r>
        <m:r>
          <m:rPr>
            <m:sty m:val="p"/>
          </m:rPr>
          <m:t>=</m:t>
        </m:r>
        <m:r>
          <m:t>0.30</m:t>
        </m:r>
      </m:oMath>
      <w:r>
        <w:t xml:space="preserve">: the binding constraint is the</w:t>
      </w:r>
      <w:r>
        <w:t xml:space="preserve"> </w:t>
      </w:r>
      <m:oMath>
        <m:sSub>
          <m:e>
            <m:r>
              <m:t>V</m:t>
            </m:r>
          </m:e>
          <m:sub>
            <m:r>
              <m:t>1</m:t>
            </m:r>
          </m:sub>
        </m:sSub>
      </m:oMath>
      <w:r>
        <w:t xml:space="preserve"> </w:t>
      </w:r>
      <w:r>
        <w:t xml:space="preserve">ceiling itself (</w:t>
      </w:r>
      <m:oMath>
        <m:r>
          <m:t>80</m:t>
        </m:r>
        <m:r>
          <m:rPr>
            <m:sty m:val="p"/>
          </m:rPr>
          <m:t>%</m:t>
        </m:r>
      </m:oMath>
      <w:r>
        <w:t xml:space="preserve">, versus pair-1’s</w:t>
      </w:r>
      <w:r>
        <w:t xml:space="preserve"> </w:t>
      </w:r>
      <m:oMath>
        <m:r>
          <m:rPr>
            <m:sty m:val="p"/>
          </m:rPr>
          <m:t>∼</m:t>
        </m:r>
        <m:r>
          <m:t>100</m:t>
        </m:r>
        <m:r>
          <m:rPr>
            <m:sty m:val="p"/>
          </m:rPr>
          <m:t>%</m:t>
        </m:r>
      </m:oMath>
      <w:r>
        <w:t xml:space="preserve">), which keeps the four-term bound wide</w:t>
      </w:r>
      <w:r>
        <w:t xml:space="preserve"> </w:t>
      </w:r>
      <w:r>
        <w:t xml:space="preserve">regardless of</w:t>
      </w:r>
      <w:r>
        <w:t xml:space="preserve"> </w:t>
      </w:r>
      <m:oMath>
        <m:r>
          <m:t>n</m:t>
        </m:r>
      </m:oMath>
      <w:r>
        <w:t xml:space="preserve">. We report pair-2 interference as a verified sign, not a verified magnitude. The</w:t>
      </w:r>
      <w:r>
        <w:t xml:space="preserve"> </w:t>
      </w:r>
      <m:oMath>
        <m:r>
          <m:t>n</m:t>
        </m:r>
        <m:r>
          <m:rPr>
            <m:sty m:val="p"/>
          </m:rPr>
          <m:t>=</m:t>
        </m:r>
        <m:r>
          <m:t>80</m:t>
        </m:r>
      </m:oMath>
      <w:r>
        <w:t xml:space="preserve"> </w:t>
      </w:r>
      <w:r>
        <w:t xml:space="preserve">run also strengthens the dominance control to a fully verified one-directional dominance</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41"/>
    <w:bookmarkStart w:id="142" w:name="a-length-matched-padding-control."/>
    <w:p>
      <w:pPr>
        <w:pStyle w:val="Heading4"/>
      </w:pPr>
      <w:r>
        <w:t xml:space="preserve">A length-matched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w:t>
      </w:r>
      <w:hyperlink w:anchor="ref-contexthurts2025">
        <w:r>
          <w:rPr>
            <w:rStyle w:val="Hyperlink"/>
          </w:rPr>
          <w:t xml:space="preserve">Du et al. 2025</w:t>
        </w:r>
      </w:hyperlink>
      <w:r>
        <w:t xml:space="preserve">)</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Ψ</m:t>
            </m:r>
          </m:e>
          <m:sub>
            <m:r>
              <m:t>T</m:t>
            </m:r>
          </m:sub>
        </m:sSub>
        <m:r>
          <m:rPr>
            <m:sty m:val="p"/>
          </m:rPr>
          <m:t>=</m:t>
        </m:r>
        <m:r>
          <m:rPr>
            <m:sty m:val="p"/>
          </m:rPr>
          <m:t>−</m:t>
        </m:r>
        <m:r>
          <m:t>0.82</m:t>
        </m:r>
      </m:oMath>
      <w:r>
        <w:t xml:space="preserve">, upper bound</w:t>
      </w:r>
      <w:r>
        <w:t xml:space="preserve"> </w:t>
      </w:r>
      <m:oMath>
        <m:r>
          <m:rPr>
            <m:sty m:val="p"/>
          </m:rPr>
          <m:t>−</m:t>
        </m:r>
        <m:r>
          <m:t>0.41</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42"/>
    <w:bookmarkStart w:id="143"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the residual gap below</w:t>
      </w:r>
      <w:r>
        <w:t xml:space="preserve"> </w:t>
      </w:r>
      <m:oMath>
        <m:sSub>
          <m:e>
            <m:r>
              <m:t>W</m:t>
            </m:r>
          </m:e>
          <m:sub>
            <m:r>
              <m:t>1</m:t>
            </m:r>
          </m:sub>
        </m:sSub>
      </m:oMath>
      <w:r>
        <w:t xml:space="preserve"> </w:t>
      </w:r>
      <w:r>
        <w:t xml:space="preserve">alone on the carrying cell (</w:t>
      </w:r>
      <m:oMath>
        <m:r>
          <m:t>80</m:t>
        </m:r>
        <m:r>
          <m:rPr>
            <m:sty m:val="p"/>
          </m:rPr>
          <m:t>%</m:t>
        </m:r>
      </m:oMath>
      <w:r>
        <w:t xml:space="preserve"> </w:t>
      </w:r>
      <w:r>
        <w:t xml:space="preserve">vs. </w:t>
      </w:r>
      <m:oMath>
        <m:r>
          <m:t>100</m:t>
        </m:r>
        <m:r>
          <m:rPr>
            <m:sty m:val="p"/>
          </m:rPr>
          <m:t>%</m:t>
        </m:r>
      </m:oMath>
      <w:r>
        <w:t xml:space="preserve">, intervals</w:t>
      </w:r>
      <w:r>
        <w:t xml:space="preserve"> </w:t>
      </w:r>
      <m:oMath>
        <m:r>
          <m:rPr>
            <m:sty m:val="p"/>
          </m:rPr>
          <m:t>[</m:t>
        </m:r>
        <m:r>
          <m:t>0.62</m:t>
        </m:r>
        <m:r>
          <m:rPr>
            <m:sty m:val="p"/>
          </m:rPr>
          <m:t>,</m:t>
        </m:r>
        <m:r>
          <m:t>0.92</m:t>
        </m:r>
        <m:r>
          <m:rPr>
            <m:sty m:val="p"/>
          </m:rPr>
          <m:t>]</m:t>
        </m:r>
      </m:oMath>
      <w:r>
        <w:t xml:space="preserve"> </w:t>
      </w:r>
      <w:r>
        <w:t xml:space="preserve">vs. </w:t>
      </w:r>
      <m:oMath>
        <m:r>
          <m:rPr>
            <m:sty m:val="p"/>
          </m:rPr>
          <m:t>[</m:t>
        </m:r>
        <m:r>
          <m:t>0.90</m:t>
        </m:r>
        <m:r>
          <m:rPr>
            <m:sty m:val="p"/>
          </m:rPr>
          <m:t>,</m:t>
        </m:r>
        <m:r>
          <m:t>1.00</m:t>
        </m:r>
        <m:r>
          <m:rPr>
            <m:sty m:val="p"/>
          </m:rPr>
          <m:t>]</m:t>
        </m:r>
      </m:oMath>
      <w:r>
        <w:t xml:space="preserve">) is directional but not separated at</w:t>
      </w:r>
      <w:r>
        <w:t xml:space="preserve"> </w:t>
      </w:r>
      <w:r>
        <w:t xml:space="preserve">this</w:t>
      </w:r>
      <w:r>
        <w:t xml:space="preserve"> </w:t>
      </w:r>
      <m:oMath>
        <m:r>
          <m:t>n</m:t>
        </m:r>
      </m:oMath>
      <w:r>
        <w:t xml:space="preserve">.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43"/>
    <w:bookmarkStart w:id="144" w:name="X9488de75bf9879d7a0599574b61e9ffd4996347"/>
    <w:p>
      <w:pPr>
        <w:pStyle w:val="Heading4"/>
      </w:pPr>
      <w:r>
        <w:t xml:space="preserve">A structured-context ablation: segmentation is not the bottleneck.</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42</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locates the failure in convention-to-task routing.</w:t>
      </w:r>
    </w:p>
    <w:bookmarkEnd w:id="144"/>
    <w:bookmarkEnd w:id="145"/>
    <w:bookmarkEnd w:id="146"/>
    <w:bookmarkStart w:id="239"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6">
        <w:r>
          <w:rPr>
            <w:rStyle w:val="Hyperlink"/>
          </w:rPr>
          <w:t xml:space="preserve">https://github.com/abilous-ti/blackwell-llm-context</w:t>
        </w:r>
      </w:hyperlink>
      <w:r>
        <w:t xml:space="preserve">. The harness (</w:t>
      </w:r>
      <w:r>
        <w:rPr>
          <w:rStyle w:val="VerbatimChar"/>
        </w:rPr>
        <w:t xml:space="preserve">tokenbench/measure_blackwell.py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47" w:name="machine-checked-proofs."/>
    <w:p>
      <w:pPr>
        <w:pStyle w:val="Heading4"/>
      </w:pPr>
      <w:r>
        <w:t xml:space="preserve">Machine-checked proofs.</w:t>
      </w:r>
    </w:p>
    <w:p>
      <w:pPr>
        <w:pStyle w:val="FirstParagraph"/>
      </w:pPr>
      <w:r>
        <w:t xml:space="preserve">The bundle also contains</w:t>
      </w:r>
      <w:r>
        <w:t xml:space="preserve"> </w:t>
      </w:r>
      <w:r>
        <w:rPr>
          <w:rStyle w:val="VerbatimChar"/>
        </w:rPr>
        <w:t xml:space="preserve">lean/ContextSelection.lean</w:t>
      </w:r>
      <w:r>
        <w:t xml:space="preserve">, a</w:t>
      </w:r>
      <w:r>
        <w:t xml:space="preserve"> </w:t>
      </w:r>
      <w:r>
        <w:t xml:space="preserve">Lean 4 formalization of the two impossibility results (Remark 3). It takes no</w:t>
      </w:r>
      <w:r>
        <w:t xml:space="preserve"> </w:t>
      </w:r>
      <w:r>
        <w:t xml:space="preserve">dependency on Mathlib, so it is checked by</w:t>
      </w:r>
      <w:r>
        <w:t xml:space="preserve"> </w:t>
      </w:r>
      <w:r>
        <w:rPr>
          <w:rStyle w:val="VerbatimChar"/>
        </w:rPr>
        <w:t xml:space="preserve">lean ContextSelection.lean</w:t>
      </w:r>
      <w:r>
        <w:t xml:space="preserve"> </w:t>
      </w:r>
      <w:r>
        <w:t xml:space="preserve">against a bare</w:t>
      </w:r>
      <w:r>
        <w:t xml:space="preserve"> </w:t>
      </w:r>
      <w:r>
        <w:t xml:space="preserve">toolchain with no build step or network access; the version is pinned in</w:t>
      </w:r>
      <w:r>
        <w:t xml:space="preserve"> </w:t>
      </w:r>
      <w:r>
        <w:rPr>
          <w:rStyle w:val="VerbatimChar"/>
        </w:rPr>
        <w:t xml:space="preserve">lean/lean-toolchain</w:t>
      </w:r>
      <w:r>
        <w:t xml:space="preserve"> </w:t>
      </w:r>
      <w:r>
        <w:t xml:space="preserve">and a continuous-integration job re-checks it on a clean machine at every change, failing the build</w:t>
      </w:r>
      <w:r>
        <w:t xml:space="preserve"> </w:t>
      </w:r>
      <w:r>
        <w:t xml:space="preserve">if any</w:t>
      </w:r>
      <w:r>
        <w:t xml:space="preserve"> </w:t>
      </w:r>
      <w:r>
        <w:rPr>
          <w:rStyle w:val="VerbatimChar"/>
        </w:rPr>
        <w:t xml:space="preserve">sorry</w:t>
      </w:r>
      <w:r>
        <w:t xml:space="preserve"> </w:t>
      </w:r>
      <w:r>
        <w:t xml:space="preserve">appears or if either theorem stops reporting an empty axiom footprint.</w:t>
      </w:r>
    </w:p>
    <w:bookmarkEnd w:id="147"/>
    <w:bookmarkStart w:id="148"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(length-matched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48"/>
    <w:bookmarkStart w:id="149"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Transport-level failures (empty or zero-token results) are retried up to three</w:t>
      </w:r>
      <w:r>
        <w:t xml:space="preserve"> </w:t>
      </w:r>
      <w:r>
        <w:t xml:space="preserve">times with quadratic backoff; a draw that still fails is scored as a failure, never as a pass. Where a transport-outage window hit a whole arm or a single cell, we re-measured it cleanly in isolation with the retry harness and report only the clean measurement: the Opus</w:t>
      </w:r>
      <w:r>
        <w:t xml:space="preserve"> </w:t>
      </w:r>
      <m:oMath>
        <m:sSub>
          <m:e>
            <m:r>
              <m:t>W</m:t>
            </m:r>
          </m:e>
          <m:sub>
            <m:r>
              <m:t>1</m:t>
            </m:r>
            <m:r>
              <m:rPr>
                <m:sty m:val="p"/>
              </m:rPr>
              <m:t>+</m:t>
            </m:r>
          </m:sub>
        </m:sSub>
      </m:oMath>
      <w:r>
        <w:t xml:space="preserve"> </w:t>
      </w:r>
      <w:r>
        <w:t xml:space="preserve">arm; the Opus</w:t>
      </w:r>
      <w:r>
        <w:t xml:space="preserve"> </w:t>
      </w:r>
      <m:oMath>
        <m:sSub>
          <m:e>
            <m:r>
              <m:t>W</m:t>
            </m:r>
          </m:e>
          <m:sub>
            <m:r>
              <m:t>2</m:t>
            </m:r>
          </m:sub>
        </m:sSub>
      </m:oMath>
      <w:r>
        <w:t xml:space="preserve">/</w:t>
      </w:r>
      <w:r>
        <w:rPr>
          <w:rStyle w:val="VerbatimChar"/>
        </w:rPr>
        <w:t xml:space="preserve">trap_store_wire</w:t>
      </w:r>
      <w:r>
        <w:t xml:space="preserve"> </w:t>
      </w:r>
      <w:r>
        <w:t xml:space="preserve">cell, roughly</w:t>
      </w:r>
      <w:r>
        <w:t xml:space="preserve"> </w:t>
      </w:r>
      <m:oMath>
        <m:r>
          <m:t>18</m:t>
        </m:r>
      </m:oMath>
      <w:r>
        <w:t xml:space="preserve"> </w:t>
      </w:r>
      <w:r>
        <w:t xml:space="preserve">of whose</w:t>
      </w:r>
      <w:r>
        <w:t xml:space="preserve"> </w:t>
      </w:r>
      <m:oMath>
        <m:r>
          <m:t>40</m:t>
        </m:r>
      </m:oMath>
      <w:r>
        <w:t xml:space="preserve"> </w:t>
      </w:r>
      <w:r>
        <w:t xml:space="preserve">first-run draws were outage-scored (inferred from per-draw cost); and the Haiku</w:t>
      </w:r>
      <w:r>
        <w:t xml:space="preserve"> </w:t>
      </w:r>
      <m:oMath>
        <m:sSub>
          <m:e>
            <m:r>
              <m:t>W</m:t>
            </m:r>
          </m:e>
          <m:sub>
            <m:r>
              <m:t>1</m:t>
            </m:r>
          </m:sub>
        </m:sSub>
      </m:oMath>
      <w:r>
        <w:t xml:space="preserve">/</w:t>
      </w:r>
      <w:r>
        <w:rPr>
          <w:rStyle w:val="VerbatimChar"/>
        </w:rPr>
        <w:t xml:space="preserve">enc_amount</w:t>
      </w:r>
      <w:r>
        <w:t xml:space="preserve"> </w:t>
      </w:r>
      <w:r>
        <w:t xml:space="preserve">cell, whose first run predated the retry wrapper. One cell could not be re-measured at revision time: GPT-5.5</w:t>
      </w:r>
      <w:r>
        <w:t xml:space="preserve"> </w:t>
      </w:r>
      <m:oMath>
        <m:sSub>
          <m:e>
            <m:r>
              <m:t>W</m:t>
            </m:r>
          </m:e>
          <m:sub>
            <m:r>
              <m:t>2</m:t>
            </m:r>
          </m:sub>
        </m:sSub>
      </m:oMath>
      <w:r>
        <w:t xml:space="preserve">/</w:t>
      </w:r>
      <w:r>
        <w:rPr>
          <w:rStyle w:val="VerbatimChar"/>
        </w:rPr>
        <w:t xml:space="preserve">trap_store_wire</w:t>
      </w:r>
      <w:r>
        <w:t xml:space="preserve"> </w:t>
      </w:r>
      <w:r>
        <w:t xml:space="preserve">returned HTTP 500 after retries on an unknown number of draws and the Azure quota was unavailable, so its reported</w:t>
      </w:r>
      <w:r>
        <w:t xml:space="preserve"> </w:t>
      </w:r>
      <m:oMath>
        <m:r>
          <m:t>0</m:t>
        </m:r>
        <m:r>
          <m:rPr>
            <m:sty m:val="p"/>
          </m:rPr>
          <m:t>/</m:t>
        </m:r>
        <m:r>
          <m:t>40</m:t>
        </m:r>
      </m:oMath>
      <w:r>
        <w:t xml:space="preserve"> </w:t>
      </w:r>
      <w:r>
        <w:t xml:space="preserve">still contains outage-scored draws. It is an expected-zero cell (the arm lacks the decisive fact, and it is</w:t>
      </w:r>
      <w:r>
        <w:t xml:space="preserve"> </w:t>
      </w:r>
      <m:oMath>
        <m:r>
          <m:t>0</m:t>
        </m:r>
        <m:r>
          <m:rPr>
            <m:sty m:val="p"/>
          </m:rPr>
          <m:t>%</m:t>
        </m:r>
      </m:oMath>
      <w:r>
        <w:t xml:space="preserve"> </w:t>
      </w:r>
      <w:r>
        <w:t xml:space="preserve">on all five other models) and lies on no binding bound, but for that one cell the reported</w:t>
      </w:r>
      <w:r>
        <w:t xml:space="preserve"> </w:t>
      </w:r>
      <m:oMath>
        <m:r>
          <m:t>n</m:t>
        </m:r>
      </m:oMath>
      <w:r>
        <w:t xml:space="preserve"> </w:t>
      </w:r>
      <w:r>
        <w:t xml:space="preserve">is an upper bound on the number of real draws.</w:t>
      </w:r>
    </w:p>
    <w:bookmarkEnd w:id="149"/>
    <w:bookmarkStart w:id="150"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6">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w:t>
      </w:r>
      <w:r>
        <w:t xml:space="preserve"> </w:t>
      </w:r>
      <w:r>
        <w:t xml:space="preserve">and the clean single-cell re-measurements</w:t>
      </w:r>
      <w:r>
        <w:t xml:space="preserve"> </w:t>
      </w:r>
      <w:r>
        <w:rPr>
          <w:rStyle w:val="VerbatimChar"/>
        </w:rPr>
        <w:t xml:space="preserve">blackwell_opus_ss_W2_trap_rerun</w:t>
      </w:r>
      <w:r>
        <w:t xml:space="preserve"> </w:t>
      </w:r>
      <w:r>
        <w:t xml:space="preserve">and</w:t>
      </w:r>
      <w:r>
        <w:t xml:space="preserve"> </w:t>
      </w:r>
      <w:r>
        <w:rPr>
          <w:rStyle w:val="VerbatimChar"/>
        </w:rPr>
        <w:t xml:space="preserve">blackwell_haiku_ss_W1_enc_rerun</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(length-matched padding,</w:t>
      </w:r>
      <w:r>
        <w:t xml:space="preserve"> </w:t>
      </w:r>
      <m:oMath>
        <m:r>
          <m:t>400</m:t>
        </m:r>
      </m:oMath>
      <w:r>
        <w:t xml:space="preserve"> </w:t>
      </w:r>
      <w:r>
        <w:t xml:space="preserve">calls),</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blackwell_xml_arm_only</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tokenbench/measure_reranker_trap.py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tokenbench/measure_dense_trap.py</w:t>
      </w:r>
      <w:r>
        <w:t xml:space="preserve">). The full per-cell record is in</w:t>
      </w:r>
      <w:r>
        <w:t xml:space="preserve"> </w:t>
      </w:r>
      <w:r>
        <w:rPr>
          <w:rStyle w:val="VerbatimChar"/>
        </w:rPr>
        <w:t xml:space="preserve">EXPERIMENT-BLACKWELL.md</w:t>
      </w:r>
      <w:r>
        <w:t xml:space="preserve"> </w:t>
      </w:r>
      <w:r>
        <w:t xml:space="preserve">and the theory hardening (formalization and proof sketches) in</w:t>
      </w:r>
      <w:r>
        <w:t xml:space="preserve"> </w:t>
      </w:r>
      <w:r>
        <w:rPr>
          <w:rStyle w:val="VerbatimChar"/>
        </w:rPr>
        <w:t xml:space="preserve">BLACKWELL.md</w:t>
      </w:r>
      <w:r>
        <w:t xml:space="preserve">.</w:t>
      </w:r>
    </w:p>
    <w:bookmarkEnd w:id="150"/>
    <w:bookmarkStart w:id="151" w:name="compute-and-cost."/>
    <w:p>
      <w:pPr>
        <w:pStyle w:val="Heading4"/>
      </w:pPr>
      <w:r>
        <w:t xml:space="preserve">Compute and cost.</w:t>
      </w:r>
    </w:p>
    <w:p>
      <w:pPr>
        <w:pStyle w:val="FirstParagraph"/>
      </w:pPr>
      <w:r>
        <w:t xml:space="preserve">Total measured Anthropic spend was approximately $130: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End w:id="151"/>
    <w:bookmarkStart w:id="238" w:name="reference-verification."/>
    <w:p>
      <w:pPr>
        <w:pStyle w:val="Heading4"/>
      </w:pPr>
      <w:r>
        <w:t xml:space="preserve">Reference verification.</w:t>
      </w:r>
    </w:p>
    <w:p>
      <w:pPr>
        <w:pStyle w:val="FirstParagraph"/>
      </w:pPr>
      <w:r>
        <w:t xml:space="preserve">The bibliography was assembled in part with automated</w:t>
      </w:r>
      <w:r>
        <w:t xml:space="preserve"> </w:t>
      </w:r>
      <w:r>
        <w:t xml:space="preserve">literature search and every entry was subsequently verified against arXiv/DBLP/publisher</w:t>
      </w:r>
      <w:r>
        <w:t xml:space="preserve"> </w:t>
      </w:r>
      <w:r>
        <w:t xml:space="preserve">records; all entries resolve to real papers, and the classics (Blackwell 1953; Le Cam</w:t>
      </w:r>
      <w:r>
        <w:t xml:space="preserve"> </w:t>
      </w:r>
      <w:r>
        <w:t xml:space="preserve">1964/1986; Torgersen 1991; Ethayarajh et al. 2022) were checked against the primary sources.</w:t>
      </w:r>
    </w:p>
    <w:bookmarkStart w:id="237" w:name="refs"/>
    <w:bookmarkStart w:id="153"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52">
        <w:r>
          <w:rPr>
            <w:rStyle w:val="Hyperlink"/>
          </w:rPr>
          <w:t xml:space="preserve">https://arxiv.org/abs/2512.23617</w:t>
        </w:r>
      </w:hyperlink>
      <w:r>
        <w:t xml:space="preserve">.</w:t>
      </w:r>
    </w:p>
    <w:bookmarkEnd w:id="153"/>
    <w:bookmarkStart w:id="155"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54">
        <w:r>
          <w:rPr>
            <w:rStyle w:val="Hyperlink"/>
          </w:rPr>
          <w:t xml:space="preserve">https://doi.org/10.1214/aoms/1177729032</w:t>
        </w:r>
      </w:hyperlink>
      <w:r>
        <w:t xml:space="preserve">.</w:t>
      </w:r>
    </w:p>
    <w:bookmarkEnd w:id="155"/>
    <w:bookmarkStart w:id="156"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56"/>
    <w:bookmarkStart w:id="158"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57">
        <w:r>
          <w:rPr>
            <w:rStyle w:val="Hyperlink"/>
          </w:rPr>
          <w:t xml:space="preserve">https://arxiv.org/abs/2503.01747</w:t>
        </w:r>
      </w:hyperlink>
      <w:r>
        <w:t xml:space="preserve">.</w:t>
      </w:r>
    </w:p>
    <w:bookmarkEnd w:id="158"/>
    <w:bookmarkStart w:id="160"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59">
        <w:r>
          <w:rPr>
            <w:rStyle w:val="Hyperlink"/>
          </w:rPr>
          <w:t xml:space="preserve">https://arxiv.org/abs/2411.01533</w:t>
        </w:r>
      </w:hyperlink>
      <w:r>
        <w:t xml:space="preserve">.</w:t>
      </w:r>
    </w:p>
    <w:bookmarkEnd w:id="160"/>
    <w:bookmarkStart w:id="162"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61">
        <w:r>
          <w:rPr>
            <w:rStyle w:val="Hyperlink"/>
          </w:rPr>
          <w:t xml:space="preserve">https://doi.org/10.1145/290941.291025</w:t>
        </w:r>
      </w:hyperlink>
      <w:r>
        <w:t xml:space="preserve">.</w:t>
      </w:r>
    </w:p>
    <w:bookmarkEnd w:id="162"/>
    <w:bookmarkStart w:id="164"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63">
        <w:r>
          <w:rPr>
            <w:rStyle w:val="Hyperlink"/>
          </w:rPr>
          <w:t xml:space="preserve">https://arxiv.org/abs/2507.03279</w:t>
        </w:r>
      </w:hyperlink>
      <w:r>
        <w:t xml:space="preserve">.</w:t>
      </w:r>
    </w:p>
    <w:bookmarkEnd w:id="164"/>
    <w:bookmarkStart w:id="166"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65">
        <w:r>
          <w:rPr>
            <w:rStyle w:val="Hyperlink"/>
          </w:rPr>
          <w:t xml:space="preserve">https://arxiv.org/abs/2508.21184</w:t>
        </w:r>
      </w:hyperlink>
      <w:r>
        <w:t xml:space="preserve">.</w:t>
      </w:r>
    </w:p>
    <w:bookmarkEnd w:id="166"/>
    <w:bookmarkStart w:id="168"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67">
        <w:r>
          <w:rPr>
            <w:rStyle w:val="Hyperlink"/>
          </w:rPr>
          <w:t xml:space="preserve">https://doi.org/10.1093/biomet/26.4.404</w:t>
        </w:r>
      </w:hyperlink>
      <w:r>
        <w:t xml:space="preserve">.</w:t>
      </w:r>
    </w:p>
    <w:bookmarkEnd w:id="168"/>
    <w:bookmarkStart w:id="170"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69">
        <w:r>
          <w:rPr>
            <w:rStyle w:val="Hyperlink"/>
          </w:rPr>
          <w:t xml:space="preserve">https://arxiv.org/abs/2401.14887</w:t>
        </w:r>
      </w:hyperlink>
      <w:r>
        <w:t xml:space="preserve">.</w:t>
      </w:r>
    </w:p>
    <w:bookmarkEnd w:id="170"/>
    <w:bookmarkStart w:id="172"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71">
        <w:r>
          <w:rPr>
            <w:rStyle w:val="Hyperlink"/>
          </w:rPr>
          <w:t xml:space="preserve">https://arxiv.org/abs/2510.05381</w:t>
        </w:r>
      </w:hyperlink>
      <w:r>
        <w:t xml:space="preserve">.</w:t>
      </w:r>
    </w:p>
    <w:bookmarkEnd w:id="172"/>
    <w:bookmarkStart w:id="174"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73">
        <w:r>
          <w:rPr>
            <w:rStyle w:val="Hyperlink"/>
          </w:rPr>
          <w:t xml:space="preserve">https://doi.org/10.1214/aoms/1177728174</w:t>
        </w:r>
      </w:hyperlink>
      <w:r>
        <w:t xml:space="preserve">.</w:t>
      </w:r>
    </w:p>
    <w:bookmarkEnd w:id="174"/>
    <w:bookmarkStart w:id="175"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75"/>
    <w:bookmarkStart w:id="177"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76">
        <w:r>
          <w:rPr>
            <w:rStyle w:val="Hyperlink"/>
          </w:rPr>
          <w:t xml:space="preserve">https://arxiv.org/abs/2503.05491</w:t>
        </w:r>
      </w:hyperlink>
      <w:r>
        <w:t xml:space="preserve">.</w:t>
      </w:r>
    </w:p>
    <w:bookmarkEnd w:id="177"/>
    <w:bookmarkStart w:id="179"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178">
        <w:r>
          <w:rPr>
            <w:rStyle w:val="Hyperlink"/>
          </w:rPr>
          <w:t xml:space="preserve">https://doi.org/10.1007/s10791-008-9045-0</w:t>
        </w:r>
      </w:hyperlink>
      <w:r>
        <w:t xml:space="preserve">.</w:t>
      </w:r>
    </w:p>
    <w:bookmarkEnd w:id="179"/>
    <w:bookmarkStart w:id="181"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180">
        <w:r>
          <w:rPr>
            <w:rStyle w:val="Hyperlink"/>
          </w:rPr>
          <w:t xml:space="preserve">https://arxiv.org/abs/2410.20247</w:t>
        </w:r>
      </w:hyperlink>
      <w:r>
        <w:t xml:space="preserve">.</w:t>
      </w:r>
    </w:p>
    <w:bookmarkEnd w:id="181"/>
    <w:bookmarkStart w:id="183" w:name="ref-guu2020realm"/>
    <w:p>
      <w:pPr>
        <w:pStyle w:val="Bibliography"/>
      </w:pPr>
      <w:r>
        <w:t xml:space="preserve">Guu, Kelvin, Kenton Lee, Zora Tung, Panupong Pasupat, and Ming-Wei Chang. 2020.</w:t>
      </w:r>
      <w:r>
        <w:t xml:space="preserve"> </w:t>
      </w:r>
      <w:r>
        <w:t xml:space="preserve">“</w:t>
      </w:r>
      <w:r>
        <w:t xml:space="preserve">REALM</w:t>
      </w:r>
      <w:r>
        <w:t xml:space="preserve">: Retrieval-Augmented Language Model Pre-Training.”</w:t>
      </w:r>
      <w:r>
        <w:t xml:space="preserve"> </w:t>
      </w:r>
      <w:r>
        <w:rPr>
          <w:i/>
          <w:iCs/>
        </w:rPr>
        <w:t xml:space="preserve">Proceedings of the 37th International Conference on Machine Learning (ICML)</w:t>
      </w:r>
      <w:r>
        <w:t xml:space="preserve">.</w:t>
      </w:r>
      <w:r>
        <w:t xml:space="preserve"> </w:t>
      </w:r>
      <w:hyperlink r:id="rId182">
        <w:r>
          <w:rPr>
            <w:rStyle w:val="Hyperlink"/>
          </w:rPr>
          <w:t xml:space="preserve">https://arxiv.org/abs/2002.08909</w:t>
        </w:r>
      </w:hyperlink>
      <w:r>
        <w:t xml:space="preserve">.</w:t>
      </w:r>
    </w:p>
    <w:bookmarkEnd w:id="183"/>
    <w:bookmarkStart w:id="185"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184">
        <w:r>
          <w:rPr>
            <w:rStyle w:val="Hyperlink"/>
          </w:rPr>
          <w:t xml:space="preserve">https://www.trychroma.com/research/context-rot</w:t>
        </w:r>
      </w:hyperlink>
      <w:r>
        <w:t xml:space="preserve">.</w:t>
      </w:r>
    </w:p>
    <w:bookmarkEnd w:id="185"/>
    <w:bookmarkStart w:id="187"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186">
        <w:r>
          <w:rPr>
            <w:rStyle w:val="Hyperlink"/>
          </w:rPr>
          <w:t xml:space="preserve">https://arxiv.org/abs/2510.00079</w:t>
        </w:r>
      </w:hyperlink>
      <w:r>
        <w:t xml:space="preserve">.</w:t>
      </w:r>
    </w:p>
    <w:bookmarkEnd w:id="187"/>
    <w:bookmarkStart w:id="189"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188">
        <w:r>
          <w:rPr>
            <w:rStyle w:val="Hyperlink"/>
          </w:rPr>
          <w:t xml:space="preserve">https://arxiv.org/abs/2410.05983</w:t>
        </w:r>
      </w:hyperlink>
      <w:r>
        <w:t xml:space="preserve">.</w:t>
      </w:r>
    </w:p>
    <w:bookmarkEnd w:id="189"/>
    <w:bookmarkStart w:id="191"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190">
        <w:r>
          <w:rPr>
            <w:rStyle w:val="Hyperlink"/>
          </w:rPr>
          <w:t xml:space="preserve">https://arxiv.org/abs/2411.06037</w:t>
        </w:r>
      </w:hyperlink>
      <w:r>
        <w:t xml:space="preserve">.</w:t>
      </w:r>
    </w:p>
    <w:bookmarkEnd w:id="191"/>
    <w:bookmarkStart w:id="193" w:name="ref-khattab2020colbert"/>
    <w:p>
      <w:pPr>
        <w:pStyle w:val="Bibliography"/>
      </w:pPr>
      <w:r>
        <w:t xml:space="preserve">Khattab, Omar, and Matei Zaharia. 2020.</w:t>
      </w:r>
      <w:r>
        <w:t xml:space="preserve"> </w:t>
      </w:r>
      <w:r>
        <w:t xml:space="preserve">“</w:t>
      </w:r>
      <w:r>
        <w:t xml:space="preserve">ColBERT</w:t>
      </w:r>
      <w:r>
        <w:t xml:space="preserve">: Efficient and Effective Passage Search via Contextualized Late Interaction over</w:t>
      </w:r>
      <w:r>
        <w:t xml:space="preserve"> </w:t>
      </w:r>
      <w:r>
        <w:t xml:space="preserve">BERT</w:t>
      </w:r>
      <w:r>
        <w:t xml:space="preserve">.”</w:t>
      </w:r>
      <w:r>
        <w:t xml:space="preserve"> </w:t>
      </w:r>
      <w:r>
        <w:rPr>
          <w:i/>
          <w:iCs/>
        </w:rPr>
        <w:t xml:space="preserve">Proceedings of the 43rd International ACM SIGIR Conference on Research and Development in Information Retrieval</w:t>
      </w:r>
      <w:r>
        <w:t xml:space="preserve">, 39–48.</w:t>
      </w:r>
      <w:r>
        <w:t xml:space="preserve"> </w:t>
      </w:r>
      <w:hyperlink r:id="rId192">
        <w:r>
          <w:rPr>
            <w:rStyle w:val="Hyperlink"/>
          </w:rPr>
          <w:t xml:space="preserve">https://doi.org/10.1145/3397271.3401075</w:t>
        </w:r>
      </w:hyperlink>
      <w:r>
        <w:t xml:space="preserve">.</w:t>
      </w:r>
    </w:p>
    <w:bookmarkEnd w:id="193"/>
    <w:bookmarkStart w:id="195"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194">
        <w:r>
          <w:rPr>
            <w:rStyle w:val="Hyperlink"/>
          </w:rPr>
          <w:t xml:space="preserve">https://doi.org/10.1214/aoms/1177700372</w:t>
        </w:r>
      </w:hyperlink>
      <w:r>
        <w:t xml:space="preserve">.</w:t>
      </w:r>
    </w:p>
    <w:bookmarkEnd w:id="195"/>
    <w:bookmarkStart w:id="197"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196">
        <w:r>
          <w:rPr>
            <w:rStyle w:val="Hyperlink"/>
          </w:rPr>
          <w:t xml:space="preserve">https://doi.org/10.1007/978-1-4612-4946-7</w:t>
        </w:r>
      </w:hyperlink>
      <w:r>
        <w:t xml:space="preserve">.</w:t>
      </w:r>
    </w:p>
    <w:bookmarkEnd w:id="197"/>
    <w:bookmarkStart w:id="199"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198">
        <w:r>
          <w:rPr>
            <w:rStyle w:val="Hyperlink"/>
          </w:rPr>
          <w:t xml:space="preserve">https://arxiv.org/abs/2504.07104</w:t>
        </w:r>
      </w:hyperlink>
      <w:r>
        <w:t xml:space="preserve">.</w:t>
      </w:r>
    </w:p>
    <w:bookmarkEnd w:id="199"/>
    <w:bookmarkStart w:id="201"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200">
        <w:r>
          <w:rPr>
            <w:rStyle w:val="Hyperlink"/>
          </w:rPr>
          <w:t xml:space="preserve">https://arxiv.org/abs/2503.04388</w:t>
        </w:r>
      </w:hyperlink>
      <w:r>
        <w:t xml:space="preserve">.</w:t>
      </w:r>
    </w:p>
    <w:bookmarkEnd w:id="201"/>
    <w:bookmarkStart w:id="203"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202">
        <w:r>
          <w:rPr>
            <w:rStyle w:val="Hyperlink"/>
          </w:rPr>
          <w:t xml:space="preserve">https://arxiv.org/abs/2605.05716</w:t>
        </w:r>
      </w:hyperlink>
      <w:r>
        <w:t xml:space="preserve">.</w:t>
      </w:r>
    </w:p>
    <w:bookmarkEnd w:id="203"/>
    <w:bookmarkStart w:id="205"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04">
        <w:r>
          <w:rPr>
            <w:rStyle w:val="Hyperlink"/>
          </w:rPr>
          <w:t xml:space="preserve">https://arxiv.org/abs/2307.03172</w:t>
        </w:r>
      </w:hyperlink>
      <w:r>
        <w:t xml:space="preserve">.</w:t>
      </w:r>
    </w:p>
    <w:bookmarkEnd w:id="205"/>
    <w:bookmarkStart w:id="207"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06">
        <w:r>
          <w:rPr>
            <w:rStyle w:val="Hyperlink"/>
          </w:rPr>
          <w:t xml:space="preserve">https://arxiv.org/abs/2411.00640</w:t>
        </w:r>
      </w:hyperlink>
      <w:r>
        <w:t xml:space="preserve">.</w:t>
      </w:r>
    </w:p>
    <w:bookmarkEnd w:id="207"/>
    <w:bookmarkStart w:id="209"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08">
        <w:r>
          <w:rPr>
            <w:rStyle w:val="Hyperlink"/>
          </w:rPr>
          <w:t xml:space="preserve">https://arxiv.org/abs/2604.06621</w:t>
        </w:r>
      </w:hyperlink>
      <w:r>
        <w:t xml:space="preserve">.</w:t>
      </w:r>
    </w:p>
    <w:bookmarkEnd w:id="209"/>
    <w:bookmarkStart w:id="211"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10">
        <w:r>
          <w:rPr>
            <w:rStyle w:val="Hyperlink"/>
          </w:rPr>
          <w:t xml:space="preserve">https://arxiv.org/abs/2605.03534</w:t>
        </w:r>
      </w:hyperlink>
      <w:r>
        <w:t xml:space="preserve">.</w:t>
      </w:r>
    </w:p>
    <w:bookmarkEnd w:id="211"/>
    <w:bookmarkStart w:id="213"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12">
        <w:r>
          <w:rPr>
            <w:rStyle w:val="Hyperlink"/>
          </w:rPr>
          <w:t xml:space="preserve">https://doi.org/10.1108/eb026647</w:t>
        </w:r>
      </w:hyperlink>
      <w:r>
        <w:t xml:space="preserve">.</w:t>
      </w:r>
    </w:p>
    <w:bookmarkEnd w:id="213"/>
    <w:bookmarkStart w:id="215"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14">
        <w:r>
          <w:rPr>
            <w:rStyle w:val="Hyperlink"/>
          </w:rPr>
          <w:t xml:space="preserve">https://arxiv.org/abs/1402.4884</w:t>
        </w:r>
      </w:hyperlink>
      <w:r>
        <w:t xml:space="preserve">.</w:t>
      </w:r>
    </w:p>
    <w:bookmarkEnd w:id="215"/>
    <w:bookmarkStart w:id="217"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16">
        <w:r>
          <w:rPr>
            <w:rStyle w:val="Hyperlink"/>
          </w:rPr>
          <w:t xml:space="preserve">https://arxiv.org/abs/2302.00093</w:t>
        </w:r>
      </w:hyperlink>
      <w:r>
        <w:t xml:space="preserve">.</w:t>
      </w:r>
    </w:p>
    <w:bookmarkEnd w:id="217"/>
    <w:bookmarkStart w:id="219" w:name="ref-shi2023replug"/>
    <w:p>
      <w:pPr>
        <w:pStyle w:val="Bibliography"/>
      </w:pPr>
      <w:r>
        <w:t xml:space="preserve">Shi, Weijia, Sewon Min, Michihiro Yasunaga, et al. 2023.</w:t>
      </w:r>
      <w:r>
        <w:t xml:space="preserve"> </w:t>
      </w:r>
      <w:r>
        <w:t xml:space="preserve">“</w:t>
      </w:r>
      <w:r>
        <w:t xml:space="preserve">REPLUG</w:t>
      </w:r>
      <w:r>
        <w:t xml:space="preserve">: Retrieval-Augmented Black-Box Language Models.”</w:t>
      </w:r>
      <w:r>
        <w:t xml:space="preserve"> </w:t>
      </w:r>
      <w:r>
        <w:rPr>
          <w:i/>
          <w:iCs/>
        </w:rPr>
        <w:t xml:space="preserve">arXiv Preprint arXiv:2301.12652</w:t>
      </w:r>
      <w:r>
        <w:t xml:space="preserve">.</w:t>
      </w:r>
      <w:r>
        <w:t xml:space="preserve"> </w:t>
      </w:r>
      <w:hyperlink r:id="rId218">
        <w:r>
          <w:rPr>
            <w:rStyle w:val="Hyperlink"/>
          </w:rPr>
          <w:t xml:space="preserve">https://arxiv.org/abs/2301.12652</w:t>
        </w:r>
      </w:hyperlink>
      <w:r>
        <w:t xml:space="preserve">.</w:t>
      </w:r>
    </w:p>
    <w:bookmarkEnd w:id="219"/>
    <w:bookmarkStart w:id="221"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20">
        <w:r>
          <w:rPr>
            <w:rStyle w:val="Hyperlink"/>
          </w:rPr>
          <w:t xml:space="preserve">https://arxiv.org/abs/2304.09542</w:t>
        </w:r>
      </w:hyperlink>
      <w:r>
        <w:t xml:space="preserve">.</w:t>
      </w:r>
    </w:p>
    <w:bookmarkEnd w:id="221"/>
    <w:bookmarkStart w:id="223"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22">
        <w:r>
          <w:rPr>
            <w:rStyle w:val="Hyperlink"/>
          </w:rPr>
          <w:t xml:space="preserve">https://doi.org/10.1017/CBO9780511666353</w:t>
        </w:r>
      </w:hyperlink>
      <w:r>
        <w:t xml:space="preserve">.</w:t>
      </w:r>
    </w:p>
    <w:bookmarkEnd w:id="223"/>
    <w:bookmarkStart w:id="225"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24">
        <w:r>
          <w:rPr>
            <w:rStyle w:val="Hyperlink"/>
          </w:rPr>
          <w:t xml:space="preserve">https://arxiv.org/abs/2402.11750</w:t>
        </w:r>
      </w:hyperlink>
      <w:r>
        <w:t xml:space="preserve">.</w:t>
      </w:r>
    </w:p>
    <w:bookmarkEnd w:id="225"/>
    <w:bookmarkStart w:id="227"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26">
        <w:r>
          <w:rPr>
            <w:rStyle w:val="Hyperlink"/>
          </w:rPr>
          <w:t xml:space="preserve">https://arxiv.org/abs/2410.07523</w:t>
        </w:r>
      </w:hyperlink>
      <w:r>
        <w:t xml:space="preserve">.</w:t>
      </w:r>
    </w:p>
    <w:bookmarkEnd w:id="227"/>
    <w:bookmarkStart w:id="229"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28">
        <w:r>
          <w:rPr>
            <w:rStyle w:val="Hyperlink"/>
          </w:rPr>
          <w:t xml:space="preserve">https://arxiv.org/abs/2302.05698</w:t>
        </w:r>
      </w:hyperlink>
      <w:r>
        <w:t xml:space="preserve">.</w:t>
      </w:r>
    </w:p>
    <w:bookmarkEnd w:id="229"/>
    <w:bookmarkStart w:id="231"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30">
        <w:r>
          <w:rPr>
            <w:rStyle w:val="Hyperlink"/>
          </w:rPr>
          <w:t xml:space="preserve">https://arxiv.org/abs/2407.02485</w:t>
        </w:r>
      </w:hyperlink>
      <w:r>
        <w:t xml:space="preserve">.</w:t>
      </w:r>
    </w:p>
    <w:bookmarkEnd w:id="231"/>
    <w:bookmarkStart w:id="233"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32">
        <w:r>
          <w:rPr>
            <w:rStyle w:val="Hyperlink"/>
          </w:rPr>
          <w:t xml:space="preserve">https://arxiv.org/abs/2504.15630</w:t>
        </w:r>
      </w:hyperlink>
      <w:r>
        <w:t xml:space="preserve">.</w:t>
      </w:r>
    </w:p>
    <w:bookmarkEnd w:id="233"/>
    <w:bookmarkStart w:id="234"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34"/>
    <w:bookmarkStart w:id="236"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35">
        <w:r>
          <w:rPr>
            <w:rStyle w:val="Hyperlink"/>
          </w:rPr>
          <w:t xml:space="preserve">https://arxiv.org/abs/2405.18253</w:t>
        </w:r>
      </w:hyperlink>
      <w:r>
        <w:t xml:space="preserve">.</w:t>
      </w:r>
    </w:p>
    <w:bookmarkEnd w:id="236"/>
    <w:bookmarkEnd w:id="237"/>
    <w:bookmarkEnd w:id="238"/>
    <w:bookmarkEnd w:id="2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4" Target="https://arxiv.org/abs/1402.4884" TargetMode="External" /><Relationship Type="http://schemas.openxmlformats.org/officeDocument/2006/relationships/hyperlink" Id="rId182" Target="https://arxiv.org/abs/2002.08909" TargetMode="External" /><Relationship Type="http://schemas.openxmlformats.org/officeDocument/2006/relationships/hyperlink" Id="rId218" Target="https://arxiv.org/abs/2301.12652" TargetMode="External" /><Relationship Type="http://schemas.openxmlformats.org/officeDocument/2006/relationships/hyperlink" Id="rId216" Target="https://arxiv.org/abs/2302.00093" TargetMode="External" /><Relationship Type="http://schemas.openxmlformats.org/officeDocument/2006/relationships/hyperlink" Id="rId228" Target="https://arxiv.org/abs/2302.05698" TargetMode="External" /><Relationship Type="http://schemas.openxmlformats.org/officeDocument/2006/relationships/hyperlink" Id="rId220" Target="https://arxiv.org/abs/2304.09542" TargetMode="External" /><Relationship Type="http://schemas.openxmlformats.org/officeDocument/2006/relationships/hyperlink" Id="rId204" Target="https://arxiv.org/abs/2307.03172" TargetMode="External" /><Relationship Type="http://schemas.openxmlformats.org/officeDocument/2006/relationships/hyperlink" Id="rId169" Target="https://arxiv.org/abs/2401.14887" TargetMode="External" /><Relationship Type="http://schemas.openxmlformats.org/officeDocument/2006/relationships/hyperlink" Id="rId224" Target="https://arxiv.org/abs/2402.11750" TargetMode="External" /><Relationship Type="http://schemas.openxmlformats.org/officeDocument/2006/relationships/hyperlink" Id="rId235" Target="https://arxiv.org/abs/2405.18253" TargetMode="External" /><Relationship Type="http://schemas.openxmlformats.org/officeDocument/2006/relationships/hyperlink" Id="rId230" Target="https://arxiv.org/abs/2407.02485" TargetMode="External" /><Relationship Type="http://schemas.openxmlformats.org/officeDocument/2006/relationships/hyperlink" Id="rId188" Target="https://arxiv.org/abs/2410.05983" TargetMode="External" /><Relationship Type="http://schemas.openxmlformats.org/officeDocument/2006/relationships/hyperlink" Id="rId226" Target="https://arxiv.org/abs/2410.07523" TargetMode="External" /><Relationship Type="http://schemas.openxmlformats.org/officeDocument/2006/relationships/hyperlink" Id="rId180" Target="https://arxiv.org/abs/2410.20247" TargetMode="External" /><Relationship Type="http://schemas.openxmlformats.org/officeDocument/2006/relationships/hyperlink" Id="rId206" Target="https://arxiv.org/abs/2411.00640" TargetMode="External" /><Relationship Type="http://schemas.openxmlformats.org/officeDocument/2006/relationships/hyperlink" Id="rId159" Target="https://arxiv.org/abs/2411.01533" TargetMode="External" /><Relationship Type="http://schemas.openxmlformats.org/officeDocument/2006/relationships/hyperlink" Id="rId190" Target="https://arxiv.org/abs/2411.06037" TargetMode="External" /><Relationship Type="http://schemas.openxmlformats.org/officeDocument/2006/relationships/hyperlink" Id="rId157" Target="https://arxiv.org/abs/2503.01747" TargetMode="External" /><Relationship Type="http://schemas.openxmlformats.org/officeDocument/2006/relationships/hyperlink" Id="rId200" Target="https://arxiv.org/abs/2503.04388" TargetMode="External" /><Relationship Type="http://schemas.openxmlformats.org/officeDocument/2006/relationships/hyperlink" Id="rId176" Target="https://arxiv.org/abs/2503.05491" TargetMode="External" /><Relationship Type="http://schemas.openxmlformats.org/officeDocument/2006/relationships/hyperlink" Id="rId198" Target="https://arxiv.org/abs/2504.07104" TargetMode="External" /><Relationship Type="http://schemas.openxmlformats.org/officeDocument/2006/relationships/hyperlink" Id="rId232" Target="https://arxiv.org/abs/2504.15630" TargetMode="External" /><Relationship Type="http://schemas.openxmlformats.org/officeDocument/2006/relationships/hyperlink" Id="rId163" Target="https://arxiv.org/abs/2507.03279" TargetMode="External" /><Relationship Type="http://schemas.openxmlformats.org/officeDocument/2006/relationships/hyperlink" Id="rId165" Target="https://arxiv.org/abs/2508.21184" TargetMode="External" /><Relationship Type="http://schemas.openxmlformats.org/officeDocument/2006/relationships/hyperlink" Id="rId186" Target="https://arxiv.org/abs/2510.00079" TargetMode="External" /><Relationship Type="http://schemas.openxmlformats.org/officeDocument/2006/relationships/hyperlink" Id="rId171" Target="https://arxiv.org/abs/2510.05381" TargetMode="External" /><Relationship Type="http://schemas.openxmlformats.org/officeDocument/2006/relationships/hyperlink" Id="rId152" Target="https://arxiv.org/abs/2512.23617" TargetMode="External" /><Relationship Type="http://schemas.openxmlformats.org/officeDocument/2006/relationships/hyperlink" Id="rId208" Target="https://arxiv.org/abs/2604.06621" TargetMode="External" /><Relationship Type="http://schemas.openxmlformats.org/officeDocument/2006/relationships/hyperlink" Id="rId210" Target="https://arxiv.org/abs/2605.03534" TargetMode="External" /><Relationship Type="http://schemas.openxmlformats.org/officeDocument/2006/relationships/hyperlink" Id="rId202" Target="https://arxiv.org/abs/2605.05716" TargetMode="External" /><Relationship Type="http://schemas.openxmlformats.org/officeDocument/2006/relationships/hyperlink" Id="rId196" Target="https://doi.org/10.1007/978-1-4612-4946-7" TargetMode="External" /><Relationship Type="http://schemas.openxmlformats.org/officeDocument/2006/relationships/hyperlink" Id="rId178" Target="https://doi.org/10.1007/s10791-008-9045-0" TargetMode="External" /><Relationship Type="http://schemas.openxmlformats.org/officeDocument/2006/relationships/hyperlink" Id="rId222" Target="https://doi.org/10.1017/CBO9780511666353" TargetMode="External" /><Relationship Type="http://schemas.openxmlformats.org/officeDocument/2006/relationships/hyperlink" Id="rId167" Target="https://doi.org/10.1093/biomet/26.4.404" TargetMode="External" /><Relationship Type="http://schemas.openxmlformats.org/officeDocument/2006/relationships/hyperlink" Id="rId212" Target="https://doi.org/10.1108/eb026647" TargetMode="External" /><Relationship Type="http://schemas.openxmlformats.org/officeDocument/2006/relationships/hyperlink" Id="rId161" Target="https://doi.org/10.1145/290941.291025" TargetMode="External" /><Relationship Type="http://schemas.openxmlformats.org/officeDocument/2006/relationships/hyperlink" Id="rId192" Target="https://doi.org/10.1145/3397271.3401075" TargetMode="External" /><Relationship Type="http://schemas.openxmlformats.org/officeDocument/2006/relationships/hyperlink" Id="rId194" Target="https://doi.org/10.1214/aoms/1177700372" TargetMode="External" /><Relationship Type="http://schemas.openxmlformats.org/officeDocument/2006/relationships/hyperlink" Id="rId173" Target="https://doi.org/10.1214/aoms/1177728174" TargetMode="External" /><Relationship Type="http://schemas.openxmlformats.org/officeDocument/2006/relationships/hyperlink" Id="rId154" Target="https://doi.org/10.1214/aoms/1177729032" TargetMode="External" /><Relationship Type="http://schemas.openxmlformats.org/officeDocument/2006/relationships/hyperlink" Id="rId76" Target="https://github.com/abilous-ti/blackwell-llm-context" TargetMode="External" /><Relationship Type="http://schemas.openxmlformats.org/officeDocument/2006/relationships/hyperlink" Id="rId184"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214" Target="https://arxiv.org/abs/1402.4884" TargetMode="External" /><Relationship Type="http://schemas.openxmlformats.org/officeDocument/2006/relationships/hyperlink" Id="rId182" Target="https://arxiv.org/abs/2002.08909" TargetMode="External" /><Relationship Type="http://schemas.openxmlformats.org/officeDocument/2006/relationships/hyperlink" Id="rId218" Target="https://arxiv.org/abs/2301.12652" TargetMode="External" /><Relationship Type="http://schemas.openxmlformats.org/officeDocument/2006/relationships/hyperlink" Id="rId216" Target="https://arxiv.org/abs/2302.00093" TargetMode="External" /><Relationship Type="http://schemas.openxmlformats.org/officeDocument/2006/relationships/hyperlink" Id="rId228" Target="https://arxiv.org/abs/2302.05698" TargetMode="External" /><Relationship Type="http://schemas.openxmlformats.org/officeDocument/2006/relationships/hyperlink" Id="rId220" Target="https://arxiv.org/abs/2304.09542" TargetMode="External" /><Relationship Type="http://schemas.openxmlformats.org/officeDocument/2006/relationships/hyperlink" Id="rId204" Target="https://arxiv.org/abs/2307.03172" TargetMode="External" /><Relationship Type="http://schemas.openxmlformats.org/officeDocument/2006/relationships/hyperlink" Id="rId169" Target="https://arxiv.org/abs/2401.14887" TargetMode="External" /><Relationship Type="http://schemas.openxmlformats.org/officeDocument/2006/relationships/hyperlink" Id="rId224" Target="https://arxiv.org/abs/2402.11750" TargetMode="External" /><Relationship Type="http://schemas.openxmlformats.org/officeDocument/2006/relationships/hyperlink" Id="rId235" Target="https://arxiv.org/abs/2405.18253" TargetMode="External" /><Relationship Type="http://schemas.openxmlformats.org/officeDocument/2006/relationships/hyperlink" Id="rId230" Target="https://arxiv.org/abs/2407.02485" TargetMode="External" /><Relationship Type="http://schemas.openxmlformats.org/officeDocument/2006/relationships/hyperlink" Id="rId188" Target="https://arxiv.org/abs/2410.05983" TargetMode="External" /><Relationship Type="http://schemas.openxmlformats.org/officeDocument/2006/relationships/hyperlink" Id="rId226" Target="https://arxiv.org/abs/2410.07523" TargetMode="External" /><Relationship Type="http://schemas.openxmlformats.org/officeDocument/2006/relationships/hyperlink" Id="rId180" Target="https://arxiv.org/abs/2410.20247" TargetMode="External" /><Relationship Type="http://schemas.openxmlformats.org/officeDocument/2006/relationships/hyperlink" Id="rId206" Target="https://arxiv.org/abs/2411.00640" TargetMode="External" /><Relationship Type="http://schemas.openxmlformats.org/officeDocument/2006/relationships/hyperlink" Id="rId159" Target="https://arxiv.org/abs/2411.01533" TargetMode="External" /><Relationship Type="http://schemas.openxmlformats.org/officeDocument/2006/relationships/hyperlink" Id="rId190" Target="https://arxiv.org/abs/2411.06037" TargetMode="External" /><Relationship Type="http://schemas.openxmlformats.org/officeDocument/2006/relationships/hyperlink" Id="rId157" Target="https://arxiv.org/abs/2503.01747" TargetMode="External" /><Relationship Type="http://schemas.openxmlformats.org/officeDocument/2006/relationships/hyperlink" Id="rId200" Target="https://arxiv.org/abs/2503.04388" TargetMode="External" /><Relationship Type="http://schemas.openxmlformats.org/officeDocument/2006/relationships/hyperlink" Id="rId176" Target="https://arxiv.org/abs/2503.05491" TargetMode="External" /><Relationship Type="http://schemas.openxmlformats.org/officeDocument/2006/relationships/hyperlink" Id="rId198" Target="https://arxiv.org/abs/2504.07104" TargetMode="External" /><Relationship Type="http://schemas.openxmlformats.org/officeDocument/2006/relationships/hyperlink" Id="rId232" Target="https://arxiv.org/abs/2504.15630" TargetMode="External" /><Relationship Type="http://schemas.openxmlformats.org/officeDocument/2006/relationships/hyperlink" Id="rId163" Target="https://arxiv.org/abs/2507.03279" TargetMode="External" /><Relationship Type="http://schemas.openxmlformats.org/officeDocument/2006/relationships/hyperlink" Id="rId165" Target="https://arxiv.org/abs/2508.21184" TargetMode="External" /><Relationship Type="http://schemas.openxmlformats.org/officeDocument/2006/relationships/hyperlink" Id="rId186" Target="https://arxiv.org/abs/2510.00079" TargetMode="External" /><Relationship Type="http://schemas.openxmlformats.org/officeDocument/2006/relationships/hyperlink" Id="rId171" Target="https://arxiv.org/abs/2510.05381" TargetMode="External" /><Relationship Type="http://schemas.openxmlformats.org/officeDocument/2006/relationships/hyperlink" Id="rId152" Target="https://arxiv.org/abs/2512.23617" TargetMode="External" /><Relationship Type="http://schemas.openxmlformats.org/officeDocument/2006/relationships/hyperlink" Id="rId208" Target="https://arxiv.org/abs/2604.06621" TargetMode="External" /><Relationship Type="http://schemas.openxmlformats.org/officeDocument/2006/relationships/hyperlink" Id="rId210" Target="https://arxiv.org/abs/2605.03534" TargetMode="External" /><Relationship Type="http://schemas.openxmlformats.org/officeDocument/2006/relationships/hyperlink" Id="rId202" Target="https://arxiv.org/abs/2605.05716" TargetMode="External" /><Relationship Type="http://schemas.openxmlformats.org/officeDocument/2006/relationships/hyperlink" Id="rId196" Target="https://doi.org/10.1007/978-1-4612-4946-7" TargetMode="External" /><Relationship Type="http://schemas.openxmlformats.org/officeDocument/2006/relationships/hyperlink" Id="rId178" Target="https://doi.org/10.1007/s10791-008-9045-0" TargetMode="External" /><Relationship Type="http://schemas.openxmlformats.org/officeDocument/2006/relationships/hyperlink" Id="rId222" Target="https://doi.org/10.1017/CBO9780511666353" TargetMode="External" /><Relationship Type="http://schemas.openxmlformats.org/officeDocument/2006/relationships/hyperlink" Id="rId167" Target="https://doi.org/10.1093/biomet/26.4.404" TargetMode="External" /><Relationship Type="http://schemas.openxmlformats.org/officeDocument/2006/relationships/hyperlink" Id="rId212" Target="https://doi.org/10.1108/eb026647" TargetMode="External" /><Relationship Type="http://schemas.openxmlformats.org/officeDocument/2006/relationships/hyperlink" Id="rId161" Target="https://doi.org/10.1145/290941.291025" TargetMode="External" /><Relationship Type="http://schemas.openxmlformats.org/officeDocument/2006/relationships/hyperlink" Id="rId192" Target="https://doi.org/10.1145/3397271.3401075" TargetMode="External" /><Relationship Type="http://schemas.openxmlformats.org/officeDocument/2006/relationships/hyperlink" Id="rId194" Target="https://doi.org/10.1214/aoms/1177700372" TargetMode="External" /><Relationship Type="http://schemas.openxmlformats.org/officeDocument/2006/relationships/hyperlink" Id="rId173" Target="https://doi.org/10.1214/aoms/1177728174" TargetMode="External" /><Relationship Type="http://schemas.openxmlformats.org/officeDocument/2006/relationships/hyperlink" Id="rId154" Target="https://doi.org/10.1214/aoms/1177729032" TargetMode="External" /><Relationship Type="http://schemas.openxmlformats.org/officeDocument/2006/relationships/hyperlink" Id="rId76" Target="https://github.com/abilous-ti/blackwell-llm-context" TargetMode="External" /><Relationship Type="http://schemas.openxmlformats.org/officeDocument/2006/relationships/hyperlink" Id="rId184"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Department of Information Systems and Networks Lviv Polytechnic National University, Lviv, Ukraine ORCID: 0009-0006-5467-7932 andriy.bilous@uitware.com</dc:creator>
  <cp:keywords/>
  <dcterms:created xsi:type="dcterms:W3CDTF">2026-09-04T16:30:44Z</dcterms:created>
  <dcterms:modified xsi:type="dcterms:W3CDTF">2026-09-04T16:30:44Z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Choosing what to put in a language model’s prompt is almost always done by scoring each candidate source with a single number and keeping the top few. We argue this is the wrong approach. The best context for one task is often useless for another. Two sources can be incomparable, in the exact sense of Blackwell’s 1953 comparison of experiments (Blackwell 1953), and when they are, no single relevance score can rank them correctly for every task. To test this on real systems we use a simple check: run each source through a battery of pass/fail tasks, compare the pass rates, and attach confidence intervals so the comparison is auditable (a distribution-free verification). On six language models from four vendors we confirm (\geq 90\% confidence, both directions) that two hand-built sources are incomparable. On a designed trap task a lexical score, two dense retrievers, and a cross-encoder reranker all prefer the wrong source; only a listwise LLM reranker, which reads the deciding detail, gets it right, exactly the boundary the theory predicts. We also find that adding a strictly larger source can hurt: pass rates fall from 100\% to as low as 0\%, and controls rule out word order and length as the cause. The lesson is practical: treat context selection as a partial-order problem, not a scalar ranking, and compare sources by a verified pass-rate test rather than a relevance number. A companion paper gives the selection rule this implies; scaling it to large corpora is the main open problem.</vt:lpwstr>
  </property>
  <property fmtid="{D5CDD505-2E9C-101B-9397-08002B2CF9AE}" pid="3" name="bibliography">
    <vt:lpwstr>blackwell-paper.bib</vt:lpwstr>
  </property>
  <property fmtid="{D5CDD505-2E9C-101B-9397-08002B2CF9AE}" pid="4" name="date">
    <vt:lpwstr/>
  </property>
  <property fmtid="{D5CDD505-2E9C-101B-9397-08002B2CF9AE}" pid="5" name="link-citations">
    <vt:lpwstr>True</vt:lpwstr>
  </property>
</Properties>
</file>