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all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Section 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for the ideal user and for the fixed model, and prove a one-way bridging</w:t>
      </w:r>
      <w:r>
        <w:t xml:space="preserve"> </w:t>
      </w:r>
      <w:r>
        <w:t xml:space="preserve">lemma whose hypotheses are assumed, not measured; our sources’ structural incomparability rests</w:t>
      </w:r>
      <w:r>
        <w:t xml:space="preserve"> </w:t>
      </w:r>
      <w:r>
        <w:t xml:space="preserve">instead on their construction (see Section 4); and we call our 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(see Section 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(see Sections 4 and 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What 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as the object is an impossibility:</w:t>
      </w:r>
      <w:r>
        <w:t xml:space="preserve"> </w:t>
      </w:r>
      <w:r>
        <w:t xml:space="preserve">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 the</w:t>
      </w:r>
      <w:r>
        <w:t xml:space="preserve"> </w:t>
      </w:r>
      <w:r>
        <w:t xml:space="preserve">query-conditioned topical case isolated separately (Proposition 2).</w:t>
      </w:r>
      <w:r>
        <w:t xml:space="preserve"> </w:t>
      </w:r>
      <w:r>
        <w:t xml:space="preserve">Information retrieval has long argued that no single fixed document score is optimal once</w:t>
      </w:r>
      <w:r>
        <w:t xml:space="preserve"> </w:t>
      </w:r>
      <w:r>
        <w:t xml:space="preserve">documents interact (see Section 2.1); we derive that as a theorem in the Blackwell frame</w:t>
      </w:r>
      <w:r>
        <w:t xml:space="preserve"> </w:t>
      </w:r>
      <w:r>
        <w:t xml:space="preserve">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(see Section 6). We define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gap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together with its plug-in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 deficiency), and a</w:t>
      </w:r>
      <w:r>
        <w:t xml:space="preserve"> </w:t>
      </w:r>
      <w:r>
        <w:t xml:space="preserve">distribution-free uniform verification: exact Clopper–Pearson</w:t>
      </w:r>
      <w:r>
        <w:t xml:space="preserve"> </w:t>
      </w:r>
      <w:r>
        <w:t xml:space="preserve">intervals </w:t>
      </w:r>
      <w:r>
        <w:t xml:space="preserve">(Clopper and Pearson 1934)</w:t>
      </w:r>
      <w:r>
        <w:t xml:space="preserve"> </w:t>
      </w:r>
      <w:r>
        <w:t xml:space="preserve">at Bonferroni 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 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</w:t>
      </w:r>
      <w:r>
        <w:t xml:space="preserve"> </w:t>
      </w:r>
      <w:r>
        <w:t xml:space="preserve">positive value gap at 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</w:t>
      </w:r>
      <w:r>
        <w:t xml:space="preserve"> </w:t>
      </w:r>
      <w:r>
        <w:t xml:space="preserve">rather than absorbed into a single-sample sup inequality </w:t>
      </w:r>
      <w:r>
        <w:t xml:space="preserve">(Dvoretzky et al. 1956)</w:t>
      </w:r>
      <w:r>
        <w:t xml:space="preserve">, which does not</w:t>
      </w:r>
      <w:r>
        <w:t xml:space="preserve"> </w:t>
      </w:r>
      <w:r>
        <w:t xml:space="preserve">cover an argmax over distinct cells. This is what makes the partial order testable on a real</w:t>
      </w:r>
      <w:r>
        <w:t xml:space="preserve"> </w:t>
      </w:r>
      <w:r>
        <w:t xml:space="preserve">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(see Section 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Section 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Section 7. Otherwise the order is</w:t>
      </w:r>
      <w:r>
        <w:t xml:space="preserve"> </w:t>
      </w:r>
      <w:r>
        <w:t xml:space="preserve">prior work (see Section 2), the partial order and the two impossibility results</w:t>
      </w:r>
      <w:r>
        <w:t xml:space="preserve"> </w:t>
      </w:r>
      <w:r>
        <w:t xml:space="preserve">(see Sections 4 and 5), the verification</w:t>
      </w:r>
      <w:r>
        <w:t xml:space="preserve"> </w:t>
      </w:r>
      <w:r>
        <w:t xml:space="preserve">(see Section 6), the six-model measurement (see Section 7), scope and</w:t>
      </w:r>
      <w:r>
        <w:t xml:space="preserve"> </w:t>
      </w:r>
      <w:r>
        <w:t xml:space="preserve">conclusions (see Sections 8 and 9), with proofs, the per-cell record,</w:t>
      </w:r>
      <w:r>
        <w:t xml:space="preserve"> </w:t>
      </w:r>
      <w:r>
        <w:t xml:space="preserve">the diagnostics and the protocol in Appendices A–D.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  <w:r>
              <w:t xml:space="preserve">, plug-in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family; the hat marks the sample estimate, never the population gap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Shapley- and influence-based valuation of</w:t>
      </w:r>
      <w:r>
        <w:t xml:space="preserve"> </w:t>
      </w:r>
      <w:r>
        <w:t xml:space="preserve">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</w:t>
      </w:r>
      <w:r>
        <w:t xml:space="preserve"> </w:t>
      </w:r>
      <w:r>
        <w:t xml:space="preserve">binary sufficient-context detection </w:t>
      </w:r>
      <w:r>
        <w:t xml:space="preserve">(Joren et al. 2024)</w:t>
      </w:r>
      <w:r>
        <w:t xml:space="preserve">. Each collapses the comparison</w:t>
      </w:r>
      <w:r>
        <w:t xml:space="preserve"> </w:t>
      </w:r>
      <w:r>
        <w:t xml:space="preserve">of two sources to one real number, so each is an instance of the excluded class rather than a</w:t>
      </w:r>
      <w:r>
        <w:t xml:space="preserve"> </w:t>
      </w:r>
      <w:r>
        <w:t xml:space="preserve">competitor: Theorem 2 covers the query-independent ones, and</w:t>
      </w:r>
      <w:r>
        <w:t xml:space="preserve"> </w:t>
      </w:r>
      <w:r>
        <w:t xml:space="preserve">Proposition 2 the topical query-conditioned ones that meet its</w:t>
      </w:r>
      <w:r>
        <w:t xml:space="preserve"> </w:t>
      </w:r>
      <w:r>
        <w:t xml:space="preserve">hypotheses.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we prove Blackwell-monotonicity</w:t>
      </w:r>
      <w:r>
        <w:t xml:space="preserve"> </w:t>
      </w:r>
      <w:r>
        <w:t xml:space="preserve">(Proposition 1); for mutual information and fixed-prior EIG it follows from</w:t>
      </w:r>
      <w:r>
        <w:t xml:space="preserve"> </w:t>
      </w:r>
      <w:r>
        <w:t xml:space="preserve">data processing; for a fixed decoder’s perplexity-gap we claim nothing</w:t>
      </w:r>
      <w:r>
        <w:t xml:space="preserve"> </w:t>
      </w:r>
      <w:r>
        <w:t xml:space="preserve">(Remark 5). Calibration does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 scalar and inherits</w:t>
      </w:r>
      <w:r>
        <w:t xml:space="preserve"> </w:t>
      </w:r>
      <w:r>
        <w:t xml:space="preserve">its total order,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. Identifying a non-dominated set from noisy samples is</w:t>
      </w:r>
      <w:r>
        <w:t xml:space="preserve"> </w:t>
      </w:r>
      <w:r>
        <w:t xml:space="preserve">classical in the bandit literature </w:t>
      </w:r>
      <w:r>
        <w:t xml:space="preserve">(Auer et al. 2016)</w:t>
      </w:r>
      <w:r>
        <w:t xml:space="preserve">; what is new here is the object it runs</w:t>
      </w:r>
      <w:r>
        <w:t xml:space="preserve"> </w:t>
      </w:r>
      <w:r>
        <w:t xml:space="preserve">on, (model, verifier, task-battery) triples, not the statistical machinery.</w:t>
      </w:r>
    </w:p>
    <w:p>
      <w:pPr>
        <w:pStyle w:val="BodyText"/>
      </w:pPr>
      <w:r>
        <w:t xml:space="preserve">Retrieval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 </w:t>
      </w:r>
      <w:r>
        <w:t xml:space="preserve">(H. Zhang et al. 2026)</w:t>
      </w:r>
      <w:r>
        <w:t xml:space="preserve">, which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depends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That is the same diagnosis from the other side, and</w:t>
      </w:r>
      <w:r>
        <w:t xml:space="preserve"> </w:t>
      </w:r>
      <w:r>
        <w:t xml:space="preserve">this paper is its formal boundary. Utility re-measured per task by running the model is not a</w:t>
      </w:r>
      <w:r>
        <w:t xml:space="preserve"> </w:t>
      </w:r>
      <w:r>
        <w:t xml:space="preserve">fixed per-source score but the probe our estimator is built from;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</w:t>
      </w:r>
      <w:r>
        <w:t xml:space="preserve"> </w:t>
      </w:r>
      <w:r>
        <w:t xml:space="preserve">learned scorer is a number again, and falls under whichever of the two results applies. Reading</w:t>
      </w:r>
      <w:r>
        <w:t xml:space="preserve"> </w:t>
      </w:r>
      <w:r>
        <w:t xml:space="preserve">the decisive coordinate is one way out, the listwise boundary; reading public task metadata is</w:t>
      </w:r>
      <w:r>
        <w:t xml:space="preserve"> </w:t>
      </w:r>
      <w:r>
        <w:t xml:space="preserve">another (Remark 6). Three families sit there. Listwise</w:t>
      </w:r>
      <w:r>
        <w:t xml:space="preserve"> </w:t>
      </w:r>
      <w:r>
        <w:t xml:space="preserve">rerankers </w:t>
      </w:r>
      <w:r>
        <w:t xml:space="preserve">(Sun et al. 2023)</w:t>
      </w:r>
      <w:r>
        <w:t xml:space="preserve"> </w:t>
      </w:r>
      <w:r>
        <w:t xml:space="preserve">and learned set selectors </w:t>
      </w:r>
      <w:r>
        <w:t xml:space="preserve">(Jiang et al. 2026; Fan et al. 2026)</w:t>
      </w:r>
      <w:r>
        <w:t xml:space="preserve"> </w:t>
      </w:r>
      <w:r>
        <w:t xml:space="preserve">are</w:t>
      </w:r>
      <w:r>
        <w:t xml:space="preserve"> </w:t>
      </w:r>
      <w:r>
        <w:t xml:space="preserve">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 but carrying no dominance</w:t>
      </w:r>
      <w:r>
        <w:t xml:space="preserve"> </w:t>
      </w:r>
      <w:r>
        <w:t xml:space="preserve">guarantee. Skyline selection </w:t>
      </w:r>
      <w:r>
        <w:t xml:space="preserve">(Zhu et al. 2026)</w:t>
      </w:r>
      <w:r>
        <w:t xml:space="preserve"> </w:t>
      </w:r>
      <w:r>
        <w:t xml:space="preserve">keeps the non-dominated set, the operator the</w:t>
      </w:r>
      <w:r>
        <w:t xml:space="preserve"> </w:t>
      </w:r>
      <w:r>
        <w:t xml:space="preserve">partial order calls for, but takes dominance over heuristic per-item scores rather than task</w:t>
      </w:r>
      <w:r>
        <w:t xml:space="preserve"> </w:t>
      </w:r>
      <w:r>
        <w:t xml:space="preserve">value. Diversity-aware selection, from MMR </w:t>
      </w:r>
      <w:r>
        <w:t xml:space="preserve">(Carbonell and Goldstein 1998)</w:t>
      </w:r>
      <w:r>
        <w:t xml:space="preserve"> </w:t>
      </w:r>
      <w:r>
        <w:t xml:space="preserve">to DPPs </w:t>
      </w:r>
      <w:r>
        <w:t xml:space="preserve">(Ye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submodular selection </w:t>
      </w:r>
      <w:r>
        <w:t xml:space="preserve">(Ghulyani et al. 2026)</w:t>
      </w:r>
      <w:r>
        <w:t xml:space="preserve">, optimizes similarity geometry rather than verified value.</w:t>
      </w:r>
      <w:r>
        <w:t xml:space="preserve"> </w:t>
      </w:r>
      <w:r>
        <w:t xml:space="preserve">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closest in form, its</w:t>
      </w:r>
      <w:r>
        <w:t xml:space="preserve"> </w:t>
      </w:r>
      <w:r>
        <w:t xml:space="preserve">covering relation being asymmetric and information-theoretic; but it orders 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query-agnostically, so it prunes what another chunk predicts and</w:t>
      </w:r>
      <w:r>
        <w:t xml:space="preserve"> </w:t>
      </w:r>
      <w:r>
        <w:t xml:space="preserve">never exhibits two sources each decisive where the other fails.</w:t>
      </w:r>
    </w:p>
    <w:p>
      <w:pPr>
        <w:pStyle w:val="BodyText"/>
      </w:pPr>
      <w:r>
        <w:t xml:space="preserve">The limits of scalar relevance are among the oldest themes in the field, and we sit inside that</w:t>
      </w:r>
      <w:r>
        <w:t xml:space="preserve"> </w:t>
      </w:r>
      <w:r>
        <w:t xml:space="preserve">lineage: the Probability Ranking Principle </w:t>
      </w:r>
      <w:r>
        <w:t xml:space="preserve">(Robertson 1977)</w:t>
      </w:r>
      <w:r>
        <w:t xml:space="preserve"> </w:t>
      </w:r>
      <w:r>
        <w:t xml:space="preserve">is optimal only under</w:t>
      </w:r>
      <w:r>
        <w:t xml:space="preserve"> </w:t>
      </w:r>
      <w:r>
        <w:t xml:space="preserve">independence, its failure once documents interact is long documented </w:t>
      </w:r>
      <w:r>
        <w:t xml:space="preserve">(Fuhr 2008)</w:t>
      </w:r>
      <w:r>
        <w:t xml:space="preserve">, and</w:t>
      </w:r>
      <w:r>
        <w:t xml:space="preserve"> </w:t>
      </w:r>
      <w:r>
        <w:t xml:space="preserve">interdependence was given ranking principles of its own in portfolio</w:t>
      </w:r>
      <w:r>
        <w:t xml:space="preserve"> </w:t>
      </w:r>
      <w:r>
        <w:t xml:space="preserve">theory </w:t>
      </w:r>
      <w:r>
        <w:t xml:space="preserve">(Wang and Zhu 2009)</w:t>
      </w:r>
      <w:r>
        <w:t xml:space="preserve"> </w:t>
      </w:r>
      <w:r>
        <w:t xml:space="preserve">and the quantum PRP,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exactly</w:t>
      </w:r>
      <w:r>
        <w:t xml:space="preserve"> </w:t>
      </w:r>
      <w:r>
        <w:t xml:space="preserve">this dependence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answers, is measured directly </w:t>
      </w:r>
      <w:r>
        <w:t xml:space="preserve">(LeVine and Varjavand 2025)</w:t>
      </w:r>
      <w:r>
        <w:t xml:space="preserve">, and the observation that</w:t>
      </w:r>
      <w:r>
        <w:t xml:space="preserve"> </w:t>
      </w:r>
      <w:r>
        <w:t xml:space="preserve">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is argued at the set level </w:t>
      </w:r>
      <w:r>
        <w:t xml:space="preserve">(Qiu et al. 2026)</w:t>
      </w:r>
      <w:r>
        <w:t xml:space="preserve">. Our</w:t>
      </w:r>
      <w:r>
        <w:t xml:space="preserve"> </w:t>
      </w:r>
      <w:r>
        <w:t xml:space="preserve">delta is the form of the statement: a theorem in the comparison-of-experiments frame, with the</w:t>
      </w:r>
      <w:r>
        <w:t xml:space="preserve"> </w:t>
      </w:r>
      <w:r>
        <w:t xml:space="preserve">structural condition under which every query-independent scalar must mis-rank, and a verified</w:t>
      </w:r>
      <w:r>
        <w:t xml:space="preserve"> </w:t>
      </w:r>
      <w:r>
        <w:t xml:space="preserve">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(F. 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gross-length, block-order and formatting controls on the one model</w:t>
      </w:r>
      <w:r>
        <w:t xml:space="preserve"> </w:t>
      </w:r>
      <w:r>
        <w:t xml:space="preserve">where those controls were run and is consistent with convention 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Our</w:t>
      </w:r>
      <w:r>
        <w:t xml:space="preserve"> </w:t>
      </w:r>
      <w:r>
        <w:t xml:space="preserve">object is different,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it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that no single per-source score can be faithful to it, and verify a</w:t>
      </w:r>
      <w:r>
        <w:t xml:space="preserve"> </w:t>
      </w:r>
      <w:r>
        <w:t xml:space="preserve">strict superset of a sufficient source collapsing PASS, with gross-length, block-order and routing</w:t>
      </w:r>
      <w:r>
        <w:t xml:space="preserve"> </w:t>
      </w:r>
      <w:r>
        <w:t xml:space="preserve">controls run on one model, not every confound excluded. Incomparability in this sense</w:t>
      </w:r>
      <w:r>
        <w:t xml:space="preserve"> </w:t>
      </w:r>
      <w:r>
        <w:t xml:space="preserve">cannot arise inside a single declared decision problem, so its absence there is a different</w:t>
      </w:r>
      <w:r>
        <w:t xml:space="preserve"> </w:t>
      </w:r>
      <w:r>
        <w:t xml:space="preserve">question rather than a gap.</w:t>
      </w:r>
    </w:p>
    <w:p>
      <w:pPr>
        <w:pStyle w:val="BodyText"/>
      </w:pPr>
      <w:r>
        <w:t xml:space="preserve">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valuation.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 by</w:t>
      </w:r>
      <w:r>
        <w:t xml:space="preserve"> </w:t>
      </w:r>
      <w:r>
        <w:t xml:space="preserve">Blackwell informativeness and show that the mutual information between the curated and the test</w:t>
      </w:r>
      <w:r>
        <w:t xml:space="preserve"> </w:t>
      </w:r>
      <w:r>
        <w:t xml:space="preserve">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 direction,</w:t>
      </w:r>
      <w:r>
        <w:t xml:space="preserve"> </w:t>
      </w:r>
      <w:r>
        <w:t xml:space="preserve">and it is one-directional; a scalar can be monotone along the order without representing it, so</w:t>
      </w:r>
      <w:r>
        <w:t xml:space="preserve"> </w:t>
      </w:r>
      <w:r>
        <w:t xml:space="preserve">their result is compatible with ours rather than opposed to it. Their comparison is also taken</w:t>
      </w:r>
      <w:r>
        <w:t xml:space="preserve"> </w:t>
      </w:r>
      <w:r>
        <w:t xml:space="preserve">against the Bayes-optimal user of the data, ours against a fixed model rule on a task family. What</w:t>
      </w:r>
      <w:r>
        <w:t xml:space="preserve"> </w:t>
      </w:r>
      <w:r>
        <w:t xml:space="preserve">Theorem 2 adds is the converse question, whether any query-independent scalar</w:t>
      </w:r>
      <w:r>
        <w:t xml:space="preserve"> </w:t>
      </w:r>
      <w:r>
        <w:t xml:space="preserve">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 be once the order is partial.</w:t>
      </w:r>
      <w:r>
        <w:t xml:space="preserve"> </w:t>
      </w:r>
      <w:r>
        <w:t xml:space="preserve">Nearby uses stop short of what we do: garbling to harden LLM</w:t>
      </w:r>
      <w:r>
        <w:t xml:space="preserve"> </w:t>
      </w:r>
      <w:r>
        <w:t xml:space="preserve">evaluations </w:t>
      </w:r>
      <w:r>
        <w:t xml:space="preserve">(Bradley 2024)</w:t>
      </w:r>
      <w:r>
        <w:t xml:space="preserve">, 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in transfer</w:t>
      </w:r>
      <w:r>
        <w:t xml:space="preserve"> </w:t>
      </w:r>
      <w:r>
        <w:t xml:space="preserve">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</w:t>
      </w:r>
      <w:r>
        <w:t xml:space="preserve"> </w:t>
      </w:r>
      <w:r>
        <w:t xml:space="preserve">AI </w:t>
      </w:r>
      <w:r>
        <w:t xml:space="preserve">(Paxton 2026)</w:t>
      </w:r>
      <w:r>
        <w:t xml:space="preserve">. Another inference-time application sits on the other side of the</w:t>
      </w:r>
      <w:r>
        <w:t xml:space="preserve"> </w:t>
      </w:r>
      <w:r>
        <w:t xml:space="preserve">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</w:t>
      </w:r>
      <w:r>
        <w:t xml:space="preserve"> </w:t>
      </w:r>
      <w:r>
        <w:t xml:space="preserve">induced by multi-agent protocols, showing that voting and debate are no more informative than the</w:t>
      </w:r>
      <w:r>
        <w:t xml:space="preserve"> </w:t>
      </w:r>
      <w:r>
        <w:t xml:space="preserve">agents’ pooled private information and identifying Bayesian pooled-posterior maximisation as the</w:t>
      </w:r>
      <w:r>
        <w:t xml:space="preserve"> </w:t>
      </w:r>
      <w:r>
        <w:t xml:space="preserve">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Sorting the methods above on three axes, whether a method is cheap enough to run at retrieval</w:t>
      </w:r>
      <w:r>
        <w:t xml:space="preserve"> </w:t>
      </w:r>
      <w:r>
        <w:t xml:space="preserve">scale, whether it conditions on the task, and whether it can represent 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ranking, makes the pattern uniform. Every method cheap enough to precompute emits</w:t>
      </w:r>
      <w:r>
        <w:t xml:space="preserve"> </w:t>
      </w:r>
      <w:r>
        <w:t xml:space="preserve">one number per item, however that number is produced: late interaction over multi-vector</w:t>
      </w:r>
      <w:r>
        <w:t xml:space="preserve"> </w:t>
      </w:r>
      <w:r>
        <w:t xml:space="preserve">representations </w:t>
      </w:r>
      <w:r>
        <w:t xml:space="preserve">(Khattab and Zaharia 2020)</w:t>
      </w:r>
      <w:r>
        <w:t xml:space="preserve"> </w:t>
      </w:r>
      <w:r>
        <w:t xml:space="preserve">and retrievers supervised by the language model</w:t>
      </w:r>
      <w:r>
        <w:t xml:space="preserve"> </w:t>
      </w:r>
      <w:r>
        <w:t xml:space="preserve">itself </w:t>
      </w:r>
      <w:r>
        <w:t xml:space="preserve">(Guu et al. 2020; W. Shi et al. 2023)</w:t>
      </w:r>
      <w:r>
        <w:t xml:space="preserve"> </w:t>
      </w:r>
      <w:r>
        <w:t xml:space="preserve">are scored per item no less than lexical relevance is.</w:t>
      </w:r>
      <w:r>
        <w:t xml:space="preserve"> </w:t>
      </w:r>
      <w:r>
        <w:t xml:space="preserve">All of them therefore fall under Theorem 2 when that number is fixed across</w:t>
      </w:r>
      <w:r>
        <w:t xml:space="preserve"> </w:t>
      </w:r>
      <w:r>
        <w:t xml:space="preserve">tasks. The methods that escape do so either by reading the decisive content per candidate, which</w:t>
      </w:r>
      <w:r>
        <w:t xml:space="preserve"> </w:t>
      </w:r>
      <w:r>
        <w:t xml:space="preserve">costs a model call, or by routing on public task metadata, which</w:t>
      </w:r>
      <w:r>
        <w:t xml:space="preserve"> </w:t>
      </w:r>
      <w:r>
        <w:t xml:space="preserve">Proposition 2 does not exclude (Remark 6). No prior</w:t>
      </w:r>
      <w:r>
        <w:t xml:space="preserve"> </w:t>
      </w:r>
      <w:r>
        <w:t xml:space="preserve">family is both cheap and faithful to the partial order; that empty cell is the open problem this</w:t>
      </w:r>
      <w:r>
        <w:t xml:space="preserve"> </w:t>
      </w:r>
      <w:r>
        <w:t xml:space="preserve">paper isolates; the verified non-dominated set pays probe cost to sit in it, and what that cost</w:t>
      </w:r>
      <w:r>
        <w:t xml:space="preserve"> </w:t>
      </w:r>
      <w:r>
        <w:t xml:space="preserve">buys is a verified 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a guarantee about any selector</w:t>
      </w:r>
      <w:r>
        <w:t xml:space="preserve"> </w:t>
      </w:r>
      <w:r>
        <w:t xml:space="preserve">built on the set.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</w:t>
      </w:r>
      <w:r>
        <w:t xml:space="preserve"> </w:t>
      </w:r>
      <w:r>
        <w:t xml:space="preserve">separates two decision rules that the informal literature silently 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 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every empirical quantity in this paper measures.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product of coordinates rather than an opaque atom is what makes the experiment model well posed</w:t>
      </w:r>
      <w:r>
        <w:t xml:space="preserve"> </w:t>
      </w:r>
      <w:r>
        <w:t xml:space="preserve">for fixed-string sources (Section 3.2, Lemma 1).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Section 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comparison; the measured pass rates enter its proof nowhere, and neither bound a Bayes value nor</w:t>
      </w:r>
      <w:r>
        <w:t xml:space="preserve"> </w:t>
      </w:r>
      <w:r>
        <w:t xml:space="preserve">estimate a guessing cap.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(see Section 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every 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</w:t>
      </w:r>
      <w:r>
        <w:t xml:space="preserve"> </w:t>
      </w:r>
      <w:r>
        <w:t xml:space="preserve">deficiency estimator of Section 6, the interference statistic of</w:t>
      </w:r>
      <w:r>
        <w:t xml:space="preserve"> </w:t>
      </w:r>
      <w:r>
        <w:t xml:space="preserve">Section 6.3, and the entire six-model program of Section 7, is a</w:t>
      </w:r>
      <w:r>
        <w:t xml:space="preserve"> </w:t>
      </w:r>
      <w:r>
        <w:t xml:space="preserve">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 develop the order in two</w:t>
      </w:r>
      <w:r>
        <w:t xml:space="preserve"> </w:t>
      </w:r>
      <w:r>
        <w:t xml:space="preserve">registers and prove an explicit bridge between them 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. Reading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degenerate: such a kernel is</w:t>
      </w:r>
      <w:r>
        <w:t xml:space="preserve"> </w:t>
      </w:r>
      <w:r>
        <w:t xml:space="preserve">Blackwell-equivalent to the null experiment, carries 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 vacuous. We instead model each fixed</w:t>
      </w:r>
      <w:r>
        <w:t xml:space="preserve"> </w:t>
      </w:r>
      <w:r>
        <w:t xml:space="preserve">source as a</w:t>
      </w:r>
      <w:r>
        <w:t xml:space="preserve"> </w:t>
      </w:r>
      <w:r>
        <w:rPr>
          <w:i/>
          <w:iCs/>
        </w:rPr>
        <w:t xml:space="preserve">deterministic experiment that observes a projection of the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the informativeness of a fixed string is exactly the</w:t>
      </w:r>
      <w:r>
        <w:t xml:space="preserve"> </w:t>
      </w:r>
      <w:r>
        <w:t xml:space="preserve">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</w:t>
      </w:r>
      <w:r>
        <w:t xml:space="preserve"> </w:t>
      </w:r>
      <w:r>
        <w:t xml:space="preserve">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 across task instances</w:t>
      </w:r>
      <w:r>
        <w:t xml:space="preserve"> </w:t>
      </w:r>
      <m:oMath>
        <m:r>
          <m:t>T</m:t>
        </m:r>
      </m:oMath>
      <w:r>
        <w:t xml:space="preserve">. This is what makes the comparison of</w:t>
      </w:r>
      <w:r>
        <w:t xml:space="preserve"> </w:t>
      </w:r>
      <w:r>
        <w:t xml:space="preserve">Section 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Section 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(see Section 3), the classical comparison of</w:t>
      </w:r>
      <w:r>
        <w:t xml:space="preserve"> </w:t>
      </w:r>
      <w:r>
        <w:t xml:space="preserve">experiments applies to them directly: we state the order, record that it is partial, and bridge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The theorem is classical </w:t>
      </w:r>
      <w:r>
        <w:t xml:space="preserve">(Blackwell 1953; Torgersen 1991)</w:t>
      </w:r>
      <w:r>
        <w:t xml:space="preserve"> </w:t>
      </w:r>
      <w:r>
        <w:t xml:space="preserve">and we use it as a black</w:t>
      </w:r>
      <w:r>
        <w:t xml:space="preserve"> </w:t>
      </w:r>
      <w:r>
        <w:t xml:space="preserve">box.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</w:t>
      </w:r>
      <w:r>
        <w:t xml:space="preserve"> </w:t>
      </w:r>
      <w:r>
        <w:t xml:space="preserve">by simulating the garbling.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space,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our coordinate construction realizes; on a general state space the</w:t>
      </w:r>
      <w:r>
        <w:t xml:space="preserve"> </w:t>
      </w:r>
      <w:r>
        <w:t xml:space="preserve">converse needs the convex closure taken in the definition of</w:t>
      </w:r>
      <w:r>
        <w:t xml:space="preserve"> </w:t>
      </w:r>
      <w:r>
        <w:t xml:space="preserve">more-informativeness </w:t>
      </w:r>
      <w:r>
        <w:t xml:space="preserve">(Khan et al. 2025)</w:t>
      </w:r>
      <w:r>
        <w:t xml:space="preserve">. Reading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 (Definition 1) is faithful because the</w:t>
      </w:r>
      <w:r>
        <w:t xml:space="preserve"> </w:t>
      </w:r>
      <w:r>
        <w:t xml:space="preserve">kernels of Definition 3 are standard Borel, which says nothing about the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reading: clause</w:t>
      </w:r>
      <w:r>
        <w:t xml:space="preserve"> </w:t>
      </w:r>
      <w:r>
        <w:t xml:space="preserve">(ii)</w:t>
      </w:r>
      <w:r>
        <w:t xml:space="preserve"> </w:t>
      </w:r>
      <w:r>
        <w:t xml:space="preserve">quantifies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bounded utilities,</w:t>
      </w:r>
      <w:r>
        <w:t xml:space="preserve"> </w:t>
      </w:r>
      <w:r>
        <w:t xml:space="preserve">whereas the tasks we can execute are only the binary-verifier subclass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2. That restriction is harmless in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but not in the converse, whose witness need not be binary;</w:t>
      </w:r>
      <w:r>
        <w:t xml:space="preserve"> </w:t>
      </w:r>
      <w:r>
        <w:t xml:space="preserve">it costs nothing for the projection sources of Definition 3, whose binary</w:t>
      </w:r>
      <w:r>
        <w:t xml:space="preserve"> </w:t>
      </w:r>
      <w:r>
        <w:t xml:space="preserve">witnesses are exhibited in the proof of Lemma 2</w:t>
      </w:r>
      <w:r>
        <w:t xml:space="preserve">(a)</w:t>
      </w:r>
      <w:r>
        <w:t xml:space="preserve">, and beyond them it is</w:t>
      </w:r>
      <w:r>
        <w:t xml:space="preserve"> </w:t>
      </w:r>
      <w:r>
        <w:t xml:space="preserve">a scope limit of our presentation, not a property of the theorem.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yet the two do not score alike: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a difference whose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0.0202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0.3846</m:t>
        </m:r>
        <m:r>
          <m:rPr>
            <m:sty m:val="p"/>
          </m:rPr>
          <m:t>]</m:t>
        </m:r>
      </m:oMath>
      <w:r>
        <w:t xml:space="preserve"> </w:t>
      </w:r>
      <w:r>
        <w:t xml:space="preserve">excludes</w:t>
      </w:r>
      <w:r>
        <w:t xml:space="preserve"> </w:t>
      </w:r>
      <w:r>
        <w:t xml:space="preserve">zero, 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 it does not. One cell therefore</w:t>
      </w:r>
      <w:r>
        <w:t xml:space="preserve"> </w:t>
      </w:r>
      <w:r>
        <w:t xml:space="preserve">certifies an instance and the other only illustrates the possibility.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Section 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Section 7: the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 the private arg-order /</w:t>
      </w:r>
      <w:r>
        <w:t xml:space="preserve"> </w:t>
      </w:r>
      <w:r>
        <w:t xml:space="preserve">required-keyword / exception-type facts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and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 the</w:t>
      </w:r>
      <w:r>
        <w:t xml:space="preserve"> </w:t>
      </w:r>
      <w:r>
        <w:t xml:space="preserve">cents-scale / check-digit facts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give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, and neither set contains the</w:t>
      </w:r>
      <w:r>
        <w:t xml:space="preserve"> </w:t>
      </w:r>
      <w:r>
        <w:t xml:space="preserve">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 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 single</w:t>
      </w:r>
      <w:r>
        <w:t xml:space="preserve"> </w:t>
      </w:r>
      <w:r>
        <w:t xml:space="preserve">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An inequality between optimal values need not hold</w:t>
      </w:r>
      <w:r>
        <w:t xml:space="preserve"> </w:t>
      </w:r>
      <w:r>
        <w:t xml:space="preserve">for a fixed rule, and, as we show empirically, the fixed rule 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</w:t>
      </w:r>
      <w:r>
        <w:t xml:space="preserve"> </w:t>
      </w:r>
      <w:r>
        <w:t xml:space="preserve">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</w:t>
      </w:r>
      <w:r>
        <w:t xml:space="preserve"> </w:t>
      </w:r>
      <w:r>
        <w:t xml:space="preserve">rule) 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</w:t>
      </w:r>
      <w:r>
        <w:t xml:space="preserve"> </w:t>
      </w:r>
      <w:r>
        <w:t xml:space="preserve">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surely, and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accepting some action measurable in that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and those facts (</w:t>
      </w:r>
      <w:r>
        <w:rPr>
          <w:i/>
          <w:i/>
          <w:iCs/>
          <w:iCs/>
        </w:rPr>
        <w:t xml:space="preserve">sufficiency and solvability under the informed source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solvability is not implied by the dependence).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caps are hypotheses of this criterion, not</w:t>
      </w:r>
      <w:r>
        <w:rPr>
          <w:i/>
          <w:iCs/>
        </w:rPr>
        <w:t xml:space="preserve"> </w:t>
      </w:r>
      <w:r>
        <w:rPr>
          <w:i/>
          <w:iCs/>
        </w:rPr>
        <w:t xml:space="preserve">quantities the experiments determine. Per cell, Section 7 reports a</w:t>
      </w:r>
      <w:r>
        <w:rPr>
          <w:i/>
          <w:iCs/>
        </w:rPr>
        <w:t xml:space="preserve"> </w:t>
      </w:r>
      <w:r>
        <w:rPr>
          <w:i/>
          <w:iCs/>
        </w:rPr>
        <w:t xml:space="preserve">crossover between the same fixed rule’s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realized</w:t>
      </w:r>
      <w:r>
        <w:rPr>
          <w:i/>
          <w:iCs/>
        </w:rPr>
        <w:t xml:space="preserve"> </w:t>
      </w:r>
      <w:r>
        <w:rPr>
          <w:i/>
          <w:iCs/>
        </w:rPr>
        <w:t xml:space="preserve">rates,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such a comparison neither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nor bounds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though it is consistent with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1); we nowhere report the cap conditions as empirically verified.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three objects do different jobs. Lemma 1 establishes structural incomparability</w:t>
      </w:r>
      <w:r>
        <w:t xml:space="preserve"> </w:t>
      </w:r>
      <w:r>
        <w:t xml:space="preserve">for the specified projection sources, with no prior, no caps and no measurement;</w:t>
      </w:r>
      <w:r>
        <w:t xml:space="preserve"> </w:t>
      </w:r>
      <w:r>
        <w:t xml:space="preserve">Lemma 2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whose guessing caps</w:t>
      </w:r>
      <w:r>
        <w:t xml:space="preserve"> </w:t>
      </w:r>
      <w:r>
        <w:t xml:space="preserve">are assumptions, 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rates;</w:t>
      </w:r>
      <w:r>
        <w:t xml:space="preserve"> </w:t>
      </w:r>
      <w:r>
        <w:t xml:space="preserve">Assumption 1 concerns realized cross-advantage on named tasks, which the</w:t>
      </w:r>
      <w:r>
        <w:t xml:space="preserve"> </w:t>
      </w:r>
      <w:r>
        <w:t xml:space="preserve">experiments assess directly.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Section 4 showed the order is partial; we now establish the consequence that motivates the</w:t>
      </w:r>
      <w:r>
        <w:t xml:space="preserve"> </w:t>
      </w:r>
      <w:r>
        <w:t xml:space="preserve">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 claim: a theorem</w:t>
      </w:r>
      <w:r>
        <w:t xml:space="preserve"> </w:t>
      </w:r>
      <w:r>
        <w:t xml:space="preserve">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a separate, explicitly empirical</w:t>
      </w:r>
      <w:r>
        <w:t xml:space="preserve"> </w:t>
      </w:r>
      <w:r>
        <w:t xml:space="preserve">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relevance score practitioners</w:t>
      </w:r>
      <w:r>
        <w:t xml:space="preserve"> </w:t>
      </w:r>
      <w:r>
        <w:t xml:space="preserve">actually use;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Being real-valued,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totally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preorders</w:t>
      </w:r>
      <w:r>
        <w:rPr>
          <w:i/>
          <w:iCs/>
        </w:rPr>
        <w:t xml:space="preserve"> </w:t>
      </w:r>
      <w:r>
        <w:rPr>
          <w:i/>
          <w:iCs/>
        </w:rPr>
        <w:t xml:space="preserve">sources; it need not order them strictly,</w:t>
      </w:r>
      <w:r>
        <w:rPr>
          <w:i/>
          <w:iCs/>
        </w:rPr>
        <w:t xml:space="preserve"> </w:t>
      </w:r>
      <w:r>
        <w:rPr>
          <w:i/>
          <w:iCs/>
        </w:rPr>
        <w:t xml:space="preserve">since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permitted. Call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faithful on a task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the</w:t>
      </w:r>
      <w:r>
        <w:rPr>
          <w:i/>
          <w:iCs/>
        </w:rPr>
        <w:t xml:space="preserve"> </w:t>
      </w:r>
      <w:r>
        <w:rPr>
          <w:i/>
          <w:iCs/>
        </w:rPr>
        <w:t xml:space="preserve">source strictly preferred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receives the strictly larger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-value, so a tie is a</w:t>
      </w:r>
      <w:r>
        <w:rPr>
          <w:i/>
          <w:iCs/>
        </w:rPr>
        <w:t xml:space="preserve"> </w:t>
      </w:r>
      <w:r>
        <w:rPr>
          <w:i/>
          <w:iCs/>
        </w:rPr>
        <w:t xml:space="preserve">failure; a task-independent tie-breaking rule fixed in advance reduces ties to the strict case,</w:t>
      </w:r>
      <w:r>
        <w:rPr>
          <w:i/>
          <w:iCs/>
        </w:rPr>
        <w:t xml:space="preserve"> </w:t>
      </w:r>
      <w:r>
        <w:rPr>
          <w:i/>
          <w:iCs/>
        </w:rPr>
        <w:t xml:space="preserve">leaving the conclusion unchanged.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unfaithful to the optimal-value order on at least one of them, the witnesses being bounded-utility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problems from Theorem 1</w:t>
      </w:r>
      <w:r>
        <w:rPr>
          <w:i/>
          <w:iCs/>
        </w:rPr>
        <w:t xml:space="preserve">(ii)</w:t>
      </w:r>
      <w:r>
        <w:rPr>
          <w:i/>
          <w:iCs/>
        </w:rPr>
        <w:t xml:space="preserve">, not necessarily binary verifiers</w:t>
      </w:r>
      <w:r>
        <w:rPr>
          <w:i/>
          <w:iCs/>
        </w:rPr>
        <w:t xml:space="preserve"> </w:t>
      </w:r>
      <w:r>
        <w:rPr>
          <w:i/>
          <w:iCs/>
        </w:rPr>
        <w:t xml:space="preserve">(Definition 2), though they can be taken binary for projection sources (proof of</w:t>
      </w:r>
      <w:r>
        <w:rPr>
          <w:i/>
          <w:iCs/>
        </w:rPr>
        <w:t xml:space="preserve"> </w:t>
      </w:r>
      <w:r>
        <w:rPr>
          <w:i/>
          <w:iCs/>
        </w:rPr>
        <w:t xml:space="preserve">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). If 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likewise unfaithful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order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(see Section 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that retrieval</w:t>
      </w:r>
      <w:r>
        <w:t xml:space="preserve"> </w:t>
      </w:r>
      <w:r>
        <w:t xml:space="preserve">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 fixed total order, so Theorem 2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</w:t>
      </w:r>
      <w:r>
        <w:t xml:space="preserve"> </w:t>
      </w:r>
      <w:r>
        <w:t xml:space="preserve">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narrower: the text-reading scorers we ran put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it</w:t>
      </w:r>
      <w:r>
        <w:t xml:space="preserve"> </w:t>
      </w:r>
      <w:r>
        <w:t xml:space="preserve">(see Section 7.4.2). That is a measured mis-rank, not evidence that a</w:t>
      </w:r>
      <w:r>
        <w:t xml:space="preserve"> </w:t>
      </w:r>
      <w:r>
        <w:t xml:space="preserve">learned checkpoint satisfies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only the lexical cosine meets</w:t>
      </w:r>
      <w:r>
        <w:t xml:space="preserve"> </w:t>
      </w:r>
      <w:r>
        <w:t xml:space="preserve">(b)</w:t>
      </w:r>
      <w:r>
        <w:t xml:space="preserve"> </w:t>
      </w:r>
      <w:r>
        <w:t xml:space="preserve">by construction.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Section 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Because Proposition 2 binds a query-conditioned score only when it meets</w:t>
      </w:r>
      <w:r>
        <w:t xml:space="preserve"> </w:t>
      </w:r>
      <w:r>
        <w:t xml:space="preserve">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(Remark 6), we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 Section 7.4.2. In</w:t>
      </w:r>
      <w:r>
        <w:t xml:space="preserve"> </w:t>
      </w:r>
      <w:r>
        <w:t xml:space="preserve">Section 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where the lexical</w:t>
      </w:r>
      <w:r>
        <w:t xml:space="preserve"> </w:t>
      </w:r>
      <w:r>
        <w:t xml:space="preserve">cosine and representative open-weight learned rankers—two dense bi-encoders (BGE, E5) and a</w:t>
      </w:r>
      <w:r>
        <w:t xml:space="preserve"> </w:t>
      </w:r>
      <w:r>
        <w:t xml:space="preserve">cross-encoder reranker—all mis-rank the pair (Section 7.4.2,</w:t>
      </w:r>
      <w:r>
        <w:t xml:space="preserve"> </w:t>
      </w:r>
      <w:r>
        <w:t xml:space="preserve">Table 3), so the topical class is not a lexical strawman. The same failure is</w:t>
      </w:r>
      <w:r>
        <w:t xml:space="preserve"> </w:t>
      </w:r>
      <w:r>
        <w:t xml:space="preserve">documented in the wild: language-model re-rankers are steered by lexical similarity across NQ,</w:t>
      </w:r>
      <w:r>
        <w:t xml:space="preserve"> </w:t>
      </w:r>
      <w:r>
        <w:t xml:space="preserve">LitQA2, and DRUID </w:t>
      </w:r>
      <w:r>
        <w:t xml:space="preserve">(Hagström, Nie, et al. 2025)</w:t>
      </w:r>
      <w:r>
        <w:t xml:space="preserve">, a corpus of real retrieved</w:t>
      </w:r>
      <w:r>
        <w:t xml:space="preserve"> </w:t>
      </w:r>
      <w:r>
        <w:t xml:space="preserve">contexts </w:t>
      </w:r>
      <w:r>
        <w:t xml:space="preserve">(Hagström, Marjanović, et al. 2025)</w:t>
      </w:r>
      <w:r>
        <w:t xml:space="preserve">; and semantically close but logically irrelevant passages defeat</w:t>
      </w:r>
      <w:r>
        <w:t xml:space="preserve"> </w:t>
      </w:r>
      <w:r>
        <w:t xml:space="preserve">retrievers and rerankers at scale, with a listwise evidence-reasoning agent as the</w:t>
      </w:r>
      <w:r>
        <w:t xml:space="preserve"> </w:t>
      </w:r>
      <w:r>
        <w:t xml:space="preserve">remedy </w:t>
      </w:r>
      <w:r>
        <w:t xml:space="preserve">(Chen et al. 2026)</w:t>
      </w:r>
      <w:r>
        <w:t xml:space="preserve">.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), behaviour</w:t>
      </w:r>
      <w:r>
        <w:t xml:space="preserve"> </w:t>
      </w:r>
      <w:r>
        <w:t xml:space="preserve">Proposition 2 permits rather than predicts.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Section 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pass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(2),</w:t>
      </w:r>
      <w:r>
        <w:t xml:space="preserve"> </w:t>
      </w:r>
      <w:r>
        <w:t xml:space="preserve">so (5) is a population functional and not a statistic; its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substitutes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cell, the</w:t>
      </w:r>
      <w:r>
        <w:t xml:space="preserve"> </w:t>
      </w:r>
      <w:r>
        <w:t xml:space="preserve">hat marking the sample quantity throughout. In population terms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to the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Definition 5,</w:t>
      </w:r>
      <w:r>
        <w:t xml:space="preserve"> </w:t>
      </w:r>
      <w:r>
        <w:t xml:space="preserve">and mutual positivity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 Neither holds of the plug-in: at finite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no dominance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no positive population gap, both carrying sampling</w:t>
      </w:r>
      <w:r>
        <w:t xml:space="preserve"> </w:t>
      </w:r>
      <w:r>
        <w:t xml:space="preserve">error and the maximum being selected besides. Section 6.2 supplies the</w:t>
      </w:r>
      <w:r>
        <w:t xml:space="preserve"> </w:t>
      </w:r>
      <w:r>
        <w:t xml:space="preserve">missing confidence statement, and that construction, not the sign of the plug-in, is the</w:t>
      </w:r>
      <w:r>
        <w:t xml:space="preserve"> </w:t>
      </w:r>
      <w:r>
        <w:t xml:space="preserve">inferential step on which every claim we call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rests.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 of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, experiments on a common state</w:t>
      </w:r>
      <w:r>
        <w:t xml:space="preserve"> </w:t>
      </w:r>
      <w:r>
        <w:t xml:space="preserve">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kernels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quantity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inf</m:t>
              </m:r>
            </m:e>
            <m:lim>
              <m:r>
                <m:t>G</m:t>
              </m:r>
            </m:lim>
          </m:limLow>
          <m:r>
            <m:t> 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lim>
          </m:limLow>
          <m:r>
            <m:t> </m:t>
          </m:r>
          <m:r>
            <m:rPr>
              <m:sty m:val="p"/>
            </m:rPr>
            <m:t>∥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A</m:t>
              </m:r>
            </m:lim>
          </m:limLow>
          <m:r>
            <m:t> </m:t>
          </m:r>
          <m:r>
            <m:rPr>
              <m:sty m:val="p"/>
            </m:rPr>
            <m:t>|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ranging over Markov kernels from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’s signal space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’s, so that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garbling relation</w:t>
      </w:r>
      <w:r>
        <w:t xml:space="preserve"> </w:t>
      </w:r>
      <m:oMath>
        <m:r>
          <m:rPr>
            <m:scr m:val="script"/>
            <m:sty m:val="p"/>
          </m:rPr>
          <m:t>E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4 </w:t>
      </w:r>
      <w:r>
        <w:t xml:space="preserve">(Le Cam 1964, 1986; Torgersen 1991)</w:t>
      </w:r>
      <w:r>
        <w:t xml:space="preserve">. Its value depends on the</w:t>
      </w:r>
      <w:r>
        <w:t xml:space="preserve"> </w:t>
      </w:r>
      <w:r>
        <w:t xml:space="preserve">direction, on the normalization above (the supremum over events; 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form is twice it), and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rather than an average against a prior 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we import no constants from the</w:t>
      </w:r>
      <w:r>
        <w:t xml:space="preserve"> </w:t>
      </w:r>
      <w:r>
        <w:t xml:space="preserve">decision-theoretic reading of</w:t>
      </w:r>
      <w:r>
        <w:t xml:space="preserve"> </w:t>
      </w:r>
      <w:r>
        <w:t xml:space="preserve">Rooyen and Williamson (2014)</w:t>
      </w:r>
      <w:r>
        <w:t xml:space="preserve">, whose uniform excess-risk bound over a</w:t>
      </w:r>
      <w:r>
        <w:t xml:space="preserve"> </w:t>
      </w:r>
      <w:r>
        <w:rPr>
          <w:i/>
          <w:iCs/>
        </w:rPr>
        <w:t xml:space="preserve">normalized</w:t>
      </w:r>
      <w:r>
        <w:t xml:space="preserve"> </w:t>
      </w:r>
      <w:r>
        <w:t xml:space="preserve">bounded-loss class is tied to that normalization and unavailable under</w:t>
      </w:r>
      <w:r>
        <w:t xml:space="preserve"> </w:t>
      </w:r>
      <w:r>
        <w:t xml:space="preserve">unrestricted loss scaling.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Section 7. Where draws are near-deterministic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 the Clopper–Pearson interval becomes one-sided but retains</w:t>
      </w:r>
      <w:r>
        <w:t xml:space="preserve"> </w:t>
      </w:r>
      <w:r>
        <w:t xml:space="preserve">nonzero width, so the verification stays conservative rather than degenerate.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(see Section 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(see Section 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(see Section 4), its impossibility consequence (see Section 5),</w:t>
      </w:r>
      <w:r>
        <w:t xml:space="preserve"> </w:t>
      </w:r>
      <w:r>
        <w:t xml:space="preserve">and the verification that measures it (see Section 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(see Section 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(see Section 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Section 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(see Section 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Section 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1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Messages API, the Azure Responses API,</w:t>
      </w:r>
      <w:r>
        <w:t xml:space="preserve"> </w:t>
      </w:r>
      <w:r>
        <w:t xml:space="preserve">and 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one-transport."/>
    <w:p>
      <w:pPr>
        <w:pStyle w:val="Heading4"/>
      </w:pPr>
      <w:r>
        <w:t xml:space="preserve">One turn budget, one transport.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All six are reached the same way: a single HTTP request the harness composes itself,</w:t>
      </w:r>
      <w:r>
        <w:t xml:space="preserve"> </w:t>
      </w:r>
      <w:r>
        <w:t xml:space="preserve">carrying only the task prompt, with no system prompt of our own and no tools available to the</w:t>
      </w:r>
      <w:r>
        <w:t xml:space="preserve"> </w:t>
      </w:r>
      <w:r>
        <w:t xml:space="preserve">model. The Anthropic models are served over the Messages API and the other three over an</w:t>
      </w:r>
      <w:r>
        <w:t xml:space="preserve"> </w:t>
      </w:r>
      <w:r>
        <w:t xml:space="preserve">OpenAI-style endpoint, but in both cases the request is one pass with no agentic exploration, so</w:t>
      </w:r>
      <w:r>
        <w:t xml:space="preserve"> </w:t>
      </w:r>
      <w:r>
        <w:t xml:space="preserve">the model must use what it is given. 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therefore no</w:t>
      </w:r>
      <w:r>
        <w:t xml:space="preserve"> </w:t>
      </w:r>
      <w:r>
        <w:t xml:space="preserve">longer carry a transport confound, though they remain subject to the ordinary caution that</w:t>
      </w:r>
      <w:r>
        <w:t xml:space="preserve"> </w:t>
      </w:r>
      <w:r>
        <w:t xml:space="preserve">vendors’ models differ in ways we do not control (see Section 8.4). The claims the paper</w:t>
      </w:r>
      <w:r>
        <w:t xml:space="preserve"> </w:t>
      </w:r>
      <w:r>
        <w:t xml:space="preserve">verifies are within-model comparisons between arms, where any remaining request-level detail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 and summarised as a</w:t>
      </w:r>
      <w:r>
        <w:t xml:space="preserve"> </w:t>
      </w:r>
      <w:r>
        <w:t xml:space="preserve">count; the arms within a cell are separate completions, and each draw is an independent call with</w:t>
      </w:r>
      <w:r>
        <w:t xml:space="preserve"> </w:t>
      </w:r>
      <w:r>
        <w:t xml:space="preserve">no shared state (Assumption 2). Uncertainty is carried by exact Clopper–Pearson</w:t>
      </w:r>
      <w:r>
        <w:t xml:space="preserve"> </w:t>
      </w:r>
      <w:r>
        <w:t xml:space="preserve">intervals rather than a normal 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where the approximation is worst (see Section A). Multiplicity is paid explicitly by a union</w:t>
      </w:r>
      <w:r>
        <w:t xml:space="preserve"> </w:t>
      </w:r>
      <w:r>
        <w:t xml:space="preserve">bound whose family is stated with each claim, at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so the 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Incomparability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 both directions are read off those same intervals (Proposition 3); a harm</w:t>
      </w:r>
      <w:r>
        <w:t xml:space="preserve"> </w:t>
      </w:r>
      <w:r>
        <w:t xml:space="preserve">contrast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its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verifies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through the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(Proposition 4),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being reported descriptively only</w:t>
      </w:r>
      <w:r>
        <w:t xml:space="preserve"> </w:t>
      </w:r>
      <w:r>
        <w:t xml:space="preserve">(Remark 9). Each verification is thus controlled marginally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control across the incomparability, dominance and interference families drawn from a</w:t>
      </w:r>
      <w:r>
        <w:t xml:space="preserve"> </w:t>
      </w:r>
      <w:r>
        <w:t xml:space="preserve">single run (see Sections 6.5 and 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interval</w:t>
      </w:r>
      <w:r>
        <w:t xml:space="preserve"> </w:t>
      </w:r>
      <w:r>
        <w:t xml:space="preserve">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</w:t>
      </w:r>
      <w:r>
        <w:t xml:space="preserve"> </w:t>
      </w:r>
      <w:r>
        <w:t xml:space="preserve">Figure 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0.8719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a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intermediate proportions would need a larger one. Results whose intervals do not separate are</w:t>
      </w:r>
      <w:r>
        <w:t xml:space="preserve"> </w:t>
      </w:r>
      <w:r>
        <w:t xml:space="preserve">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 never used as evidence; the protocol reports its</w:t>
      </w:r>
      <w:r>
        <w:t xml:space="preserve"> </w:t>
      </w:r>
      <w:r>
        <w:t xml:space="preserve">own insufficiency rather than hiding it.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It is an inventory, not a proof: it checks only the runs on a fixed list,</w:t>
      </w:r>
      <w:r>
        <w:t xml:space="preserve"> </w:t>
      </w:r>
      <w:r>
        <w:t xml:space="preserve">and matches the disclosure wording against the manuscript globally rather than to the run it</w:t>
      </w:r>
      <w:r>
        <w:t xml:space="preserve"> </w:t>
      </w:r>
      <w:r>
        <w:t xml:space="preserve">describes. Appendix D gives the decoding configuration, the</w:t>
      </w:r>
      <w:r>
        <w:t xml:space="preserve"> </w:t>
      </w:r>
      <w:r>
        <w:t xml:space="preserve">retry and outage policy, and the cells that were re-measured, with why.</w:t>
      </w:r>
    </w:p>
    <w:bookmarkEnd w:id="77"/>
    <w:bookmarkStart w:id="78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level, and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tightening it does not move the verified conclusions.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 materiality</w:t>
      </w:r>
      <w:r>
        <w:t xml:space="preserve"> </w:t>
      </w:r>
      <w:r>
        <w:t xml:space="preserve">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 the interval</w:t>
      </w:r>
      <w:r>
        <w:t xml:space="preserve"> </w:t>
      </w:r>
      <w:r>
        <w:t xml:space="preserve">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 work. Verified</w:t>
      </w:r>
      <w:r>
        <w:t xml:space="preserve"> </w:t>
      </w:r>
      <w:r>
        <w:t xml:space="preserve">collapses clear it with upper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4), and</w:t>
      </w:r>
      <w:r>
        <w:t xml:space="preserve"> </w:t>
      </w:r>
      <w:r>
        <w:t xml:space="preserve">the superset falls below the character-matched padding arm at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on both control cells. What</w:t>
      </w:r>
      <w:r>
        <w:t xml:space="preserve"> </w:t>
      </w:r>
      <w:r>
        <w:t xml:space="preserve">shows the choice is not load-bearing is that</w:t>
      </w:r>
      <w:r>
        <w:t xml:space="preserve"> </w:t>
      </w:r>
      <w:r>
        <w:t xml:space="preserve">the verdict barely moves with it: every one of the twelve contrasts clears marginally for any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0.30</m:t>
        </m:r>
      </m:oMath>
      <w:r>
        <w:t xml:space="preserve">, and eleven of twelve up to</w:t>
      </w:r>
      <w:r>
        <w:t xml:space="preserve"> </w:t>
      </w:r>
      <m:oMath>
        <m:r>
          <m:t>0.50</m:t>
        </m:r>
      </m:oMath>
      <w:r>
        <w:t xml:space="preserve">, so halving or raising the</w:t>
      </w:r>
      <w:r>
        <w:t xml:space="preserve"> </w:t>
      </w:r>
      <w:r>
        <w:t xml:space="preserve">threshold leaves the conclusion intact. The margin is set by DeepSeek’s two cells, at</w:t>
      </w:r>
      <w:r>
        <w:t xml:space="preserve"> </w:t>
      </w:r>
      <m:oMath>
        <m:r>
          <m:rPr>
            <m:sty m:val="p"/>
          </m:rPr>
          <m:t>−</m:t>
        </m:r>
        <m:r>
          <m:t>0.384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0.540</m:t>
        </m:r>
      </m:oMath>
      <w:r>
        <w:t xml:space="preserve">, which are the first to drop out 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rises.</w:t>
      </w:r>
    </w:p>
    <w:bookmarkEnd w:id="78"/>
    <w:bookmarkStart w:id="79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 success</w:t>
      </w:r>
      <w:r>
        <w:t xml:space="preserve"> </w:t>
      </w:r>
      <w:r>
        <w:t xml:space="preserve">probability per cell. They carry nothing else, and two components outside them are larger than they</w:t>
      </w:r>
      <w:r>
        <w:t xml:space="preserve"> </w:t>
      </w:r>
      <w:r>
        <w:t xml:space="preserve">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successive re-measurements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</w:t>
      </w:r>
      <w:r>
        <w:t xml:space="preserve"> </w:t>
      </w:r>
      <w:r>
        <w:t xml:space="preserve">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and then 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, 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</w:t>
      </w:r>
      <w:r>
        <w:t xml:space="preserve"> </w:t>
      </w:r>
      <w:r>
        <w:t xml:space="preserve">outside the nominal intervals for those cells.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an earlier record traced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</w:t>
      </w:r>
      <w:r>
        <w:t xml:space="preserve"> </w:t>
      </w:r>
      <w:r>
        <w:t xml:space="preserve">on 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 (model snapshot, prompt,</w:t>
      </w:r>
      <w:r>
        <w:t xml:space="preserve"> </w:t>
      </w:r>
      <w:r>
        <w:t xml:space="preserve">default decoder, collection window) tuple,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(see Section 3.3) and by</w:t>
      </w:r>
      <w:r>
        <w:t xml:space="preserve"> </w:t>
      </w:r>
      <w:r>
        <w:t xml:space="preserve">the run it was drawn in, not a property of a vendor’s model line. We read that as a weakness: the</w:t>
      </w:r>
      <w:r>
        <w:t xml:space="preserve"> </w:t>
      </w:r>
      <w:r>
        <w:t xml:space="preserve">re-measurement bounds the drift component empirically, and the direction of every verdict survived</w:t>
      </w:r>
      <w:r>
        <w:t xml:space="preserve"> </w:t>
      </w:r>
      <w:r>
        <w:t xml:space="preserve">it.</w:t>
      </w:r>
    </w:p>
    <w:bookmarkEnd w:id="79"/>
    <w:bookmarkStart w:id="80" w:name="provenance."/>
    <w:p>
      <w:pPr>
        <w:pStyle w:val="Heading4"/>
      </w:pPr>
      <w:r>
        <w:t xml:space="preserve">Provenance.</w:t>
      </w:r>
    </w:p>
    <w:p>
      <w:pPr>
        <w:pStyle w:val="FirstParagraph"/>
      </w:pPr>
      <w:r>
        <w:t xml:space="preserve">Every cell of the six-model grid is read from that model’s own complete run, so each harm contrast</w:t>
      </w:r>
      <w:r>
        <w:t xml:space="preserve"> </w:t>
      </w:r>
      <w:r>
        <w:t xml:space="preserve">compares two arms collected in one window; the same holds for the four behavioural controls, which</w:t>
      </w:r>
      <w:r>
        <w:t xml:space="preserve"> </w:t>
      </w:r>
      <w:r>
        <w:t xml:space="preserve">share a single run, and for the second source pair. One substitution remains: both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conditions of GPT-5.5’s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are taken from the retained,</w:t>
      </w:r>
      <w:r>
        <w:t xml:space="preserve"> </w:t>
      </w:r>
      <w:r>
        <w:t xml:space="preserve">transport-clean re-measurement, at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because the base run logged an HTTP 500</w:t>
      </w:r>
      <w:r>
        <w:t xml:space="preserve"> </w:t>
      </w:r>
      <w:r>
        <w:t xml:space="preserve">there. Those two therefore share a window with each other; what crosses windows is that task</w:t>
      </w:r>
      <w:r>
        <w:t xml:space="preserve"> </w:t>
      </w:r>
      <w:r>
        <w:t xml:space="preserve">against GPT-5.5’s other cells, where a shared model name and transport do not establish a shared</w:t>
      </w:r>
      <w:r>
        <w:t xml:space="preserve"> </w:t>
      </w:r>
      <w:r>
        <w:t xml:space="preserve">decoder (Appendix D). Raw completions were</w:t>
      </w:r>
      <w:r>
        <w:t xml:space="preserve"> </w:t>
      </w:r>
      <w:r>
        <w:t xml:space="preserve">retained for three of the six models (Appendix C.1); for the other three the record is</w:t>
      </w:r>
      <w:r>
        <w:t xml:space="preserve"> </w:t>
      </w:r>
      <w:r>
        <w:t xml:space="preserve">aggregate-only.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gives the run, and so the window, behind each number.</w:t>
      </w:r>
    </w:p>
    <w:bookmarkEnd w:id="80"/>
    <w:bookmarkEnd w:id="81"/>
    <w:bookmarkStart w:id="92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(see Section 7.4.1), the relevance mis-rank</w:t>
      </w:r>
      <w:r>
        <w:t xml:space="preserve"> </w:t>
      </w:r>
      <w:r>
        <w:t xml:space="preserve">(see Section 7.4.2), anti-monotonicity (see Section 7.4.3), and the</w:t>
      </w:r>
      <w:r>
        <w:t xml:space="preserve"> </w:t>
      </w:r>
      <w:r>
        <w:t xml:space="preserve">model-relative value of private context (see Section 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3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two directions are attained by different cells: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none,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0.226</m:t>
        </m:r>
      </m:oMath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none. The encoding contrast is the binding direction, narrower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reaches only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there.</w:t>
      </w:r>
    </w:p>
    <w:bookmarkStart w:id="82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Haiku’s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0.146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run against six models—six rules on one pair,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held fixed</w:t>
      </w:r>
      <w:r>
        <w:t xml:space="preserve"> </w:t>
      </w:r>
      <w:r>
        <w:t xml:space="preserve">and only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varying, not six independent source-pair replications.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behind a</w:t>
      </w:r>
      <w:r>
        <w:t xml:space="preserve"> </w:t>
      </w:r>
      <w:r>
        <w:t xml:space="preserve">cell are repeated outputs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task, which is what the Bernoulli model of</w:t>
      </w:r>
      <w:r>
        <w:t xml:space="preserve"> </w:t>
      </w:r>
      <w:r>
        <w:t xml:space="preserve">Assumption 2 prices; no interval in this paper samples tasks.</w:t>
      </w:r>
    </w:p>
    <w:bookmarkEnd w:id="82"/>
    <w:bookmarkEnd w:id="83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p>
      <w:pPr>
        <w:pStyle w:val="BodyText"/>
      </w:pPr>
      <w:r>
        <w:t xml:space="preserve">The ranker spectrum is the point here: dense retrievers and a cross-encoder fall for the trap</w:t>
      </w:r>
      <w:r>
        <w:t xml:space="preserve"> </w:t>
      </w:r>
      <w:r>
        <w:t xml:space="preserve">while a listwise reranker escapes it. To test whether the mis-rank extends beyond bag-of-words,</w:t>
      </w:r>
      <w:r>
        <w:t xml:space="preserve"> </w:t>
      </w:r>
      <w:r>
        <w:t xml:space="preserve">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one turn,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 Every feature-based</w:t>
      </w:r>
      <w:r>
        <w:t xml:space="preserve"> </w:t>
      </w:r>
      <w:r>
        <w:t xml:space="preserve">ranker we tested mis-ranks the trap: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everywhere, unanimously:</w:t>
      </w:r>
      <w:r>
        <w:t xml:space="preserve"> 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per task, split evenly across the two</w:t>
      </w:r>
      <w:r>
        <w:t xml:space="preserve"> </w:t>
      </w:r>
      <w:r>
        <w:t xml:space="preserve">presentation orders so that a ranker merely preferring the first document would show. Unanimity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puts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lower bound on the preference rate at</w:t>
      </w:r>
      <w:r>
        <w:t xml:space="preserve"> </w:t>
      </w:r>
      <m:oMath>
        <m:r>
          <m:t>0.964</m:t>
        </m:r>
      </m:oMath>
      <w:r>
        <w:t xml:space="preserve">;</w:t>
      </w:r>
      <w:r>
        <w:t xml:space="preserve"> </w:t>
      </w:r>
      <w:r>
        <w:t xml:space="preserve">at the pre-declared halfway checkpoint 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judgments it was</w:t>
      </w:r>
      <w:r>
        <w:t xml:space="preserve"> </w:t>
      </w:r>
      <m:oMath>
        <m:r>
          <m:t>0.929</m:t>
        </m:r>
      </m:oMath>
      <w:r>
        <w:t xml:space="preserve">,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judgments would</w:t>
      </w:r>
      <w:r>
        <w:t xml:space="preserve"> </w:t>
      </w:r>
      <w:r>
        <w:t xml:space="preserve">have bounded it only at</w:t>
      </w:r>
      <w:r>
        <w:t xml:space="preserve"> </w:t>
      </w:r>
      <m:oMath>
        <m:r>
          <m:t>0.692</m:t>
        </m:r>
      </m:oMath>
      <w:r>
        <w:t xml:space="preserve">, too close to chance for a claim about consistent ranking.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4"/>
    <w:bookmarkStart w:id="89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</w:t>
      </w:r>
      <w:r>
        <w:t xml:space="preserve"> </w:t>
      </w:r>
      <w:r>
        <w:t xml:space="preserve">cells 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all twelve API cells, two per model, and so on every one of the</w:t>
      </w:r>
      <w:r>
        <w:t xml:space="preserve"> </w:t>
      </w:r>
      <w:r>
        <w:t xml:space="preserve">six models (Table 4, Figure 2). Those twelve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cell; the conjunction can be bought from the same</w:t>
      </w:r>
      <w:r>
        <w:t xml:space="preserve"> </w:t>
      </w:r>
      <w:r>
        <w:t xml:space="preserve">records, since spreading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a 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still leaves eleven clear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with every model keeping at least one. The</w:t>
      </w:r>
      <w:r>
        <w:t xml:space="preserve"> </w:t>
      </w:r>
      <w:r>
        <w:t xml:space="preserve">roster-level statement</w:t>
      </w:r>
      <w:r>
        <w:t xml:space="preserve"> </w:t>
      </w:r>
      <w:r>
        <w:t xml:space="preserve">“on each of these six models some strict superset verifiably harms some</w:t>
      </w:r>
      <w:r>
        <w:t xml:space="preserve"> </w:t>
      </w:r>
      <w:r>
        <w:t xml:space="preserve">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mildest</w:t>
      </w:r>
      <w:r>
        <w:t xml:space="preserve"> </w:t>
      </w:r>
      <w:r>
        <w:t xml:space="preserve">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the</w:t>
      </w:r>
      <w:r>
        <w:t xml:space="preserve"> </w:t>
      </w:r>
      <w:r>
        <w:t xml:space="preserve">one cell the joint budget drops; all twelve also survive a Bonferroni correction across the two</w:t>
      </w:r>
      <w:r>
        <w:t xml:space="preserve"> </w:t>
      </w:r>
      <w:r>
        <w:t xml:space="preserve">cells within each model. Haiku’s shallowest collapse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shallow only because 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not at ceiling. This is a verified empirical</w:t>
      </w:r>
      <w:r>
        <w:t xml:space="preserve"> </w:t>
      </w:r>
      <w:r>
        <w:t xml:space="preserve">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</w:t>
      </w:r>
      <w:r>
        <w:t xml:space="preserve"> </w:t>
      </w:r>
      <w:r>
        <w:t xml:space="preserve">strictly-more-informative context can hurt, and the deficiency framework detects it precisely where</w:t>
      </w:r>
      <w:r>
        <w:t xml:space="preserve"> </w:t>
      </w:r>
      <w:r>
        <w:t xml:space="preserve">every monotone scalar must miss it. Table A1 gives the same collapse arm by arm for</w:t>
      </w:r>
      <w:r>
        <w:t xml:space="preserve"> </w:t>
      </w:r>
      <w:r>
        <w:t xml:space="preserve">every model.</w:t>
      </w:r>
    </w:p>
    <w:p>
      <w:pPr>
        <w:pStyle w:val="BodyText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 fixed</w:t>
      </w:r>
      <w:r>
        <w:t xml:space="preserve"> </w:t>
      </w:r>
      <w:r>
        <w:t xml:space="preserve">rule has the opposite shape (Figure 1):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is the two-element set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represent; the two-sided</w:t>
      </w:r>
      <w:r>
        <w:t xml:space="preserve"> </w:t>
      </w:r>
      <w:r>
        <w:t xml:space="preserve">inclusion below bounds it.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 so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are taken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hold 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0.2070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both positive,</w:t>
      </w:r>
      <w:r>
        <w:t xml:space="preserve"> </w:t>
      </w:r>
      <w:r>
        <w:t xml:space="preserve">which verifies the incomparable pair.</w:t>
      </w:r>
      <w:r>
        <w:t xml:space="preserve"> </w:t>
      </w:r>
      <w:r>
        <w:t xml:space="preserve">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 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shows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shows the converse, so neither dominates</w:t>
      </w:r>
      <w:r>
        <w:t xml:space="preserve"> </w:t>
      </w:r>
      <w:r>
        <w:t xml:space="preserve">the other. An upper bound could carry neither claim: it bounds how large an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 one exists. The relation the front turns on has only an upper bound,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 rather than an exact one, saying</w:t>
      </w:r>
      <w:r>
        <w:t xml:space="preserve"> </w:t>
      </w:r>
      <w:r>
        <w:t xml:space="preserve">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, so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licensed only up to that margin. What the coverage event establishes exactly is the</w:t>
      </w:r>
      <w:r>
        <w:t xml:space="preserve"> </w:t>
      </w:r>
      <w:r>
        <w:t xml:space="preserve">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reading.</w:t>
      </w:r>
    </w:p>
    <w:bookmarkStart w:id="85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Left: the Blackwell order for the optimal user, where the</w:t>
      </w:r>
      <w:r>
        <w:t xml:space="preserve"> </w:t>
      </w:r>
      <w:r>
        <w:t xml:space="preserve">superset reveals both coordinates and dominates. Right: 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all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eleven clear, and every model keeps at least one. Values are those of</w:t>
      </w:r>
      <w:r>
        <w:t xml:space="preserve"> </w:t>
      </w:r>
      <w:r>
        <w:t xml:space="preserve">Table 4, recomputed from the released per-cell counts.</w:t>
      </w:r>
    </w:p>
    <w:bookmarkEnd w:id="86"/>
    <w:bookmarkStart w:id="87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On Haiku, the collapse persists under reversal of the two source blocks, and character-matched</w:t>
      </w:r>
      <w:r>
        <w:t xml:space="preserve"> </w:t>
      </w:r>
      <w:r>
        <w:t xml:space="preserve">off-topic padding does not reproduce it. The padding control (Appendix B) fills</w:t>
      </w:r>
      <w:r>
        <w:t xml:space="preserve"> </w:t>
      </w:r>
      <w:r>
        <w:t xml:space="preserve">the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 the padded arm at ceiling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): changing only that slot’s</w:t>
      </w:r>
      <w:r>
        <w:t xml:space="preserve"> </w:t>
      </w:r>
      <w:r>
        <w:t xml:space="preserve">content turns a harmless arm harmful. The</w:t>
      </w:r>
      <w:r>
        <w:t xml:space="preserve"> </w:t>
      </w:r>
      <w:r>
        <w:t xml:space="preserve">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over the same</w:t>
      </w:r>
      <w:r>
        <w:t xml:space="preserve"> </w:t>
      </w:r>
      <w:r>
        <w:t xml:space="preserve">transport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 (</w:t>
      </w:r>
      <w:r>
        <w:rPr>
          <w:rStyle w:val="VerbatimChar"/>
        </w:rPr>
        <w:t xml:space="preserve">blackwell_controls_api_n40</w:t>
      </w:r>
      <w:r>
        <w:t xml:space="preserve">). The two</w:t>
      </w:r>
      <w:r>
        <w:t xml:space="preserve"> </w:t>
      </w:r>
      <w:r>
        <w:t xml:space="preserve">orderings are indistinguishable on both cells: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each take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 from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verified harmful at</w:t>
      </w:r>
      <w:r>
        <w:t xml:space="preserve"> </w:t>
      </w:r>
      <m:oMath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 </w:t>
      </w:r>
      <w:r>
        <w:t xml:space="preserve">respectively. Moving the added</w:t>
      </w:r>
      <w:r>
        <w:t xml:space="preserve"> </w:t>
      </w:r>
      <w:r>
        <w:t xml:space="preserve">block out of the primacy slot therefore changes neither the sign nor the size of the harm, which</w:t>
      </w:r>
      <w:r>
        <w:t xml:space="preserve"> </w:t>
      </w:r>
      <w:r>
        <w:t xml:space="preserve">constrains a positional account of the collapse without ruling one out for configurations we did</w:t>
      </w:r>
      <w:r>
        <w:t xml:space="preserve"> </w:t>
      </w:r>
      <w:r>
        <w:t xml:space="preserve">not test. On one model and in this configuration, the controls constrain positional and</w:t>
      </w:r>
      <w:r>
        <w:t xml:space="preserve"> </w:t>
      </w:r>
      <w:r>
        <w:t xml:space="preserve">gross-length explanations without identifying a unique cause or isolating tokenization,</w:t>
      </w:r>
      <w:r>
        <w:t xml:space="preserve"> </w:t>
      </w:r>
      <w:r>
        <w:t xml:space="preserve">processing difficulty, or the internal mechanism; the reversed arm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explanation, not position’s contribution to the harm’s size.</w:t>
      </w:r>
    </w:p>
    <w:bookmarkEnd w:id="87"/>
    <w:bookmarkStart w:id="88" w:name="robust-across-the-capability-ladder."/>
    <w:p>
      <w:pPr>
        <w:pStyle w:val="Heading4"/>
      </w:pPr>
      <w:r>
        <w:t xml:space="preserve">Robust across the capability ladder.</w:t>
      </w:r>
    </w:p>
    <w:p>
      <w:pPr>
        <w:pStyle w:val="FirstParagraph"/>
      </w:pPr>
      <w:r>
        <w:t xml:space="preserve">The harm is large and robust across the Anthropic capability ladder.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4). Both stronger models sit at the floor on both</w:t>
      </w:r>
      <w:r>
        <w:t xml:space="preserve"> </w:t>
      </w:r>
      <w:r>
        <w:t xml:space="preserve">cells, so this record orders neither for nor against a capability trend: an earlier two-point</w:t>
      </w:r>
      <w:r>
        <w:t xml:space="preserve"> </w:t>
      </w:r>
      <w:r>
        <w:t xml:space="preserve">reading suggested the harm</w:t>
      </w:r>
      <w:r>
        <w:t xml:space="preserve"> </w:t>
      </w:r>
      <w:r>
        <w:t xml:space="preserve">“intensifies with strength”</w:t>
      </w:r>
      <w:r>
        <w:t xml:space="preserve">, and we now claim only robustness</w:t>
      </w:r>
      <w:r>
        <w:t xml:space="preserve"> </w:t>
      </w:r>
      <w:r>
        <w:t xml:space="preserve">across the ladder, not a capability trend. All three Anthropic models collapse 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</w:t>
      </w:r>
      <w:r>
        <w:t xml:space="preserve"> </w:t>
      </w:r>
      <w:r>
        <w:t xml:space="preserve">cells, so there is no residual spread to order. What survives is the negative claim, not the</w:t>
      </w:r>
      <w:r>
        <w:t xml:space="preserve"> </w:t>
      </w:r>
      <w:r>
        <w:t xml:space="preserve">ranking that motivated it.</w:t>
      </w:r>
    </w:p>
    <w:bookmarkEnd w:id="88"/>
    <w:bookmarkEnd w:id="89"/>
    <w:bookmarkStart w:id="90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 and Haiku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Opus is</w:t>
      </w:r>
      <w:r>
        <w:t xml:space="preserve"> </w:t>
      </w:r>
      <w:r>
        <w:t xml:space="preserve">excluded from this comparison: it solves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unaided in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draws, so</w:t>
      </w:r>
      <w:r>
        <w:t xml:space="preserve"> </w:t>
      </w:r>
      <w:r>
        <w:t xml:space="preserve">for that model the cell measures no value of private context at all</w:t>
      </w:r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Section 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</w:t>
      </w:r>
      <w:r>
        <w:t xml:space="preserve"> </w:t>
      </w:r>
      <w:r>
        <w:t xml:space="preserve">Anthropic, no-context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runs from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for Haiku and Sonnet 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for Opus. These observations do not identify how guessability relates to general model</w:t>
      </w:r>
      <w:r>
        <w:t xml:space="preserve"> </w:t>
      </w:r>
      <w:r>
        <w:t xml:space="preserve">capability or to training data; no independent capability scale is measured here.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0"/>
    <w:bookmarkStart w:id="91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t xml:space="preserve">Raw completions were retained for the three Anthropic models’ rows of the interference table,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per arm and cell; the other three models’ rows are aggregate-only, so what follows is read</w:t>
      </w:r>
      <w:r>
        <w:t xml:space="preserve"> </w:t>
      </w:r>
      <w:r>
        <w:t xml:space="preserve">off half the table (Appendix C). Three text screens bear on the collapse, over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replies 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arms there. The empty-extraction and explicit-refusal</w:t>
      </w:r>
      <w:r>
        <w:t xml:space="preserve"> </w:t>
      </w:r>
      <w:r>
        <w:t xml:space="preserve">screens return no matches at all. The import screen detects one omission among the</w:t>
      </w:r>
      <w:r>
        <w:t xml:space="preserve"> </w:t>
      </w:r>
      <m:oMath>
        <m:r>
          <m:t>240</m:t>
        </m:r>
      </m:oMath>
      <w:r>
        <w:t xml:space="preserve"> </w:t>
      </w:r>
      <w:r>
        <w:t xml:space="preserve">superset</w:t>
      </w:r>
      <w:r>
        <w:t xml:space="preserve"> </w:t>
      </w:r>
      <w:r>
        <w:t xml:space="preserve">replies and seven among the</w:t>
      </w:r>
      <w:r>
        <w:t xml:space="preserve"> </w:t>
      </w:r>
      <m:oMath>
        <m:r>
          <m:t>240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replies, the latter concentrated in the arm that passes,</w:t>
      </w:r>
      <w:r>
        <w:t xml:space="preserve"> </w:t>
      </w:r>
      <w:r>
        <w:t xml:space="preserve">so those omissions cannot explain the superset arm’s collapse. Each screen bears only on what it</w:t>
      </w:r>
      <w:r>
        <w:t xml:space="preserve"> </w:t>
      </w:r>
      <w:r>
        <w:t xml:space="preserve">tests—an empty extraction, a missing import, refusal language—rather than on every packaging</w:t>
      </w:r>
      <w:r>
        <w:t xml:space="preserve"> </w:t>
      </w:r>
      <w:r>
        <w:t xml:space="preserve">or declining behaviour, and none was run on the three models whose draws were not retained.</w:t>
      </w:r>
      <w:r>
        <w:t xml:space="preserve"> </w:t>
      </w:r>
      <w:r>
        <w:rPr>
          <w:i/>
          <w:iCs/>
        </w:rPr>
        <w:t xml:space="preserve">The harmful arm is verbose</w:t>
      </w:r>
      <w:r>
        <w:t xml:space="preserve">: on Haiku the mean reply runs</w:t>
      </w:r>
      <w:r>
        <w:t xml:space="preserve"> </w:t>
      </w:r>
      <m:oMath>
        <m:r>
          <m:t>105</m:t>
        </m:r>
      </m:oMath>
      <w:r>
        <w:t xml:space="preserve"> </w:t>
      </w:r>
      <w:r>
        <w:t xml:space="preserve">characters against</w:t>
      </w:r>
      <w:r>
        <w:t xml:space="preserve"> </w:t>
      </w:r>
      <m:oMath>
        <m:r>
          <m:t>477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633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same inflation reported in Section 8.3.</w:t>
      </w:r>
    </w:p>
    <w:p>
      <w:pPr>
        <w:pStyle w:val="BodyText"/>
      </w:pPr>
      <w:r>
        <w:t xml:space="preserve">What the retained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is the mechanism. A textual flag 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</w:t>
      </w:r>
      <w:r>
        <w:t xml:space="preserve"> </w:t>
      </w:r>
      <w:r>
        <w:t xml:space="preserve">encoding appearing in the reply, stated as a rule in Appendix C.1, fires on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superset replies across the three models and both collapse cells and on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replies. It also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in those cells, every one of which</w:t>
      </w:r>
      <w:r>
        <w:t xml:space="preserve"> </w:t>
      </w:r>
      <w:r>
        <w:t xml:space="preserve">fails the API verifier, so it is not a test of correctness. These counts describe an output</w:t>
      </w:r>
      <w:r>
        <w:t xml:space="preserve"> </w:t>
      </w:r>
      <w:r>
        <w:t xml:space="preserve">pattern associated with the source condition; they do not identify an internal cause.</w:t>
      </w:r>
      <w:r>
        <w:t xml:space="preserve"> </w:t>
      </w:r>
      <w:r>
        <w:t xml:space="preserve">Theorem 3 constrains any rule whose PASS falls under a strict superset, whatever</w:t>
      </w:r>
      <w:r>
        <w:t xml:space="preserve"> </w:t>
      </w:r>
      <w:r>
        <w:t xml:space="preserve">that cause turns out to be.</w:t>
      </w:r>
    </w:p>
    <w:bookmarkEnd w:id="91"/>
    <w:bookmarkEnd w:id="92"/>
    <w:bookmarkStart w:id="93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), over the same transport as the six-model</w:t>
      </w:r>
      <w:r>
        <w:t xml:space="preserve"> </w:t>
      </w:r>
      <w:r>
        <w:t xml:space="preserve">record. The superset also collapses the contract cell,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at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 contrasts, so the second domain carries a</w:t>
      </w:r>
      <w:r>
        <w:t xml:space="preserve"> </w:t>
      </w:r>
      <w:r>
        <w:t xml:space="preserve">verified collapse of its own; on the trap cell the effect is mild and unverified,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(Section 8.4).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an equally long filler arm stays at ceiling on both collapse cells 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’s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), which constrains the gross-length</w:t>
      </w:r>
      <w:r>
        <w:t xml:space="preserve"> </w:t>
      </w:r>
      <w:r>
        <w:t xml:space="preserve">explanation on this model.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</w:t>
      </w:r>
      <w:r>
        <w:t xml:space="preserve"> </w:t>
      </w:r>
      <w:r>
        <w:t xml:space="preserve">collapse (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98</m:t>
        </m:r>
        <m:r>
          <m:rPr>
            <m:sty m:val="p"/>
          </m:rPr>
          <m:t>%</m:t>
        </m:r>
      </m:oMath>
      <w:r>
        <w:t xml:space="preserve">); writing that note requires knowing which source is</w:t>
      </w:r>
      <w:r>
        <w:t xml:space="preserve"> </w:t>
      </w:r>
      <w:r>
        <w:t xml:space="preserve">decisive for which task family, which is exactly the coordinate structure the partial order</w:t>
      </w:r>
      <w:r>
        <w:t xml:space="preserve"> </w:t>
      </w:r>
      <w:r>
        <w:t xml:space="preserve">formalizes, so the cure presupposes 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</w:t>
      </w:r>
      <w:r>
        <w:t xml:space="preserve"> </w:t>
      </w:r>
      <w:r>
        <w:t xml:space="preserve">same two conventions in labeled XML 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does not</w:t>
      </w:r>
      <w:r>
        <w:t xml:space="preserve"> </w:t>
      </w:r>
      <w:r>
        <w:t xml:space="preserve">mitigate at all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 cells, against</w:t>
      </w:r>
      <w:r>
        <w:t xml:space="preserve"> </w:t>
      </w:r>
      <m:oMath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note), so</w:t>
      </w:r>
      <w:r>
        <w:t xml:space="preserve"> </w:t>
      </w:r>
      <w:r>
        <w:t xml:space="preserve">segmentation alone does not cure the interference and the operative variable is routing</w:t>
      </w:r>
      <w:r>
        <w:t xml:space="preserve"> </w:t>
      </w:r>
      <w:r>
        <w:t xml:space="preserve">knowledge. What the four arms show is a two-way contrast rather than a graded hierarchy:</w:t>
      </w:r>
      <w:r>
        <w:t xml:space="preserve"> </w:t>
      </w:r>
      <w:r>
        <w:t xml:space="preserve">segmentation recovers nothing at all, while routing recovers most of the collapse and,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matches or exceeds what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achieves in this control (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; the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 is</w:t>
      </w:r>
      <w:r>
        <w:t xml:space="preserve"> </w:t>
      </w:r>
      <m:oMath>
        <m:r>
          <m:rPr>
            <m:sty m:val="p"/>
          </m:rPr>
          <m:t>+</m:t>
        </m:r>
        <m:r>
          <m:t>0.0095</m:t>
        </m:r>
      </m:oMath>
      <w:r>
        <w:t xml:space="preserve">, while a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w:r>
        <w:t xml:space="preserve">contains zero). Read as a mechanism this points at convention-to-task</w:t>
      </w:r>
      <w:r>
        <w:t xml:space="preserve"> </w:t>
      </w:r>
      <w:r>
        <w:t xml:space="preserve">routing rather than convention segmentation, but it is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reading is an</w:t>
      </w:r>
      <w:r>
        <w:t xml:space="preserve"> </w:t>
      </w:r>
      <w:r>
        <w:t xml:space="preserve">interpretation of the contrasts, not a verified claim.</w:t>
      </w:r>
    </w:p>
    <w:bookmarkEnd w:id="93"/>
    <w:bookmarkStart w:id="98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Table 5 scores four selection policies per model as mean PASS over the four</w:t>
      </w:r>
      <w:r>
        <w:t xml:space="preserve"> </w:t>
      </w:r>
      <w:r>
        <w:t xml:space="preserve">verified cells of Table A1.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</w:t>
      </w:r>
      <w:r>
        <w:t xml:space="preserve"> </w:t>
      </w:r>
      <w:r>
        <w:t xml:space="preserve">query-independent-scalar class its best case: any such scalar induces one total order, hence one</w:t>
      </w:r>
      <w:r>
        <w:t xml:space="preserve"> </w:t>
      </w:r>
      <w:r>
        <w:t xml:space="preserve">top-1 reused for every task, and we let it pick the 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 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 where every measured topical ranker puts the</w:t>
      </w:r>
      <w:r>
        <w:t xml:space="preserve"> </w:t>
      </w:r>
      <w:r>
        <w:t xml:space="preserve">wrong source first (see Section 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</w:t>
      </w:r>
      <w:r>
        <w:t xml:space="preserve"> </w:t>
      </w:r>
      <w:r>
        <w:t xml:space="preserve">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takes the per-cell maximum over the</w:t>
      </w:r>
      <w:r>
        <w:t xml:space="preserve"> </w:t>
      </w:r>
      <w:r>
        <w:t xml:space="preserve">non-dominated pair. It is scored on the same outcomes it maximizes over, so it is an oracle and</w:t>
      </w:r>
      <w:r>
        <w:t xml:space="preserve"> </w:t>
      </w:r>
      <w:r>
        <w:t xml:space="preserve">not an achieved result: a deployable router would have to be fixed before testing and evaluated</w:t>
      </w:r>
      <w:r>
        <w:t xml:space="preserve"> </w:t>
      </w:r>
      <w:r>
        <w:t xml:space="preserve">on held-out tasks under matched latency and token budgets, which this paper does not do. That</w:t>
      </w:r>
      <w:r>
        <w:t xml:space="preserve"> </w:t>
      </w:r>
      <w:r>
        <w:t xml:space="preserve">column is selection</w:t>
      </w:r>
      <w:r>
        <w:t xml:space="preserve"> </w:t>
      </w:r>
      <w:r>
        <w:rPr>
          <w:i/>
          <w:iCs/>
        </w:rPr>
        <w:t xml:space="preserve">headroom</w:t>
      </w:r>
      <w:r>
        <w:t xml:space="preserve"> </w:t>
      </w:r>
      <w:r>
        <w:t xml:space="preserve">on this battery, not a delivered gain: the oracle’s</w:t>
      </w:r>
      <w:r>
        <w:t xml:space="preserve"> </w:t>
      </w:r>
      <m:oMath>
        <m:r>
          <m:t>93.0</m:t>
        </m:r>
        <m:r>
          <m:rPr>
            <m:sty m:val="p"/>
          </m:rPr>
          <m:t>%</m:t>
        </m:r>
      </m:oMath>
      <w:r>
        <w:t xml:space="preserve"> </w:t>
      </w:r>
      <w:r>
        <w:t xml:space="preserve">mean against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t xml:space="preserve"> </w:t>
      </w:r>
      <w:r>
        <w:t xml:space="preserve">(best fixed source),</w:t>
      </w:r>
      <w:r>
        <w:t xml:space="preserve"> </w:t>
      </w:r>
      <m:oMath>
        <m:r>
          <m:t>68.3</m:t>
        </m:r>
        <m:r>
          <m:rPr>
            <m:sty m:val="p"/>
          </m:rPr>
          <m:t>%</m:t>
        </m:r>
      </m:oMath>
      <w:r>
        <w:t xml:space="preserve"> </w:t>
      </w:r>
      <w:r>
        <w:t xml:space="preserve">(topical top-1) and</w:t>
      </w:r>
      <w:r>
        <w:t xml:space="preserve"> </w:t>
      </w:r>
      <m:oMath>
        <m:r>
          <m:t>47.9</m:t>
        </m:r>
        <m:r>
          <m:rPr>
            <m:sty m:val="p"/>
          </m:rPr>
          <m:t>%</m:t>
        </m:r>
      </m:oMath>
      <w:r>
        <w:t xml:space="preserve"> </w:t>
      </w:r>
      <w:r>
        <w:t xml:space="preserve">(concatenation).</w:t>
      </w:r>
    </w:p>
    <w:bookmarkStart w:id="94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82.5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95.0</m:t>
        </m:r>
      </m:oMath>
      <w:r>
        <w:t xml:space="preserve">, almost all of it from the</w:t>
      </w:r>
      <w:r>
        <w:t xml:space="preserve"> </w:t>
      </w:r>
      <w:r>
        <w:t xml:space="preserve">encoding cell, where the pair’s best is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reaches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 worth</w:t>
      </w:r>
      <w:r>
        <w:t xml:space="preserve"> </w:t>
      </w:r>
      <m:oMath>
        <m:r>
          <m:t>11.25</m:t>
        </m:r>
      </m:oMath>
      <w:r>
        <w:t xml:space="preserve"> </w:t>
      </w:r>
      <w:r>
        <w:t xml:space="preserve">points of the four-cell mean against</w:t>
      </w:r>
      <w:r>
        <w:t xml:space="preserve"> </w:t>
      </w:r>
      <m:oMath>
        <m:r>
          <m:t>1.25</m:t>
        </m:r>
      </m:oMath>
      <w:r>
        <w:t xml:space="preserve"> </w:t>
      </w:r>
      <w:r>
        <w:t xml:space="preserve">from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2.5 to 95.0, almost all of it from the encoding cell, where the pair’s best is 55\% while W_{1+} reaches 100\%, worth 11.25 points of the four-cell mean against 1.25 from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93.0</w:t>
            </w:r>
          </w:p>
        </w:tc>
      </w:tr>
    </w:tbl>
    <w:bookmarkEnd w:id="94"/>
    <w:p>
      <w:pPr>
        <w:pStyle w:val="BodyText"/>
      </w:pPr>
      <w:bookmarkStart w:id="95" w:name="tab:policies"/>
      <w:bookmarkEnd w:id="95"/>
    </w:p>
    <w:bookmarkStart w:id="96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96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differ by only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points on average, and not at all on three of the six models: the cap</w:t>
      </w:r>
      <w:r>
        <w:t xml:space="preserve"> </w:t>
      </w:r>
      <w:r>
        <w:t xml:space="preserve">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</w:t>
      </w:r>
      <w:r>
        <w:t xml:space="preserve"> </w:t>
      </w:r>
      <w:r>
        <w:t xml:space="preserve">(see Section 7.4.3). Third, the oracle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neither pure selection</w:t>
      </w:r>
      <w:r>
        <w:t xml:space="preserve"> </w:t>
      </w:r>
      <w:r>
        <w:t xml:space="preserve">error nor pure capability. For 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residual failure under the</w:t>
      </w:r>
      <w:r>
        <w:t xml:space="preserve"> </w:t>
      </w:r>
      <w:r>
        <w:t xml:space="preserve">prompts and decoder we tested, which is not a bound on what the model can do. For Haiku the</w:t>
      </w:r>
      <w:r>
        <w:t xml:space="preserve"> </w:t>
      </w:r>
      <w:r>
        <w:t xml:space="preserve">largest remaining shortfall is 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32</m:t>
        </m:r>
        <m:r>
          <m:rPr>
            <m:sty m:val="p"/>
          </m:rPr>
          <m:t>/</m:t>
        </m:r>
        <m:r>
          <m:t>40</m:t>
        </m:r>
      </m:oMath>
      <w:r>
        <w:t xml:space="preserve">) the retained completions (see Section 7.4.5) show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 missing from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of that arm’s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replies, a</w:t>
      </w:r>
      <w:r>
        <w:t xml:space="preserve"> </w:t>
      </w:r>
      <w:r>
        <w:t xml:space="preserve">packaging effect rather than a selection error. The four cells were built to exhibit the phenomenon, so</w:t>
      </w:r>
      <w:r>
        <w:t xml:space="preserve"> </w:t>
      </w:r>
      <w:r>
        <w:t xml:space="preserve">these magnitudes diagnose the failure structure rather than estimate production-traffic gains.</w:t>
      </w:r>
    </w:p>
    <w:bookmarkStart w:id="97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the per-cell maximum in Table 5 is headroom read off</w:t>
      </w:r>
      <w:r>
        <w:t xml:space="preserve"> </w:t>
      </w:r>
      <w:r>
        <w:t xml:space="preserve">the test outcomes, and no implementable router here captures it, on these tasks or new</w:t>
      </w:r>
      <w:r>
        <w:t xml:space="preserve"> </w:t>
      </w:r>
      <w:r>
        <w:t xml:space="preserve">ones. Concatenating them is not forbidden</w:t>
      </w:r>
      <w:r>
        <w:t xml:space="preserve"> </w:t>
      </w:r>
      <w:r>
        <w:t xml:space="preserve">by the theorem, but on this pair it is the worst of the four policies measured</w:t>
      </w:r>
      <w:r>
        <w:t xml:space="preserve"> </w:t>
      </w:r>
      <w:r>
        <w:t xml:space="preserve">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(see Section 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(see Section 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97"/>
    <w:bookmarkEnd w:id="98"/>
    <w:bookmarkEnd w:id="99"/>
    <w:bookmarkStart w:id="114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per-source scalar score, by imposing one task-independent preorder, must fail to rank them</w:t>
      </w:r>
      <w:r>
        <w:t xml:space="preserve"> </w:t>
      </w:r>
      <w:r>
        <w:t xml:space="preserve">faithfully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registers are established separately, not one from the other. Structural</w:t>
      </w:r>
      <w:r>
        <w:t xml:space="preserve"> </w:t>
      </w:r>
      <w:r>
        <w:t xml:space="preserve">incomparability follows from the projection construction and Lemma 1, with no prior,</w:t>
      </w:r>
      <w:r>
        <w:t xml:space="preserve"> </w:t>
      </w:r>
      <w:r>
        <w:t xml:space="preserve">no caps and no measurement. The experiments separately verify realized cross-advantage for the</w:t>
      </w:r>
      <w:r>
        <w:t xml:space="preserve"> </w:t>
      </w:r>
      <w:r>
        <w:t xml:space="preserve">fixed model on the named task pairs (Assumption 1), which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and nothing more. Lemma 2 is a conditional</w:t>
      </w:r>
      <w:r>
        <w:t xml:space="preserve"> </w:t>
      </w:r>
      <w:r>
        <w:t xml:space="preserve">Bayes-value criterion whose guessing-cap hypotheses these state-conditional measurements do not</w:t>
      </w:r>
      <w:r>
        <w:t xml:space="preserve"> </w:t>
      </w:r>
      <w:r>
        <w:t xml:space="preserve">estimate. So the measured crossover does not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the structural conclusion, and need</w:t>
      </w:r>
      <w:r>
        <w:t xml:space="preserve"> </w:t>
      </w:r>
      <w:r>
        <w:t xml:space="preserve">not: for these sources Lemma 1 already supplies it by construction.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family is controlled simultaneously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over the intervals it names, while the conjunction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families carries no single</w:t>
      </w:r>
      <w:r>
        <w:t xml:space="preserve"> </w:t>
      </w:r>
      <w:r>
        <w:t xml:space="preserve">joint guarantee (see Section 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</w:t>
      </w:r>
      <w:r>
        <w:t xml:space="preserve"> </w:t>
      </w:r>
      <w:r>
        <w:t xml:space="preserve">not a task distribution.</w:t>
      </w:r>
    </w:p>
    <w:bookmarkEnd w:id="102"/>
    <w:bookmarkStart w:id="103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4); nine of the twelve cells are a stark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), on both API cells of Sonnet, Opus, GPT-5.5 and Kimi and on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Three cautions attach to it. The harm is robust across the capability ladder but not ordered by it</w:t>
      </w:r>
      <w:r>
        <w:t xml:space="preserve"> </w:t>
      </w:r>
      <w:r>
        <w:t xml:space="preserve">(see Section 7.4.3), so we claim no capability trend.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 And the two Opus rows join arms</w:t>
      </w:r>
      <w:r>
        <w:t xml:space="preserve"> </w:t>
      </w:r>
      <w:r>
        <w:t xml:space="preserve">from different collection windows (see Section 7.3); the harm contrasts do not,</w:t>
      </w:r>
      <w:r>
        <w:t xml:space="preserve"> </w:t>
      </w:r>
      <w:r>
        <w:t xml:space="preserve">since each is read within a single run.</w:t>
      </w:r>
    </w:p>
    <w:bookmarkEnd w:id="103"/>
    <w:bookmarkStart w:id="104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On both collapse cells of all six models the harmful arm inflates output,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(see Appendix C). On the still-passing encoding cell the same</w:t>
      </w:r>
      <w:r>
        <w:t xml:space="preserve"> </w:t>
      </w:r>
      <w:r>
        <w:t xml:space="preserve">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</w:t>
      </w:r>
      <w:r>
        <w:t xml:space="preserve"> </w:t>
      </w:r>
      <w:r>
        <w:t xml:space="preserve">not establish an internal cause and we treat it as a reproducible correlate of the harmful arm</w:t>
      </w:r>
      <w:r>
        <w:t xml:space="preserve"> </w:t>
      </w:r>
      <w:r>
        <w:t xml:space="preserve">rather than a</w:t>
      </w:r>
      <w:r>
        <w:t xml:space="preserve"> </w:t>
      </w:r>
      <w:r>
        <w:t xml:space="preserve">mechanism. Per-model figures are in Appendix C.</w:t>
      </w:r>
    </w:p>
    <w:bookmarkEnd w:id="104"/>
    <w:bookmarkStart w:id="113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5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scores. We do not claim that retaining the non-dominated set makes downstream selection</w:t>
      </w:r>
      <w:r>
        <w:t xml:space="preserve"> </w:t>
      </w:r>
      <w:r>
        <w:rPr>
          <w:i/>
          <w:iCs/>
        </w:rPr>
        <w:t xml:space="preserve">safe</w:t>
      </w:r>
      <w:r>
        <w:t xml:space="preserve"> </w:t>
      </w:r>
      <w:r>
        <w:t xml:space="preserve">under anti-monotonicity, and nothing here proves it: the verification bounds the</w:t>
      </w:r>
      <w:r>
        <w:t xml:space="preserve"> </w:t>
      </w:r>
      <w:r>
        <w:t xml:space="preserve">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what a selector then does with them, and</w:t>
      </w:r>
      <w:r>
        <w:t xml:space="preserve"> </w:t>
      </w:r>
      <w:r>
        <w:t xml:space="preserve">concatenating two retained members is the move our own record shows can lower PASS</w:t>
      </w:r>
      <w:r>
        <w:t xml:space="preserve"> </w:t>
      </w:r>
      <w:r>
        <w:t xml:space="preserve">(see Section 7.4.3). What the partial order contributes at this level is</w:t>
      </w:r>
      <w:r>
        <w:t xml:space="preserve"> </w:t>
      </w:r>
      <w:r>
        <w:t xml:space="preserve">diagnostic.</w:t>
      </w:r>
    </w:p>
    <w:bookmarkEnd w:id="105"/>
    <w:bookmarkStart w:id="106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domains, both measured over the same transport as the six-model record. On the second</w:t>
      </w:r>
      <w:r>
        <w:t xml:space="preserve"> </w:t>
      </w:r>
      <w:r>
        <w:t xml:space="preserve">pair the verification returns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so the crossover is present in a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 as well as a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one, and the superset carries a verified</w:t>
      </w:r>
      <w:r>
        <w:t xml:space="preserve"> </w:t>
      </w:r>
      <w:r>
        <w:t xml:space="preserve">collapse there too: it takes the contract cell 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budget spread over the pair’s three contrasts. The other two cells do not collapse; the trap</w:t>
      </w:r>
      <w:r>
        <w:t xml:space="preserve"> </w:t>
      </w:r>
      <w:r>
        <w:t xml:space="preserve">cell moves only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nowhere near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margin. An earlier command-line</w:t>
      </w:r>
      <w:r>
        <w:t xml:space="preserve"> </w:t>
      </w:r>
      <w:r>
        <w:t xml:space="preserve">measurement of this pair behaved differently enough that we reported it as regime-dependent; that</w:t>
      </w:r>
      <w:r>
        <w:t xml:space="preserve"> </w:t>
      </w:r>
      <w:r>
        <w:t xml:space="preserve">caveat concerned a transport the record no longer uses. Two gaps remain. The cross-vendor record</w:t>
      </w:r>
      <w:r>
        <w:t xml:space="preserve"> </w:t>
      </w:r>
      <w:r>
        <w:t xml:space="preserve">is still single-pair: five of the six models were never run on it. And the pair did not reproduce</w:t>
      </w:r>
      <w:r>
        <w:t xml:space="preserve"> </w:t>
      </w:r>
      <w:r>
        <w:t xml:space="preserve">the relevance-trap effect at all, its prompt not being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-leaning, so the strong</w:t>
      </w:r>
      <w:r>
        <w:t xml:space="preserve"> </w:t>
      </w:r>
      <w:r>
        <w:t xml:space="preserve">mis-rank is still a one-pair result. A third</w:t>
      </w:r>
      <w:r>
        <w:t xml:space="preserve"> </w:t>
      </w:r>
      <w:r>
        <w:t xml:space="preserve">domain and a vendor-general strong mis-rank remain open next steps.</w:t>
      </w:r>
    </w:p>
    <w:bookmarkEnd w:id="106"/>
    <w:bookmarkStart w:id="107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way, one HTTP request per draw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(see Section 7.3), so neither the turn</w:t>
      </w:r>
      <w:r>
        <w:t xml:space="preserve"> </w:t>
      </w:r>
      <w:r>
        <w:t xml:space="preserve">budget nor the transport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07"/>
    <w:bookmarkStart w:id="108" w:name="the-construction-is-an-idealization."/>
    <w:p>
      <w:pPr>
        <w:pStyle w:val="Heading4"/>
      </w:pPr>
      <w:r>
        <w:t xml:space="preserve">The construction is an idealization.</w:t>
      </w:r>
    </w:p>
    <w:p>
      <w:pPr>
        <w:pStyle w:val="FirstParagraph"/>
      </w:pPr>
      <w:r>
        <w:t xml:space="preserve">It models sources as clean projections onto</w:t>
      </w:r>
      <w:r>
        <w:t xml:space="preserve"> </w:t>
      </w:r>
      <w:r>
        <w:t xml:space="preserve">independent coordinates; real 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 so it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</w:t>
      </w:r>
      <w:r>
        <w:t xml:space="preserve"> </w:t>
      </w:r>
      <w:r>
        <w:t xml:space="preserve">for incomparability, realized exactly by our hand-built pairs and not claimed of arbitrary ones.</w:t>
      </w:r>
    </w:p>
    <w:bookmarkEnd w:id="108"/>
    <w:bookmarkStart w:id="109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specified: draw document pairs from a natural corpus, keep the procedure of</w:t>
      </w:r>
      <w:r>
        <w:t xml:space="preserve"> </w:t>
      </w:r>
      <w:r>
        <w:t xml:space="preserve">Section 6 but write tasks and verifiers that corpus admits, since the four</w:t>
      </w:r>
      <w:r>
        <w:t xml:space="preserve"> </w:t>
      </w:r>
      <w:r>
        <w:t xml:space="preserve">ledger and wire tests do not transfer, and report what fraction verifies incomparable and</w:t>
      </w:r>
      <w:r>
        <w:t xml:space="preserve"> </w:t>
      </w:r>
      <w:r>
        <w:t xml:space="preserve">harmful, with the sampling frame stated. That fraction converts into a lower bound on prevalence</w:t>
      </w:r>
      <w:r>
        <w:t xml:space="preserve"> </w:t>
      </w:r>
      <w:r>
        <w:t xml:space="preserve">without a union bound over pairs. Write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the probability that a drawn pair has the</w:t>
      </w:r>
      <w:r>
        <w:t xml:space="preserve"> </w:t>
      </w:r>
      <w:r>
        <w:t xml:space="preserve">property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event that the procedure verifies it. The procedure is one-sided at level</w:t>
      </w:r>
      <w:r>
        <w:t xml:space="preserve"> </w:t>
      </w:r>
      <m:oMath>
        <m:r>
          <m:t>η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∣</m:t>
        </m:r>
        <m:r>
          <m:rPr>
            <m:nor/>
            <m:sty m:val="p"/>
          </m:rPr>
          <m:t>not 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</m:oMath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t>η</m:t>
        </m:r>
      </m:oMath>
      <w:r>
        <w:t xml:space="preserve">,</w:t>
      </w:r>
      <w:r>
        <w:t xml:space="preserve"> </w:t>
      </w:r>
      <w:r>
        <w:t xml:space="preserve">which rearranges to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. Replacing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 an exact</w:t>
      </w:r>
      <w:r>
        <w:t xml:space="preserve"> </w:t>
      </w:r>
      <w:r>
        <w:t xml:space="preserve">Clopper–Pearson lower bound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on the verified fraction over the sampled pairs gives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(</m:t>
        </m:r>
        <m:bar>
          <m:barPr>
            <m:pos m:val="bot"/>
          </m:barPr>
          <m:e>
            <m:r>
              <m:t>p</m:t>
            </m:r>
          </m:e>
        </m:ba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at confidence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 the correction</w:t>
      </w:r>
      <w:r>
        <w:t xml:space="preserve"> </w:t>
      </w:r>
      <w:r>
        <w:t xml:space="preserve">applies to one marginal probability, not once per pair, because nothing here asserts that each</w:t>
      </w:r>
      <w:r>
        <w:t xml:space="preserve"> </w:t>
      </w:r>
      <w:r>
        <w:t xml:space="preserve">individual verified pair is a true positive. Three conditions bind. The pairs and the procedure’s</w:t>
      </w:r>
      <w:r>
        <w:t xml:space="preserve"> </w:t>
      </w:r>
      <w:r>
        <w:t xml:space="preserve">outcomes must be i.i.d. draws from the stated frame; adaptive selection breaks that, and</w:t>
      </w:r>
      <w:r>
        <w:t xml:space="preserve"> </w:t>
      </w:r>
      <w:r>
        <w:t xml:space="preserve">sharing documents across pairs may introduce dependence. The property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whatever the certificate actually</w:t>
      </w:r>
      <w:r>
        <w:t xml:space="preserve"> </w:t>
      </w:r>
      <w:r>
        <w:t xml:space="preserve">verifies—PASS-incomparability for a named model on a named task battery, not unconditional</w:t>
      </w:r>
      <w:r>
        <w:t xml:space="preserve"> </w:t>
      </w:r>
      <w:r>
        <w:t xml:space="preserve">Blackwell incomparability of the underlying sources. And a joint claim,</w:t>
      </w:r>
      <w:r>
        <w:t xml:space="preserve"> </w:t>
      </w:r>
      <w:r>
        <w:t xml:space="preserve">“incomparable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harmful,”</w:t>
      </w:r>
      <w:r>
        <w:t xml:space="preserve"> </w:t>
      </w:r>
      <w:r>
        <w:t xml:space="preserve">needs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the one-sided error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redefined for that conjunction</w:t>
      </w:r>
      <w:r>
        <w:t xml:space="preserve"> </w:t>
      </w:r>
      <w:r>
        <w:t xml:space="preserve">rather than reusing these. We name prevalence as the open question rather than approximate it</w:t>
      </w:r>
      <w:r>
        <w:t xml:space="preserve"> </w:t>
      </w:r>
      <w:r>
        <w:t xml:space="preserve">here, because a figure computed from hand-built pairs would be circular.</w:t>
      </w:r>
    </w:p>
    <w:bookmarkEnd w:id="109"/>
    <w:bookmarkStart w:id="110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over the same API path as the main record, on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together, on this model the added block’s</w:t>
      </w:r>
      <w:r>
        <w:t xml:space="preserve"> </w:t>
      </w:r>
      <w:r>
        <w:t xml:space="preserve">content and the routing instruction move the outcome, while equal character-length off-topic</w:t>
      </w:r>
      <w:r>
        <w:t xml:space="preserve"> </w:t>
      </w:r>
      <w:r>
        <w:t xml:space="preserve">filler does not. The controls constrain positional and gross-length explanations in the tested</w:t>
      </w:r>
      <w:r>
        <w:t xml:space="preserve"> </w:t>
      </w:r>
      <w:r>
        <w:t xml:space="preserve">configuration rather than eliminating them: they do not isolate tokenization or processing</w:t>
      </w:r>
      <w:r>
        <w:t xml:space="preserve"> </w:t>
      </w:r>
      <w:r>
        <w:t xml:space="preserve">difficulty, do not identify a unique cause, and do not exclude every position-dependent</w:t>
      </w:r>
      <w:r>
        <w:t xml:space="preserve"> </w:t>
      </w:r>
      <w:r>
        <w:t xml:space="preserve">mechanism. Reversing the two blocks leaves both cells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so on this record order changes</w:t>
      </w:r>
      <w:r>
        <w:t xml:space="preserve"> </w:t>
      </w:r>
      <w:r>
        <w:t xml:space="preserve">neither the sign nor the size of the harm, which constrains a positional account without ruling</w:t>
      </w:r>
      <w:r>
        <w:t xml:space="preserve"> </w:t>
      </w:r>
      <w:r>
        <w:t xml:space="preserve">one out for configurations we did not test. The mechanism and</w:t>
      </w:r>
      <w:r>
        <w:t xml:space="preserve"> </w:t>
      </w:r>
      <w:r>
        <w:t xml:space="preserve">refusal counts of Appendix C, with the non-empty extraction record, are likewise</w:t>
      </w:r>
      <w:r>
        <w:t xml:space="preserve"> </w:t>
      </w:r>
      <w:r>
        <w:t xml:space="preserve">automated flags over retained draws: they document what the failing replies contain, establish</w:t>
      </w:r>
      <w:r>
        <w:t xml:space="preserve"> </w:t>
      </w:r>
      <w:r>
        <w:t xml:space="preserve">no universal causal mechanism, and do not exclude every packaging problem. A</w:t>
      </w:r>
      <w:r>
        <w:t xml:space="preserve"> </w:t>
      </w:r>
      <w:r>
        <w:t xml:space="preserve">tokenizer-matched control and an on-topic but verifier-irrelevant control remain untested, as</w:t>
      </w:r>
      <w:r>
        <w:t xml:space="preserve"> </w:t>
      </w:r>
      <w:r>
        <w:t xml:space="preserve">does any of these across the roster. The order control has been run over the same API path as the</w:t>
      </w:r>
      <w:r>
        <w:t xml:space="preserve"> </w:t>
      </w:r>
      <w:r>
        <w:t xml:space="preserve">rest of the controls, but on one model and on the two collapse cells only</w:t>
      </w:r>
      <w:r>
        <w:t xml:space="preserve"> </w:t>
      </w:r>
      <w:r>
        <w:t xml:space="preserve">(see Section 7.4.3).</w:t>
      </w:r>
    </w:p>
    <w:bookmarkEnd w:id="110"/>
    <w:bookmarkStart w:id="111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D),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Stationarity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runs rests on less</w:t>
      </w:r>
      <w:r>
        <w:t xml:space="preserve"> </w:t>
      </w:r>
      <w:r>
        <w:t xml:space="preserve">still, and the cross-window contrasts of Section 7.3 depend on it; the</w:t>
      </w:r>
      <w:r>
        <w:t xml:space="preserve"> </w:t>
      </w:r>
      <w:r>
        <w:t xml:space="preserve">within-run harm contrasts do not.</w:t>
      </w:r>
      <w:r>
        <w:t xml:space="preserve"> </w:t>
      </w:r>
      <w:r>
        <w:t xml:space="preserve">Marginal-versus-joint control is discussed in Section 8.1.</w:t>
      </w:r>
    </w:p>
    <w:bookmarkEnd w:id="111"/>
    <w:bookmarkStart w:id="112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ranking the pair</w:t>
      </w:r>
      <w:r>
        <w:t xml:space="preserve"> </w:t>
      </w:r>
      <w:r>
        <w:t xml:space="preserve">correctly, which the theory permits rather than predicts,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The mis-rank is not evidence of class membership: we do not verify that any learned</w:t>
      </w:r>
      <w:r>
        <w:t xml:space="preserve"> </w:t>
      </w:r>
      <w:r>
        <w:t xml:space="preserve">checkpoint’s score is invariant to the verifier-decisive coordinate or increasing in lexical</w:t>
      </w:r>
      <w:r>
        <w:t xml:space="preserve"> </w:t>
      </w:r>
      <w:r>
        <w:t xml:space="preserve">overlap alone, so Proposition 2 is not shown to bind these</w:t>
      </w:r>
      <w:r>
        <w:t xml:space="preserve"> </w:t>
      </w:r>
      <w:r>
        <w:t xml:space="preserve">rankers. Positive</w:t>
      </w:r>
      <w:r>
        <w:t xml:space="preserve"> </w:t>
      </w:r>
      <w:r>
        <w:t xml:space="preserve">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2"/>
    <w:bookmarkEnd w:id="113"/>
    <w:bookmarkEnd w:id="114"/>
    <w:bookmarkStart w:id="11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Blackwell’s comparison of</w:t>
      </w:r>
      <w:r>
        <w:t xml:space="preserve"> </w:t>
      </w:r>
      <w:r>
        <w:t xml:space="preserve">experiments identifies a structural limitation of task-independent context rankings: when two</w:t>
      </w:r>
      <w:r>
        <w:t xml:space="preserve"> </w:t>
      </w:r>
      <w:r>
        <w:t xml:space="preserve">sources are incomparable, no one per-source score fixed across tasks ranks them correctly for every</w:t>
      </w:r>
      <w:r>
        <w:t xml:space="preserve"> </w:t>
      </w:r>
      <w:r>
        <w:t xml:space="preserve">decision problem (Theorem 2). For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 rules we measure a</w:t>
      </w:r>
      <w:r>
        <w:t xml:space="preserve"> </w:t>
      </w:r>
      <w:r>
        <w:t xml:space="preserve">separate, task-restricted PASS relation with finite-sample bounds, tied to the classical order only</w:t>
      </w:r>
      <w:r>
        <w:t xml:space="preserve"> </w:t>
      </w:r>
      <w:r>
        <w:t xml:space="preserve">through the conditional bridge of Lemma 2. On six models across four vendors both</w:t>
      </w:r>
      <w:r>
        <w:t xml:space="preserve"> </w:t>
      </w:r>
      <w:r>
        <w:t xml:space="preserve">directions of PASS-incomparability stay positive under a joint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guarantee; on each of them a</w:t>
      </w:r>
      <w:r>
        <w:t xml:space="preserve"> </w:t>
      </w:r>
      <w:r>
        <w:t xml:space="preserve">deployed relevance score ranks the pair the wrong way on a designed trap; and adding a strictly</w:t>
      </w:r>
      <w:r>
        <w:t xml:space="preserve"> </w:t>
      </w:r>
      <w:r>
        <w:t xml:space="preserve">larger source lowers PASS on all twelve tested API contrasts, eleven of which meet the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harm</w:t>
      </w:r>
      <w:r>
        <w:t xml:space="preserve"> </w:t>
      </w:r>
      <w:r>
        <w:t xml:space="preserve">margin under joint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control, with every model retaining at least one verified contrast. What a private source is worth is model-relative: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six models, one of which solves the task with no context at all, and</w:t>
      </w:r>
      <w:r>
        <w:t xml:space="preserve"> </w:t>
      </w:r>
      <w:r>
        <w:t xml:space="preserve">what it tracks these runs cannot identify. Bringing Blackwell and Le Cam to inference-time context is not ours to claim; concurrent</w:t>
      </w:r>
      <w:r>
        <w:t xml:space="preserve"> </w:t>
      </w:r>
      <w:r>
        <w:t xml:space="preserve">work reached the same apparatus from the admission side (see Section 2.3). What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The scope is narrow and stated exactly. Theorem 2 and</w:t>
      </w:r>
      <w:r>
        <w:t xml:space="preserve"> </w:t>
      </w:r>
      <w:r>
        <w:t xml:space="preserve">Lemma 2 concern the idealized Bayes-optimal user, while</w:t>
      </w:r>
      <w:r>
        <w:t xml:space="preserve"> </w:t>
      </w:r>
      <w:r>
        <w:t xml:space="preserve">Theorem 3 concerns the fixed rule a model realizes and invokes no such user at</w:t>
      </w:r>
      <w:r>
        <w:t xml:space="preserve"> </w:t>
      </w:r>
      <w:r>
        <w:t xml:space="preserve">all; the measured crossover and collapse are properties of those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rules; the two</w:t>
      </w:r>
      <w:r>
        <w:t xml:space="preserve"> </w:t>
      </w:r>
      <w:r>
        <w:t xml:space="preserve">sources’</w:t>
      </w:r>
      <w:r>
        <w:t xml:space="preserve"> </w:t>
      </w:r>
      <w:r>
        <w:t xml:space="preserve">incomparability is structural, resting on the projection construction and Lemma 1</w:t>
      </w:r>
      <w:r>
        <w:t xml:space="preserve"> </w:t>
      </w:r>
      <w:r>
        <w:t xml:space="preserve">rather than on measurement; Lemma 2 is a conditional Bayes-value criterion whose</w:t>
      </w:r>
      <w:r>
        <w:t xml:space="preserve"> </w:t>
      </w:r>
      <w:r>
        <w:t xml:space="preserve">guessing caps we do not estimate; and the estimator is a regret-gap surrogate, not a Le Cam</w:t>
      </w:r>
      <w:r>
        <w:t xml:space="preserve"> </w:t>
      </w:r>
      <w:r>
        <w:t xml:space="preserve">deficiency. All six models are measured under one protocol, so cross-vendor magnitudes carry no</w:t>
      </w:r>
      <w:r>
        <w:t xml:space="preserve"> </w:t>
      </w:r>
      <w:r>
        <w:t xml:space="preserve">transport confound; they remain read with caution as model differences and collection windows</w:t>
      </w:r>
      <w:r>
        <w:t xml:space="preserve"> </w:t>
      </w:r>
      <w:r>
        <w:t xml:space="preserve">(see Section 7.3); the verified claims are within-model contrasts. What the impossibility</w:t>
      </w:r>
      <w:r>
        <w:t xml:space="preserve"> </w:t>
      </w:r>
      <w:r>
        <w:t xml:space="preserve">excludes is one number per source fixed across tasks and query-conditioned scores meeting the two</w:t>
      </w:r>
      <w:r>
        <w:t xml:space="preserve"> </w:t>
      </w:r>
      <w:r>
        <w:t xml:space="preserve">hypotheses of Proposition 2; a task-conditioned score, a router over</w:t>
      </w:r>
      <w:r>
        <w:t xml:space="preserve"> </w:t>
      </w:r>
      <w:r>
        <w:t xml:space="preserve">public metadata, or a listwise reader that pays to read the decisive content lie outside it</w:t>
      </w:r>
      <w:r>
        <w:t xml:space="preserve"> </w:t>
      </w:r>
      <w:r>
        <w:t xml:space="preserve">(Remark 6). The behavioural controls constrain block-order and gross-length</w:t>
      </w:r>
      <w:r>
        <w:t xml:space="preserve"> </w:t>
      </w:r>
      <w:r>
        <w:t xml:space="preserve">explanations on one model; they do not establish an internal mechanism. The decisive next test is</w:t>
      </w:r>
      <w:r>
        <w:t xml:space="preserve"> </w:t>
      </w:r>
      <w:r>
        <w:t xml:space="preserve">prevalence: draw source pairs from a</w:t>
      </w:r>
      <w:r>
        <w:t xml:space="preserve"> </w:t>
      </w:r>
      <w:r>
        <w:t xml:space="preserve">natural corpus rather than building them, run the same verification unchanged, and report how often</w:t>
      </w:r>
      <w:r>
        <w:t xml:space="preserve"> </w:t>
      </w:r>
      <w:r>
        <w:t xml:space="preserve">a deployed retrieval stream produces a pair that verifies incomparable (see Section 8.4).</w:t>
      </w:r>
    </w:p>
    <w:bookmarkEnd w:id="115"/>
    <w:bookmarkStart w:id="11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16"/>
    <w:bookmarkStart w:id="11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D were borne by the authors.</w:t>
      </w:r>
    </w:p>
    <w:bookmarkEnd w:id="117"/>
    <w:bookmarkStart w:id="118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18"/>
    <w:bookmarkStart w:id="119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19"/>
    <w:bookmarkStart w:id="120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Section 7.4.5.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retained completions of Appendix C.1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0"/>
    <w:bookmarkStart w:id="12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OpenAI’s Codex was used separately to audit the manuscript against the</w:t>
      </w:r>
      <w:r>
        <w:t xml:space="preserve"> </w:t>
      </w:r>
      <w:r>
        <w:t xml:space="preserve">released records; several errors it found, including a diagnostic rule that under-reported what</w:t>
      </w:r>
      <w:r>
        <w:t xml:space="preserve"> </w:t>
      </w:r>
      <w:r>
        <w:t xml:space="preserve">it was testing for, are corrected in this version, and each correction was checked by re-running</w:t>
      </w:r>
      <w:r>
        <w:t xml:space="preserve"> </w:t>
      </w:r>
      <w:r>
        <w:t xml:space="preserve">the released scripts. The work spans many sessions and the assistant version in use was not</w:t>
      </w:r>
      <w:r>
        <w:t xml:space="preserve"> </w:t>
      </w:r>
      <w:r>
        <w:t xml:space="preserve">logged throughout, so we identify the tools by family rather than assert version strings we did</w:t>
      </w:r>
      <w:r>
        <w:t xml:space="preserve"> </w:t>
      </w:r>
      <w:r>
        <w:t xml:space="preserve">not record. The authors inspected code changes, executed the experiments, verified outputs</w:t>
      </w:r>
      <w:r>
        <w:t xml:space="preserve"> </w:t>
      </w:r>
      <w:r>
        <w:t xml:space="preserve">against frozen manifests and source files, checked cited sources, and take full responsibility</w:t>
      </w:r>
      <w:r>
        <w:t xml:space="preserve"> </w:t>
      </w:r>
      <w:r>
        <w:t xml:space="preserve">for the study design, results, interpretations, and manuscript.</w:t>
      </w:r>
    </w:p>
    <w:bookmarkEnd w:id="121"/>
    <w:bookmarkStart w:id="122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Section 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generative-AI tools assisted</w:t>
      </w:r>
      <w:r>
        <w:t xml:space="preserve"> </w:t>
      </w:r>
      <w:r>
        <w:t xml:space="preserve">with the tasks disclosed in the Acknowledgments, analysis and interpretation among them. Every</w:t>
      </w:r>
      <w:r>
        <w:t xml:space="preserve"> </w:t>
      </w:r>
      <w:r>
        <w:t xml:space="preserve">numerical result was computed by the released scripts from the 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 figure that uses it, and was</w:t>
      </w:r>
      <w:r>
        <w:t xml:space="preserve"> </w:t>
      </w:r>
      <w:r>
        <w:t xml:space="preserve">checked by the authors, who retain responsibility for the analysis and the conclusions.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2"/>
    <w:bookmarkStart w:id="123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3"/>
    <w:bookmarkStart w:id="124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4"/>
    <w:bookmarkStart w:id="136" w:name="app:proofs"/>
    <w:p>
      <w:pPr>
        <w:pStyle w:val="Heading1"/>
      </w:pPr>
      <w:r>
        <w:t xml:space="preserve">Deferred proofs and technical material</w:t>
      </w:r>
    </w:p>
    <w:bookmarkStart w:id="125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5"/>
    <w:bookmarkStart w:id="126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3). Solvability,</w:t>
      </w:r>
      <w:r>
        <w:t xml:space="preserve"> </w:t>
      </w:r>
      <w:r>
        <w:t xml:space="preserve">the hypothesis’s separate half, supplies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 an action the verifier accepts,</w:t>
      </w:r>
      <w:r>
        <w:t xml:space="preserve"> </w:t>
      </w:r>
      <w:r>
        <w:t xml:space="preserve">measurable in that coordinate and the facts known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surely. Reading the coordinate</w:t>
      </w:r>
      <w:r>
        <w:t xml:space="preserve"> </w:t>
      </w:r>
      <w:r>
        <w:t xml:space="preserve">off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and playing that action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 or as an</w:t>
      </w:r>
      <w:r>
        <w:t xml:space="preserve"> </w:t>
      </w:r>
      <w:r>
        <w:t xml:space="preserve">estimate of it: the caps are assumed, and nothing reported here determines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. In the</w:t>
      </w:r>
      <w:r>
        <w:t xml:space="preserve"> </w:t>
      </w:r>
      <w:r>
        <w:t xml:space="preserve">converse direction the caps keep apart two failures a bare crossover cannot distinguish: opposed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 on a strictly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pair, which is what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strictly and Theorem 3’s non-coherence a monotonicity</w:t>
      </w:r>
      <w:r>
        <w:t xml:space="preserve"> </w:t>
      </w:r>
      <w:r>
        <w:t xml:space="preserve">violation; and opposed rates under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illustrated without a certified</w:t>
      </w:r>
      <w:r>
        <w:t xml:space="preserve"> </w:t>
      </w:r>
      <w:r>
        <w:t xml:space="preserve">instance by the padding arm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(Remarks 3</w:t>
      </w:r>
      <w:r>
        <w:t xml:space="preserve"> </w:t>
      </w:r>
      <w:r>
        <w:t xml:space="preserve">and 2). Neither licenses a structural conclusion from a crossover alone.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incomparability. The</w:t>
      </w:r>
      <w:r>
        <w:t xml:space="preserve"> </w:t>
      </w:r>
      <w:r>
        <w:t xml:space="preserve">unconditional converse fails, witnessed by the decoder that ignores its context: whatever the</w:t>
      </w:r>
      <w:r>
        <w:t xml:space="preserve"> </w:t>
      </w:r>
      <w:r>
        <w:t xml:space="preserve">sources,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both hold and the pair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-comparable however</w:t>
      </w:r>
      <w:r>
        <w:t xml:space="preserve"> </w:t>
      </w:r>
      <w:r>
        <w:t xml:space="preserve">Blackwell-incomparable it is. A monotonicity violation on a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 is a different</w:t>
      </w:r>
      <w:r>
        <w:t xml:space="preserve"> </w:t>
      </w:r>
      <w:r>
        <w:t xml:space="preserve">phenomenon, not by itself such a witness. ◻</w:t>
      </w:r>
    </w:p>
    <w:bookmarkEnd w:id="126"/>
    <w:bookmarkStart w:id="127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. These witnesses carry bounded utility and need not be binary</w:t>
      </w:r>
      <w:r>
        <w:t xml:space="preserve"> </w:t>
      </w:r>
      <w:r>
        <w:t xml:space="preserve">verifiers (Definition 2); for projection sources they may be taken binary (proof</w:t>
      </w:r>
      <w:r>
        <w:t xml:space="preserve"> </w:t>
      </w:r>
      <w:r>
        <w:t xml:space="preserve">of Lemma 2</w:t>
      </w:r>
      <w:r>
        <w:t xml:space="preserve">(a)</w:t>
      </w:r>
      <w:r>
        <w:t xml:space="preserve">).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task-independent total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 If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it expresses no strict preference and is unfaithful</w:t>
      </w:r>
      <w:r>
        <w:t xml:space="preserve"> </w:t>
      </w:r>
      <w:r>
        <w:t xml:space="preserve">on both; otherwise the strict order it fixes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 and is violated on the other. Either way faithfulness fails</w:t>
      </w:r>
      <w:r>
        <w:t xml:space="preserve"> </w:t>
      </w:r>
      <w:r>
        <w:t xml:space="preserve">on at least one, which is the claim, and a fixed task-independent tie-breaking rule only removes</w:t>
      </w:r>
      <w:r>
        <w:t xml:space="preserve"> </w:t>
      </w:r>
      <w:r>
        <w:t xml:space="preserve">the first case.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27"/>
    <w:bookmarkStart w:id="128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28"/>
    <w:bookmarkStart w:id="129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one</w:t>
      </w:r>
      <w:r>
        <w:t xml:space="preserve"> </w:t>
      </w:r>
      <w:r>
        <w:t xml:space="preserve">task-independent total preorder and, by Theorem 2, cannot rank a</w:t>
      </w:r>
      <w:r>
        <w:t xml:space="preserve"> </w:t>
      </w:r>
      <w:r>
        <w:t xml:space="preserve">Blackwell-incomparable pair faithfully on all tasks. ◻</w:t>
      </w:r>
    </w:p>
    <w:bookmarkEnd w:id="129"/>
    <w:bookmarkStart w:id="130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0"/>
    <w:bookmarkStart w:id="131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1"/>
    <w:bookmarkStart w:id="132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2"/>
    <w:bookmarkStart w:id="134" w:name="relation-to-llm-evaluation-statistics"/>
    <w:p>
      <w:pPr>
        <w:pStyle w:val="Heading2"/>
      </w:pPr>
      <w:r>
        <w:t xml:space="preserve">Relation to LLM-evaluation statistics</w:t>
      </w:r>
    </w:p>
    <w:bookmarkStart w:id="133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3"/>
    <w:bookmarkEnd w:id="134"/>
    <w:bookmarkStart w:id="135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and a negative point estimate need not verify either the sign</w:t>
      </w:r>
      <w:r>
        <w:t xml:space="preserve"> </w:t>
      </w:r>
      <w:r>
        <w:t xml:space="preserve">of the harm or the margin. On the second source pair’s trap cell PASS moves from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but the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difference is</w:t>
      </w:r>
      <w:r>
        <w:t xml:space="preserve"> </w:t>
      </w:r>
      <m:oMath>
        <m:r>
          <m:rPr>
            <m:sty m:val="p"/>
          </m:rPr>
          <m:t>+</m:t>
        </m:r>
        <m:r>
          <m:t>0.188345</m:t>
        </m:r>
      </m:oMath>
      <w:r>
        <w:t xml:space="preserve">: neither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is verified by that contrast.</w:t>
      </w:r>
    </w:p>
    <w:bookmarkEnd w:id="135"/>
    <w:bookmarkEnd w:id="136"/>
    <w:bookmarkStart w:id="142" w:name="app:record"/>
    <w:p>
      <w:pPr>
        <w:pStyle w:val="Heading1"/>
      </w:pPr>
      <w:r>
        <w:t xml:space="preserve">Extended experimental record</w:t>
      </w:r>
    </w:p>
    <w:bookmarkStart w:id="141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p>
      <w:pPr>
        <w:pStyle w:val="BodyText"/>
      </w:pPr>
      <w:r>
        <w:rPr>
          <w:i/>
          <w:iCs/>
        </w:rPr>
        <w:t xml:space="preserve">How the bounds below are to be read.</w:t>
      </w:r>
      <w:r>
        <w:t xml:space="preserve"> </w:t>
      </w:r>
      <w:r>
        <w:t xml:space="preserve">A bound on a two-arm difference is assembled from the</w:t>
      </w:r>
      <w:r>
        <w:t xml:space="preserve"> </w:t>
      </w:r>
      <w:r>
        <w:t xml:space="preserve">two proportions’ exact intervals. Each endpoint quoted here is a</w:t>
      </w:r>
      <w:r>
        <w:t xml:space="preserve"> </w:t>
      </w:r>
      <w:r>
        <w:rPr>
          <w:i/>
          <w:iCs/>
        </w:rPr>
        <w:t xml:space="preserve">separate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bound, which is the form Proposition 4 uses and the form in which each harm</w:t>
      </w:r>
      <w:r>
        <w:t xml:space="preserve"> </w:t>
      </w:r>
      <w:r>
        <w:t xml:space="preserve">claim is made; the two endpoints together carry a guaranteed joint coverage of at least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under this union-bound argument, so where a two-sided statement is wanted we assemble it from</w:t>
      </w:r>
      <w:r>
        <w:t xml:space="preserve"> </w:t>
      </w:r>
      <w:r>
        <w:t xml:space="preserve">individual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regions and say so. Decisions use unrounded endpoints;</w:t>
      </w:r>
      <w:r>
        <w:t xml:space="preserve"> </w:t>
      </w:r>
      <w:r>
        <w:t xml:space="preserve">displayed confidence bounds are rounded outward, lower bounds downward and upper bounds upward.</w:t>
      </w:r>
    </w:p>
    <w:bookmarkStart w:id="137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). Anti-monotonicity reproduces as a verified</w:t>
      </w:r>
      <w:r>
        <w:t xml:space="preserve"> </w:t>
      </w:r>
      <w:r>
        <w:t xml:space="preserve">collapse on the contract cell: the superset takes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</m:oMath>
      <w:r>
        <w:t xml:space="preserve"> </w:t>
      </w:r>
      <w:r>
        <w:t xml:space="preserve">with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</w:t>
      </w:r>
      <w:r>
        <w:t xml:space="preserve"> </w:t>
      </w:r>
      <w:r>
        <w:t xml:space="preserve">contrasts, clearing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other two cells do</w:t>
      </w:r>
      <w:r>
        <w:t xml:space="preserve"> </w:t>
      </w:r>
      <w:r>
        <w:t xml:space="preserve">not: the superset lifts key-normalization from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 on the trap cell it moves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0.075</m:t>
        </m:r>
      </m:oMath>
      <w:r>
        <w:t xml:space="preserve">,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bounds</w:t>
      </w:r>
      <w:r>
        <w:t xml:space="preserve"> </w:t>
      </w:r>
      <m:oMath>
        <m:r>
          <m:rPr>
            <m:sty m:val="p"/>
          </m:rPr>
          <m:t>−</m:t>
        </m:r>
        <m:r>
          <m:t>0.3295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0.1884</m:t>
        </m:r>
      </m:oMath>
      <w:r>
        <w:t xml:space="preserve">. The upper</w:t>
      </w:r>
      <w:r>
        <w:t xml:space="preserve"> </w:t>
      </w:r>
      <w:r>
        <w:t xml:space="preserve">bound is positive, so this contrast verifies neither the sign of the harm nor the margin. The</w:t>
      </w:r>
      <w:r>
        <w:t xml:space="preserve"> </w:t>
      </w:r>
      <w:r>
        <w:t xml:space="preserve">dominance control on the same run returns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0.113</m:t>
        </m:r>
      </m:oMath>
      <w:r>
        <w:t xml:space="preserve">, inside the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tolerance, with a strict win the other way (</w:t>
      </w:r>
      <m:oMath>
        <m:r>
          <m:t>0.65</m:t>
        </m:r>
      </m:oMath>
      <w:r>
        <w:t xml:space="preserve">), so it covers the three-cell battery rather</w:t>
      </w:r>
      <w:r>
        <w:t xml:space="preserve"> </w:t>
      </w:r>
      <w:r>
        <w:t xml:space="preserve">than a single cell. The relevance trap for this pair was a null, its prompt vocabulary leaning</w:t>
      </w:r>
      <w:r>
        <w:t xml:space="preserve"> </w:t>
      </w:r>
      <w:r>
        <w:t xml:space="preserve">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on the trap</w:t>
      </w:r>
      <w:r>
        <w:t xml:space="preserve"> </w:t>
      </w:r>
      <w:r>
        <w:t xml:space="preserve">prompt), so 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 and</w:t>
      </w:r>
      <w:r>
        <w:t xml:space="preserve"> </w:t>
      </w:r>
      <w:r>
        <w:t xml:space="preserve">the strong mis-rank remains a pair-1 result. The contribution of the second pair is therefore</w:t>
      </w:r>
      <w:r>
        <w:t xml:space="preserve"> </w:t>
      </w:r>
      <w:r>
        <w:rPr>
          <w:i/>
          <w:iCs/>
        </w:rPr>
        <w:t xml:space="preserve">generality of the incomparability, dominance and collapse results to a new domain</w:t>
      </w:r>
      <w:r>
        <w:t xml:space="preserve">, not a</w:t>
      </w:r>
      <w:r>
        <w:t xml:space="preserve"> </w:t>
      </w:r>
      <w:r>
        <w:t xml:space="preserve">second mis-rank.</w:t>
      </w:r>
    </w:p>
    <w:bookmarkEnd w:id="137"/>
    <w:bookmarkStart w:id="138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. The padded arm is never verified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0.225</m:t>
        </m:r>
      </m:oMath>
      <w:r>
        <w:t xml:space="preserve"> </w:t>
      </w:r>
      <w:r>
        <w:t xml:space="preserve">with a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0.0202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0.3846</m:t>
        </m:r>
        <m:r>
          <m:rPr>
            <m:sty m:val="p"/>
          </m:rPr>
          <m:t>]</m:t>
        </m:r>
      </m:oMath>
      <w:r>
        <w:t xml:space="preserve">, clear of zero,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0.025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0.0875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0.1316</m:t>
        </m:r>
        <m:r>
          <m:rPr>
            <m:sty m:val="p"/>
          </m:rPr>
          <m:t>]</m:t>
        </m:r>
      </m:oMath>
      <w:r>
        <w:t xml:space="preserve">, consistent with no difference. Against the superset the same-run harm</w:t>
      </w:r>
      <w:r>
        <w:t xml:space="preserve"> </w:t>
      </w:r>
      <w:r>
        <w:t xml:space="preserve">verification clears on both cells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0.775</m:t>
        </m:r>
      </m:oMath>
      <w:r>
        <w:t xml:space="preserve">,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</w:t>
      </w:r>
      <w:r>
        <w:t xml:space="preserve"> </w:t>
      </w:r>
      <m:oMath>
        <m:r>
          <m:rPr>
            <m:sty m:val="p"/>
          </m:rPr>
          <m:t>−</m:t>
        </m:r>
        <m:r>
          <m:t>0.5680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0.8146</m:t>
        </m:r>
      </m:oMath>
      <w:r>
        <w:t xml:space="preserve">). In the tested configuration the</w:t>
      </w:r>
      <w:r>
        <w:t xml:space="preserve"> </w:t>
      </w:r>
      <w:r>
        <w:t xml:space="preserve">collapse therefore does not follow from added length alone. The match is by characters, not</w:t>
      </w:r>
      <w:r>
        <w:t xml:space="preserve"> </w:t>
      </w:r>
      <w:r>
        <w:t xml:space="preserve">subword tokens, and the filler is plain prose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symbol-dense, so gross length is</w:t>
      </w:r>
      <w:r>
        <w:t xml:space="preserve"> </w:t>
      </w:r>
      <w:r>
        <w:t xml:space="preserve">constrained but token count and processing difficulty are not. One residual axis is not</w:t>
      </w:r>
      <w:r>
        <w:t xml:space="preserve"> </w:t>
      </w:r>
      <w:r>
        <w:t xml:space="preserve">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8"/>
    <w:bookmarkStart w:id="139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; both</w:t>
      </w:r>
      <w:r>
        <w:t xml:space="preserve"> </w:t>
      </w:r>
      <w:r>
        <w:t xml:space="preserve">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large, with non-overlapping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on the two</w:t>
      </w:r>
      <w:r>
        <w:t xml:space="preserve"> </w:t>
      </w:r>
      <w:r>
        <w:t xml:space="preserve">proportions.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the picture is cell-dependent and much weaker.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instructed superset scores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0.200</m:t>
        </m:r>
      </m:oMath>
      <w:r>
        <w:t xml:space="preserve">, with a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 of</w:t>
      </w:r>
      <w:r>
        <w:t xml:space="preserve"> </w:t>
      </w:r>
      <m:oMath>
        <m:r>
          <m:rPr>
            <m:sty m:val="p"/>
          </m:rPr>
          <m:t>+</m:t>
        </m:r>
        <m:r>
          <m:t>0.0095</m:t>
        </m:r>
      </m:oMath>
      <w:r>
        <w:t xml:space="preserve">; that separate one-sided</w:t>
      </w:r>
      <w:r>
        <w:t xml:space="preserve"> </w:t>
      </w:r>
      <w:r>
        <w:t xml:space="preserve">statement clears zero, but the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assembled from individual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regions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0.0232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0.3839</m:t>
        </m:r>
        <m:r>
          <m:rPr>
            <m:sty m:val="p"/>
          </m:rPr>
          <m:t>]</m:t>
        </m:r>
      </m:oMath>
      <w:r>
        <w:t xml:space="preserve"> </w:t>
      </w:r>
      <w:r>
        <w:t xml:space="preserve">and does not.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scores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0.150</m:t>
        </m:r>
      </m:oMath>
      <w:r>
        <w:t xml:space="preserve">, one-sided bounds</w:t>
      </w:r>
      <w:r>
        <w:t xml:space="preserve"> </w:t>
      </w:r>
      <m:oMath>
        <m:r>
          <m:rPr>
            <m:sty m:val="p"/>
          </m:rPr>
          <m:t>−</m:t>
        </m:r>
        <m:r>
          <m:t>0.3025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0.0281</m:t>
        </m:r>
      </m:oMath>
      <w:r>
        <w:t xml:space="preserve">, so neither superiority nor</w:t>
      </w:r>
      <w:r>
        <w:t xml:space="preserve"> </w:t>
      </w:r>
      <w:r>
        <w:t xml:space="preserve">inferiority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verified. The record shows that the instruction removes the collapse; it</w:t>
      </w:r>
      <w:r>
        <w:t xml:space="preserve"> </w:t>
      </w:r>
      <w:r>
        <w:t xml:space="preserve">does not show whether the instructed superset matches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unaffected. What the ablation does not</w:t>
      </w:r>
      <w:r>
        <w:t xml:space="preserve"> </w:t>
      </w:r>
      <w:r>
        <w:t xml:space="preserve">settle is the selection-level question under the instructed rule: the instructed superset sits</w:t>
      </w:r>
      <w:r>
        <w:t xml:space="preserve"> </w:t>
      </w:r>
      <w:r>
        <w:t xml:space="preserve">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one cell and above it on the other, so on this record keeping the dominated</w:t>
      </w:r>
      <w:r>
        <w:t xml:space="preserve"> </w:t>
      </w:r>
      <w:r>
        <w:t xml:space="preserve">signal is neither uniformly worse nor uniformly better than dropping it once routing knowledge is</w:t>
      </w:r>
      <w:r>
        <w:t xml:space="preserve"> </w:t>
      </w:r>
      <w:r>
        <w:t xml:space="preserve">supplied. What the record does support is narrower: without that knowledge, forcing the superset</w:t>
      </w:r>
      <w:r>
        <w:t xml:space="preserve"> </w:t>
      </w:r>
      <w:r>
        <w:t xml:space="preserve">is verified harmful, and supplying it requires the coordinate structure the partial order</w:t>
      </w:r>
      <w:r>
        <w:t xml:space="preserve"> </w:t>
      </w:r>
      <w:r>
        <w:t xml:space="preserve">formalizes.</w:t>
      </w:r>
    </w:p>
    <w:bookmarkEnd w:id="139"/>
    <w:bookmarkStart w:id="140" w:name="Xbf74051c231d8f5334cdbb8a3972387ec2ab08e"/>
    <w:p>
      <w:pPr>
        <w:pStyle w:val="Heading4"/>
      </w:pPr>
      <w:r>
        <w:t xml:space="preserve">A structured-context ablation: labeled XML segmentation does not mitigate.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does not mitigate at all: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collapse cells, exactly the raw superset’s result,</w:t>
      </w:r>
      <w:r>
        <w:t xml:space="preserve"> </w:t>
      </w:r>
      <w:r>
        <w:t xml:space="preserve">so labelled segmentation without a routing statement is not separated from the superset anywhere</w:t>
      </w:r>
      <w:r>
        <w:t xml:space="preserve"> </w:t>
      </w:r>
      <w:r>
        <w:t xml:space="preserve">(both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t>0.088</m:t>
        </m:r>
        <m:r>
          <m:rPr>
            <m:sty m:val="p"/>
          </m:rPr>
          <m:t>]</m:t>
        </m:r>
      </m:oMath>
      <w:r>
        <w:t xml:space="preserve">). The routing note is separated from both on both cells: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0.672</m:t>
        </m:r>
        <m:r>
          <m:rPr>
            <m:sty m:val="p"/>
          </m:rPr>
          <m:t>,</m:t>
        </m:r>
        <m:r>
          <m:t>0.927</m:t>
        </m:r>
        <m:r>
          <m:rPr>
            <m:sty m:val="p"/>
          </m:rPr>
          <m:t>]</m:t>
        </m:r>
      </m:oMath>
      <w:r>
        <w:t xml:space="preserve">) and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0.868</m:t>
        </m:r>
        <m:r>
          <m:rPr>
            <m:sty m:val="p"/>
          </m:rPr>
          <m:t>,</m:t>
        </m:r>
        <m:r>
          <m:t>0.999</m:t>
        </m:r>
        <m:r>
          <m:rPr>
            <m:sty m:val="p"/>
          </m:rPr>
          <m:t>]</m:t>
        </m:r>
      </m:oMath>
      <w:r>
        <w:t xml:space="preserve">).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routing arm also exceeds this control’s own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baseline of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0.615</m:t>
        </m:r>
        <m:r>
          <m:rPr>
            <m:sty m:val="p"/>
          </m:rPr>
          <m:t>,</m:t>
        </m:r>
        <m:r>
          <m:t>0.892</m:t>
        </m:r>
        <m:r>
          <m:rPr>
            <m:sty m:val="p"/>
          </m:rPr>
          <m:t>]</m:t>
        </m:r>
      </m:oMath>
      <w:r>
        <w:t xml:space="preserve">), so the ordering is not a graded ladder from</w:t>
      </w:r>
      <w:r>
        <w:t xml:space="preserve"> </w:t>
      </w:r>
      <w:r>
        <w:t xml:space="preserve">superset to dropping the dominated signal; what the arms separate is segmentation, which changes</w:t>
      </w:r>
      <w:r>
        <w:t xml:space="preserve"> </w:t>
      </w:r>
      <w:r>
        <w:t xml:space="preserve">nothing, from routing knowledge, which changes almost everything. As in</w:t>
      </w:r>
      <w:r>
        <w:t xml:space="preserve"> </w:t>
      </w:r>
      <w:r>
        <w:t xml:space="preserve">Section 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with the structure arm and the baselines it is compared against measured in one run.</w:t>
      </w:r>
    </w:p>
    <w:bookmarkEnd w:id="140"/>
    <w:bookmarkEnd w:id="141"/>
    <w:bookmarkEnd w:id="142"/>
    <w:bookmarkStart w:id="146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Section 7.4.5 and the</w:t>
      </w:r>
      <w:r>
        <w:t xml:space="preserve"> </w:t>
      </w:r>
      <w:r>
        <w:t xml:space="preserve">token observation of Section 8.3.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44" w:name="app:audit"/>
    <w:p>
      <w:pPr>
        <w:pStyle w:val="Heading2"/>
      </w:pPr>
      <w:r>
        <w:t xml:space="preserve">What the retained completions contain</w:t>
      </w:r>
    </w:p>
    <w:p>
      <w:pPr>
        <w:pStyle w:val="FirstParagraph"/>
      </w:pPr>
      <w:r>
        <w:t xml:space="preserve">Raw completions were kept for the three Anthropic models’ rows of the interference table; the</w:t>
      </w:r>
      <w:r>
        <w:t xml:space="preserve"> </w:t>
      </w:r>
      <w:r>
        <w:t xml:space="preserve">other three models’ rows are aggregate-only. This appendix reads what was kept. The table below</w:t>
      </w:r>
      <w:r>
        <w:t xml:space="preserve"> </w:t>
      </w:r>
      <w:r>
        <w:t xml:space="preserve">covers the two collapse cells of those three models,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completions per arm and cell,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total; the same retention is in place for the behavioural controls and the second source pair.</w:t>
      </w:r>
    </w:p>
    <w:bookmarkStart w:id="143" w:name="tab:retained"/>
    <w:p>
      <w:pPr>
        <w:pStyle w:val="TableCaption"/>
      </w:pPr>
      <w:r>
        <w:t xml:space="preserve">Retained completions on the two collapse cells,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arm.</w:t>
      </w:r>
      <w:r>
        <w:t xml:space="preserve"> </w:t>
      </w:r>
      <w:r>
        <w:t xml:space="preserve">“Import”</w:t>
      </w:r>
      <w:r>
        <w:t xml:space="preserve"> </w:t>
      </w:r>
      <w:r>
        <w:t xml:space="preserve">counts</w:t>
      </w:r>
      <w:r>
        <w:t xml:space="preserve"> </w:t>
      </w:r>
      <w:r>
        <w:t xml:space="preserve">replies carrying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needs;</w:t>
      </w:r>
      <w:r>
        <w:t xml:space="preserve"> </w:t>
      </w:r>
      <w:r>
        <w:t xml:space="preserve">“wire”</w:t>
      </w:r>
      <w:r>
        <w:t xml:space="preserve"> </w:t>
      </w:r>
      <w:r>
        <w:t xml:space="preserve">counts replies matching</w:t>
      </w:r>
      <w:r>
        <w:t xml:space="preserve"> </w:t>
      </w:r>
      <w:r>
        <w:t xml:space="preserve">the encoding rule below;</w:t>
      </w:r>
      <w:r>
        <w:t xml:space="preserve"> </w:t>
      </w:r>
      <w:r>
        <w:t xml:space="preserve">“empty”</w:t>
      </w:r>
      <w:r>
        <w:t xml:space="preserve"> </w:t>
      </w:r>
      <w:r>
        <w:t xml:space="preserve">counts replies from which no code block could be extracted;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replies declining the task. Mean length is in characters of the extracted</w:t>
      </w:r>
      <w:r>
        <w:t xml:space="preserve"> </w:t>
      </w:r>
      <w:r>
        <w:t xml:space="preserve">code. Every column is reproduced by</w:t>
      </w:r>
      <w:r>
        <w:t xml:space="preserve"> </w:t>
      </w:r>
      <w:r>
        <w:rPr>
          <w:rStyle w:val="VerbatimChar"/>
        </w:rPr>
        <w:t xml:space="preserve">harness/diag/retained_text_checks.py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tained completions on the two collapse cells, n=40 per arm. “Import” counts replies carrying the import ledger line the task needs; “wire” counts replies matching the encoding rule below; “empty” counts replies from which no code block could be extracted; “refusal” counts replies declining the task. Mean length is in characters of the extracted code. Every column is reproduced by harness/diag/retained_text_checks.p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length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 / 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286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</w:tbl>
    <w:bookmarkEnd w:id="143"/>
    <w:p>
      <w:pPr>
        <w:pStyle w:val="BodyText"/>
      </w:pPr>
      <w:r>
        <w:t xml:space="preserve">Three screens follow and one thing is withheld.</w:t>
      </w:r>
      <w:r>
        <w:t xml:space="preserve"> </w:t>
      </w:r>
      <w:r>
        <w:rPr>
          <w:i/>
          <w:iCs/>
        </w:rPr>
        <w:t xml:space="preserve">The packaging screens</w:t>
      </w:r>
      <w:r>
        <w:t xml:space="preserve">: no draw produced an</w:t>
      </w:r>
      <w:r>
        <w:t xml:space="preserve"> </w:t>
      </w:r>
      <w:r>
        <w:t xml:space="preserve">empty extraction, and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 is present in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</w:t>
      </w:r>
      <w:r>
        <w:t xml:space="preserve"> </w:t>
      </w:r>
      <w:r>
        <w:t xml:space="preserve">everywhere except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), which is the arm that</w:t>
      </w:r>
      <w:r>
        <w:t xml:space="preserve"> </w:t>
      </w:r>
      <w:r>
        <w:t xml:space="preserve">passes, so those omissions depress the comparison arm and understate the harm rather than producing</w:t>
      </w:r>
      <w:r>
        <w:t xml:space="preserve"> </w:t>
      </w:r>
      <w:r>
        <w:t xml:space="preserve">it. What this bears on is an empty extraction and a missing import, not every packaging</w:t>
      </w:r>
      <w:r>
        <w:t xml:space="preserve"> </w:t>
      </w:r>
      <w:r>
        <w:t xml:space="preserve">explanation.</w:t>
      </w:r>
      <w:r>
        <w:t xml:space="preserve"> </w:t>
      </w:r>
      <w:r>
        <w:rPr>
          <w:i/>
          <w:iCs/>
        </w:rPr>
        <w:t xml:space="preserve">The harmful arm inflates output on every model</w:t>
      </w:r>
      <w:r>
        <w:t xml:space="preserve">:</w:t>
      </w:r>
      <w:r>
        <w:t xml:space="preserve"> </w:t>
      </w:r>
      <m:oMath>
        <m:r>
          <m:t>105</m:t>
        </m:r>
        <m:r>
          <m:rPr>
            <m:sty m:val="p"/>
          </m:rPr>
          <m:t>→</m:t>
        </m:r>
        <m:r>
          <m:t>477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  <m:r>
          <m:rPr>
            <m:sty m:val="p"/>
          </m:rPr>
          <m:t>→</m:t>
        </m:r>
        <m:r>
          <m:t>633</m:t>
        </m:r>
      </m:oMath>
      <w:r>
        <w:t xml:space="preserve"> </w:t>
      </w:r>
      <w:r>
        <w:t xml:space="preserve">characters on Haiku,</w:t>
      </w:r>
      <w:r>
        <w:t xml:space="preserve"> </w:t>
      </w:r>
      <m:oMath>
        <m:r>
          <m:t>94</m:t>
        </m:r>
        <m:r>
          <m:rPr>
            <m:sty m:val="p"/>
          </m:rPr>
          <m:t>→</m:t>
        </m:r>
        <m:r>
          <m:t>383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180</m:t>
        </m:r>
        <m:r>
          <m:rPr>
            <m:sty m:val="p"/>
          </m:rPr>
          <m:t>→</m:t>
        </m:r>
        <m:r>
          <m:t>253</m:t>
        </m:r>
      </m:oMath>
      <w:r>
        <w:t xml:space="preserve"> </w:t>
      </w:r>
      <w:r>
        <w:t xml:space="preserve">on Sonnet,</w:t>
      </w:r>
      <w:r>
        <w:t xml:space="preserve"> </w:t>
      </w:r>
      <m:oMath>
        <m:r>
          <m:t>93</m:t>
        </m:r>
        <m:r>
          <m:rPr>
            <m:sty m:val="p"/>
          </m:rPr>
          <m:t>→</m:t>
        </m:r>
        <m:r>
          <m:t>286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252</m:t>
        </m:r>
      </m:oMath>
      <w:r>
        <w:t xml:space="preserve"> </w:t>
      </w:r>
      <w:r>
        <w:t xml:space="preserve">on Opus.</w:t>
      </w:r>
      <w:r>
        <w:t xml:space="preserve"> </w:t>
      </w:r>
      <w:r>
        <w:rPr>
          <w:i/>
          <w:iCs/>
        </w:rPr>
        <w:t xml:space="preserve">The refusal screen comes back negative</w:t>
      </w:r>
      <w:r>
        <w:t xml:space="preserve">: the phrase list below matches</w:t>
      </w:r>
      <w:r>
        <w:t xml:space="preserve"> </w:t>
      </w:r>
      <w:r>
        <w:t xml:space="preserve">none of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draws, so the refusal behaviour an earlier command-line record showed for Sonnet</w:t>
      </w:r>
      <w:r>
        <w:t xml:space="preserve"> </w:t>
      </w:r>
      <w:r>
        <w:t xml:space="preserve">is not present here. Being a phrase list, it bounds explicit refusal language rather than every</w:t>
      </w:r>
      <w:r>
        <w:t xml:space="preserve"> </w:t>
      </w:r>
      <w:r>
        <w:t xml:space="preserve">way a reply could decline.</w:t>
      </w:r>
    </w:p>
    <w:p>
      <w:pPr>
        <w:pStyle w:val="BodyText"/>
      </w:pPr>
      <w:r>
        <w:t xml:space="preserve">The wire and refusal columns are two regular expressions, the first applied to the extracted code</w:t>
      </w:r>
      <w:r>
        <w:t xml:space="preserve"> </w:t>
      </w:r>
      <w:r>
        <w:t xml:space="preserve">and the second to the prose outside the code fences:</w:t>
      </w:r>
    </w:p>
    <w:p>
      <w:pPr>
        <w:pStyle w:val="SourceCode"/>
      </w:pPr>
      <w:r>
        <w:rPr>
          <w:rStyle w:val="VerbatimChar"/>
        </w:rPr>
        <w:t xml:space="preserve">wire     re.search(r"#\{|f\"\{sign\}|check\s*=|% 10", code)</w:t>
      </w:r>
      <w:r>
        <w:br/>
      </w:r>
      <w:r>
        <w:rPr>
          <w:rStyle w:val="VerbatimChar"/>
        </w:rPr>
        <w:t xml:space="preserve">refusal  re.search(r"\bI can(?:no|')t\b|\bI won't\b|\bI'm (?:not able|unable)\b"</w:t>
      </w:r>
      <w:r>
        <w:br/>
      </w:r>
      <w:r>
        <w:rPr>
          <w:rStyle w:val="VerbatimChar"/>
        </w:rPr>
        <w:t xml:space="preserve">                   r"|\bunable to (?:help|assist|comply)\b|\bI must decline\b",</w:t>
      </w:r>
      <w:r>
        <w:br/>
      </w:r>
      <w:r>
        <w:rPr>
          <w:rStyle w:val="VerbatimChar"/>
        </w:rPr>
        <w:t xml:space="preserve">                   prose, re.I)</w:t>
      </w:r>
    </w:p>
    <w:p>
      <w:pPr>
        <w:pStyle w:val="FirstParagraph"/>
      </w:pPr>
      <w:r>
        <w:t xml:space="preserve">It matches the reply constructing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check-digit amount, whether as a literal or through an</w:t>
      </w:r>
      <w:r>
        <w:t xml:space="preserve"> </w:t>
      </w:r>
      <w:r>
        <w:t xml:space="preserve">f-string, and it is quoted here because an earlier version of the same check looked only for a</w:t>
      </w:r>
      <w:r>
        <w:t xml:space="preserve"> </w:t>
      </w:r>
      <w:r>
        <w:t xml:space="preserve">quoted literal and therefore reported zero on replies that plainly carry the encoding.</w:t>
      </w:r>
    </w:p>
    <w:p>
      <w:pPr>
        <w:pStyle w:val="BodyText"/>
      </w:pPr>
      <w:r>
        <w:t xml:space="preserve">What is withheld is the mechanism. The flag separates the arms completely on the two API cells,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over the three models. It is not a correctness test: on those same</w:t>
      </w:r>
      <w:r>
        <w:t xml:space="preserve"> </w:t>
      </w:r>
      <w:r>
        <w:t xml:space="preserve">cells it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replies, every one of which fails the API verifier, and</w:t>
      </w:r>
      <w:r>
        <w:t xml:space="preserve"> </w:t>
      </w:r>
      <w:r>
        <w:t xml:space="preserve">on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no-context replies. 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—a different population, in which</w:t>
      </w:r>
      <w:r>
        <w:t xml:space="preserve"> </w:t>
      </w:r>
      <w:r>
        <w:t xml:space="preserve">applying the encoding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contract—it fires on</w:t>
      </w:r>
      <w:r>
        <w:t xml:space="preserve"> </w:t>
      </w:r>
      <m:oMath>
        <m:r>
          <m:t>109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while</w:t>
      </w:r>
      <w:r>
        <w:t xml:space="preserve"> </w:t>
      </w:r>
      <m:oMath>
        <m:r>
          <m:t>102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t xml:space="preserve">of them pass. What the flag reports is an output pattern tied to the source condition;</w:t>
      </w:r>
      <w:r>
        <w:t xml:space="preserve"> </w:t>
      </w:r>
      <w:r>
        <w:t xml:space="preserve">it does not identify an internal cause and says nothing about what the model represented</w:t>
      </w:r>
      <w:r>
        <w:t xml:space="preserve"> </w:t>
      </w:r>
      <w:r>
        <w:t xml:space="preserve">internally. Theorem 3 does not depend on the answer: it constrains any rule whose</w:t>
      </w:r>
      <w:r>
        <w:t xml:space="preserve"> </w:t>
      </w:r>
      <w:r>
        <w:t xml:space="preserve">PASS falls under a strict superset, whatever the internal cause.</w:t>
      </w:r>
    </w:p>
    <w:bookmarkEnd w:id="144"/>
    <w:bookmarkStart w:id="145" w:name="app:tokens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Across the twelve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55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283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rPr>
            <m:sty m:val="p"/>
          </m:rPr>
          <m:t>+</m:t>
        </m:r>
        <m:r>
          <m:t>229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164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, given as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</w:t>
      </w:r>
      <w:r>
        <w:t xml:space="preserve"> </w:t>
      </w:r>
      <w:r>
        <w:t xml:space="preserve">correlational and 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</w:t>
      </w:r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The retained completions</w:t>
      </w:r>
      <w:r>
        <w:t xml:space="preserve"> </w:t>
      </w:r>
      <w:r>
        <w:t xml:space="preserve">(Appendix C.1) rule out the packaging faults the screens test but do not identify what</w:t>
      </w:r>
      <w:r>
        <w:t xml:space="preserve"> </w:t>
      </w:r>
      <w:r>
        <w:t xml:space="preserve">replaces them, and no draw in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replies of the two collapse cells declined the task. That</w:t>
      </w:r>
      <w:r>
        <w:t xml:space="preserve"> </w:t>
      </w:r>
      <w:r>
        <w:t xml:space="preserve">screen was never run on the three models whose draws were not retained, and elsewhere in the</w:t>
      </w:r>
      <w:r>
        <w:t xml:space="preserve"> </w:t>
      </w:r>
      <w:r>
        <w:t xml:space="preserve">retained set it is not empty: it matches seven no-context Opus draws.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constrain the hypothesis space from outside, the collapse survives reversal of the block</w:t>
      </w:r>
      <w:r>
        <w:t xml:space="preserve"> </w:t>
      </w:r>
      <w:r>
        <w:t xml:space="preserve">order (order control) and is not reproduced by an off-topic block of equal character length</w:t>
      </w:r>
      <w:r>
        <w:t xml:space="preserve"> </w:t>
      </w:r>
      <w:r>
        <w:t xml:space="preserve">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(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)</w:t>
      </w:r>
      <w:r>
        <w:t xml:space="preserve"> </w:t>
      </w:r>
      <w:r>
        <w:t xml:space="preserve">while labeled XML segmentation of the same content recovers none of it (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cells)</w:t>
      </w:r>
      <w:r>
        <w:t xml:space="preserve"> </w:t>
      </w:r>
      <w:r>
        <w:t xml:space="preserve">locates the operative variable in convention-to-task routing rather than formatting; this is an</w:t>
      </w:r>
      <w:r>
        <w:t xml:space="preserve"> </w:t>
      </w:r>
      <w:r>
        <w:t xml:space="preserve">interpretation, not a 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45"/>
    <w:bookmarkEnd w:id="146"/>
    <w:bookmarkStart w:id="292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Messages API,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47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over HTTP (one request, one turn, the prompt</w:t>
      </w:r>
      <w:r>
        <w:t xml:space="preserve"> </w:t>
      </w:r>
      <w:r>
        <w:t xml:space="preserve">instructing tool abstention rather than a flag enforcing it;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47"/>
    <w:bookmarkStart w:id="148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launchers are</w:t>
      </w:r>
      <w:r>
        <w:t xml:space="preserve"> </w:t>
      </w:r>
      <w:r>
        <w:t xml:space="preserve">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reported in the paper. Earlier versions of this</w:t>
      </w:r>
      <w:r>
        <w:t xml:space="preserve"> </w:t>
      </w:r>
      <w:r>
        <w:t xml:space="preserve">record reached the Anthropic models, the four</w:t>
      </w:r>
      <w:r>
        <w:t xml:space="preserve"> </w:t>
      </w:r>
      <w:r>
        <w:t xml:space="preserve">behavioural controls and the second source pair through the command line; each has since been</w:t>
      </w:r>
      <w:r>
        <w:t xml:space="preserve"> </w:t>
      </w:r>
      <w:r>
        <w:t xml:space="preserve">re-measured over the API path, and every number reported here comes from those runs, whose logs</w:t>
      </w:r>
      <w:r>
        <w:t xml:space="preserve"> </w:t>
      </w:r>
      <w:r>
        <w:t xml:space="preserve">carry the</w:t>
      </w:r>
      <w:r>
        <w:t xml:space="preserve"> </w:t>
      </w:r>
      <w:r>
        <w:rPr>
          <w:rStyle w:val="VerbatimChar"/>
        </w:rPr>
        <w:t xml:space="preserve">[HTTP-API]</w:t>
      </w:r>
      <w:r>
        <w:t xml:space="preserve"> </w:t>
      </w:r>
      <w:r>
        <w:t xml:space="preserve">marker, the raw-failure audit of</w:t>
      </w:r>
      <w:r>
        <w:t xml:space="preserve"> </w:t>
      </w:r>
      <w:r>
        <w:t xml:space="preserve">Section 7.4.5 included: it reads the completions retained by those API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results/retain_api/</w:t>
      </w:r>
      <w:r>
        <w:t xml:space="preserve">), not the record they replaced.</w:t>
      </w:r>
    </w:p>
    <w:p>
      <w:pPr>
        <w:pStyle w:val="BodyText"/>
      </w:pPr>
      <w:r>
        <w:t xml:space="preserve">The following concerns the command-line record that the HTTP runs replaced; no table in this</w:t>
      </w:r>
      <w:r>
        <w:t xml:space="preserve"> </w:t>
      </w:r>
      <w:r>
        <w:t xml:space="preserve">version is computed from those files, and the one re-measurement still in use is the GPT-5.5 trap</w:t>
      </w:r>
      <w:r>
        <w:t xml:space="preserve"> </w:t>
      </w:r>
      <w:r>
        <w:t xml:space="preserve">cell described below. Four arm-only re-measurements were originally produced by ad-hoc scripts</w:t>
      </w:r>
      <w:r>
        <w:t xml:space="preserve"> </w:t>
      </w:r>
      <w:r>
        <w:t xml:space="preserve">that were not kept, so their regime could be asserted but not recovered from a run log. All four</w:t>
      </w:r>
      <w:r>
        <w:t xml:space="preserve"> </w:t>
      </w:r>
      <w:r>
        <w:t xml:space="preserve">were 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 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Every run cited here has a log</w:t>
      </w:r>
      <w:r>
        <w:t xml:space="preserve"> </w:t>
      </w:r>
      <w:r>
        <w:t xml:space="preserve">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each—an inventory of</w:t>
      </w:r>
      <w:r>
        <w:t xml:space="preserve"> </w:t>
      </w:r>
      <w:r>
        <w:t xml:space="preserve">the listed runs, not a proof that the list is complete or that each regime is disclosed where its</w:t>
      </w:r>
      <w:r>
        <w:t xml:space="preserve"> </w:t>
      </w:r>
      <w:r>
        <w:t xml:space="preserve">numbers are used. The between-run</w:t>
      </w:r>
      <w:r>
        <w:t xml:space="preserve"> </w:t>
      </w:r>
      <w:r>
        <w:t xml:space="preserve">movement on the Opus arm is itself a data point for Section 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</w:t>
      </w:r>
    </w:p>
    <w:p>
      <w:pPr>
        <w:pStyle w:val="BodyText"/>
      </w:pPr>
      <w:r>
        <w:t xml:space="preserve">One cell is sourced separately. The base GPT-5.5 run logged an HTTP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W2</w:t>
      </w:r>
      <w:r>
        <w:t xml:space="preserve">/</w:t>
      </w:r>
      <w:r>
        <w:rPr>
          <w:rStyle w:val="VerbatimChar"/>
        </w:rPr>
        <w:t xml:space="preserve">trap_store_wire</w:t>
      </w:r>
      <w:r>
        <w:t xml:space="preserve">, so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conditions of that task,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are read from the retained re-measurement with zero transport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audit/audit_gpt55_trap_store_wire_*</w:t>
      </w:r>
      <w:r>
        <w:t xml:space="preserve">), which returns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recorded replies. The two conditions therefore share a measurement window; comparisons involving</w:t>
      </w:r>
      <w:r>
        <w:t xml:space="preserve"> </w:t>
      </w:r>
      <w:r>
        <w:t xml:space="preserve">GPT-5.5’s other tasks remain subject to the between-window stationarity assumption. The reported</w:t>
      </w:r>
      <w:r>
        <w:t xml:space="preserve"> </w:t>
      </w:r>
      <w:r>
        <w:t xml:space="preserve">percentages are unchanged; what changes is which run they are read from.</w:t>
      </w:r>
    </w:p>
    <w:bookmarkEnd w:id="148"/>
    <w:bookmarkStart w:id="149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single-turn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runs, each a complete file and</w:t>
      </w:r>
      <w:r>
        <w:t xml:space="preserve"> </w:t>
      </w:r>
      <w:r>
        <w:t xml:space="preserve">each read whole except for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conditions of GPT-5.5’s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described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</w:t>
      </w:r>
      <w:r>
        <w:t xml:space="preserve"> </w:t>
      </w:r>
      <w:r>
        <w:t xml:space="preserve">and the follow-up controls. All four behavioural controls share one run,</w:t>
      </w:r>
      <w:r>
        <w:t xml:space="preserve"> </w:t>
      </w:r>
      <w:r>
        <w:rPr>
          <w:rStyle w:val="VerbatimChar"/>
        </w:rPr>
        <w:t xml:space="preserve">blackwell_controls_api_n40</w:t>
      </w:r>
      <w:r>
        <w:t xml:space="preserve"> </w:t>
      </w:r>
      <w:r>
        <w:t xml:space="preserve">(</w:t>
      </w:r>
      <m:oMath>
        <m:r>
          <m:t>640</m:t>
        </m:r>
      </m:oMath>
      <w:r>
        <w:t xml:space="preserve"> </w:t>
      </w:r>
      <w:r>
        <w:t xml:space="preserve">calls), whose arms are the padding filler, the</w:t>
      </w:r>
      <w:r>
        <w:t xml:space="preserve"> </w:t>
      </w:r>
      <w:r>
        <w:t xml:space="preserve">reversed concatenation, the routing note and the XML segmentation measured against the same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baselines;</w:t>
      </w:r>
      <w:r>
        <w:t xml:space="preserve"> </w:t>
      </w:r>
      <w:r>
        <w:rPr>
          <w:rStyle w:val="VerbatimChar"/>
        </w:rPr>
        <w:t xml:space="preserve">blackwell_pair2_api_n40</w:t>
      </w:r>
      <w:r>
        <w:t xml:space="preserve"> </w:t>
      </w:r>
      <w:r>
        <w:t xml:space="preserve">carries the second source pair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reported for it;</w:t>
      </w:r>
      <w:r>
        <w:t xml:space="preserve"> </w:t>
      </w:r>
      <w:r>
        <w:rPr>
          <w:rStyle w:val="VerbatimChar"/>
        </w:rPr>
        <w:t xml:space="preserve">reranker_trap_api_n100</w:t>
      </w:r>
      <w:r>
        <w:t xml:space="preserve"> </w:t>
      </w:r>
      <w:r>
        <w:t xml:space="preserve">is the</w:t>
      </w:r>
      <w:r>
        <w:t xml:space="preserve"> </w:t>
      </w:r>
      <w:r>
        <w:t xml:space="preserve">LLM listwise reranker probe, which records each judgment so the halfway checkpoint needs no</w:t>
      </w:r>
      <w:r>
        <w:t xml:space="preserve"> </w:t>
      </w:r>
      <w:r>
        <w:t xml:space="preserve">second run (</w:t>
      </w:r>
      <w:r>
        <w:rPr>
          <w:rStyle w:val="VerbatimChar"/>
        </w:rPr>
        <w:t xml:space="preserve">harness/measure_reranker_trap.py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49"/>
    <w:bookmarkStart w:id="29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The analysed record is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260</m:t>
        </m:r>
      </m:oMath>
      <w:r>
        <w:t xml:space="preserve"> </w:t>
      </w:r>
      <w:r>
        <w:t xml:space="preserve">model calls: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840</m:t>
        </m:r>
      </m:oMath>
      <w:r>
        <w:t xml:space="preserve"> </w:t>
      </w:r>
      <w:r>
        <w:t xml:space="preserve">across the</w:t>
      </w:r>
      <w:r>
        <w:t xml:space="preserve"> </w:t>
      </w:r>
      <w:r>
        <w:t xml:space="preserve">six-model grid (</w:t>
      </w:r>
      <m:oMath>
        <m:r>
          <m:t>640</m:t>
        </m:r>
      </m:oMath>
      <w:r>
        <w:t xml:space="preserve"> </w:t>
      </w:r>
      <w:r>
        <w:t xml:space="preserve">per model),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for the behavioural controls,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for the second source</w:t>
      </w:r>
      <w:r>
        <w:t xml:space="preserve"> </w:t>
      </w:r>
      <w:r>
        <w:t xml:space="preserve">pair and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reranker judgments. The repository holds a good deal more—superseded</w:t>
      </w:r>
      <w:r>
        <w:t xml:space="preserve"> </w:t>
      </w:r>
      <w:r>
        <w:t xml:space="preserve">command-line runs, arm-only re-measurements and diagnostics—none of which is analysed here. We do not report a spend figure: the HTTP endpoints used here return no</w:t>
      </w:r>
      <w:r>
        <w:t xml:space="preserve"> </w:t>
      </w:r>
      <w:r>
        <w:t xml:space="preserve">cost field, so any total would be an estimate from token counts rather than a measurement. The dense/cross-encoder probe ran locally</w:t>
      </w:r>
      <w:r>
        <w:t xml:space="preserve"> </w:t>
      </w:r>
      <w:r>
        <w:t xml:space="preserve">on open weights at zero API cost.</w:t>
      </w:r>
    </w:p>
    <w:bookmarkStart w:id="290" w:name="refs"/>
    <w:bookmarkStart w:id="151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1"/>
    <w:bookmarkStart w:id="153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2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3"/>
    <w:bookmarkStart w:id="155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4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5"/>
    <w:bookmarkStart w:id="157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57"/>
    <w:bookmarkStart w:id="158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58"/>
    <w:bookmarkStart w:id="160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59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0"/>
    <w:bookmarkStart w:id="162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1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2"/>
    <w:bookmarkStart w:id="163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3"/>
    <w:bookmarkStart w:id="165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5"/>
    <w:bookmarkStart w:id="167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67"/>
    <w:bookmarkStart w:id="169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68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69"/>
    <w:bookmarkStart w:id="171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1"/>
    <w:bookmarkStart w:id="173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3"/>
    <w:bookmarkStart w:id="175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5"/>
    <w:bookmarkStart w:id="17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77"/>
    <w:bookmarkStart w:id="17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7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79"/>
    <w:bookmarkStart w:id="18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1"/>
    <w:bookmarkStart w:id="183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3"/>
    <w:bookmarkStart w:id="185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4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5"/>
    <w:bookmarkStart w:id="187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87"/>
    <w:bookmarkStart w:id="189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88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89"/>
    <w:bookmarkStart w:id="190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0"/>
    <w:bookmarkStart w:id="192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2"/>
    <w:bookmarkStart w:id="194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4"/>
    <w:bookmarkStart w:id="196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196"/>
    <w:bookmarkStart w:id="198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97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98"/>
    <w:bookmarkStart w:id="200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0"/>
    <w:bookmarkStart w:id="202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2"/>
    <w:bookmarkStart w:id="204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4"/>
    <w:bookmarkStart w:id="206" w:name="ref-guu2020realm"/>
    <w:p>
      <w:pPr>
        <w:pStyle w:val="Bibliography"/>
      </w:pPr>
      <w:r>
        <w:t xml:space="preserve">Guu, Kelvin, Kenton Lee, Zora Tung, Panupong Pasupat, and Ming-Wei Chang. 2020.</w:t>
      </w:r>
      <w:r>
        <w:t xml:space="preserve"> </w:t>
      </w:r>
      <w:r>
        <w:t xml:space="preserve">“</w:t>
      </w:r>
      <w:r>
        <w:t xml:space="preserve">REALM</w:t>
      </w:r>
      <w:r>
        <w:t xml:space="preserve">: Retrieval-Augmented Language Model Pre-Training.”</w:t>
      </w:r>
      <w:r>
        <w:t xml:space="preserve"> </w:t>
      </w:r>
      <w:r>
        <w:rPr>
          <w:i/>
          <w:iCs/>
        </w:rPr>
        <w:t xml:space="preserve">Proceedings of the 37th International Conference on Machine Learning (ICML)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https://arxiv.org/abs/2002.08909</w:t>
        </w:r>
      </w:hyperlink>
      <w:r>
        <w:t xml:space="preserve">.</w:t>
      </w:r>
    </w:p>
    <w:bookmarkEnd w:id="206"/>
    <w:bookmarkStart w:id="208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08"/>
    <w:bookmarkStart w:id="210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09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0"/>
    <w:bookmarkStart w:id="212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2"/>
    <w:bookmarkStart w:id="21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4"/>
    <w:bookmarkStart w:id="21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6"/>
    <w:bookmarkStart w:id="218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18"/>
    <w:bookmarkStart w:id="220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0"/>
    <w:bookmarkStart w:id="222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2"/>
    <w:bookmarkStart w:id="224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4"/>
    <w:bookmarkStart w:id="226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5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6"/>
    <w:bookmarkStart w:id="228" w:name="ref-khattab2020colbert"/>
    <w:p>
      <w:pPr>
        <w:pStyle w:val="Bibliography"/>
      </w:pPr>
      <w:r>
        <w:t xml:space="preserve">Khattab, Omar, and Matei Zaharia. 2020.</w:t>
      </w:r>
      <w:r>
        <w:t xml:space="preserve"> </w:t>
      </w:r>
      <w:r>
        <w:t xml:space="preserve">“</w:t>
      </w:r>
      <w:r>
        <w:t xml:space="preserve">ColBERT</w:t>
      </w:r>
      <w:r>
        <w:t xml:space="preserve">: Efficient and Effective Passage Search via Contextualized Late Interaction over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43rd International ACM SIGIR Conference on Research and Development in Information Retrieval</w:t>
      </w:r>
      <w:r>
        <w:t xml:space="preserve">, 39–48.</w:t>
      </w:r>
      <w:r>
        <w:t xml:space="preserve"> </w:t>
      </w:r>
      <w:hyperlink r:id="rId227">
        <w:r>
          <w:rPr>
            <w:rStyle w:val="Hyperlink"/>
          </w:rPr>
          <w:t xml:space="preserve">https://doi.org/10.1145/3397271.3401075</w:t>
        </w:r>
      </w:hyperlink>
      <w:r>
        <w:t xml:space="preserve">.</w:t>
      </w:r>
    </w:p>
    <w:bookmarkEnd w:id="228"/>
    <w:bookmarkStart w:id="230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29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0"/>
    <w:bookmarkStart w:id="232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1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2"/>
    <w:bookmarkStart w:id="234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4"/>
    <w:bookmarkStart w:id="236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6"/>
    <w:bookmarkStart w:id="238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8"/>
    <w:bookmarkStart w:id="240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39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0"/>
    <w:bookmarkStart w:id="242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2"/>
    <w:bookmarkStart w:id="244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3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4"/>
    <w:bookmarkStart w:id="24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6"/>
    <w:bookmarkStart w:id="24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8"/>
    <w:bookmarkStart w:id="25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4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0"/>
    <w:bookmarkStart w:id="25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2"/>
    <w:bookmarkStart w:id="25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4"/>
    <w:bookmarkStart w:id="256" w:name="ref-shi2023replug"/>
    <w:p>
      <w:pPr>
        <w:pStyle w:val="Bibliography"/>
      </w:pPr>
      <w:r>
        <w:t xml:space="preserve">Shi, Weijia, Sewon Min, Michihiro Yasunaga, et al. 2023.</w:t>
      </w:r>
      <w:r>
        <w:t xml:space="preserve"> </w:t>
      </w:r>
      <w:r>
        <w:t xml:space="preserve">“</w:t>
      </w:r>
      <w:r>
        <w:t xml:space="preserve">REPLUG</w:t>
      </w:r>
      <w:r>
        <w:t xml:space="preserve">: Retrieval-Augmented Black-Box Language Models.”</w:t>
      </w:r>
      <w:r>
        <w:t xml:space="preserve"> </w:t>
      </w:r>
      <w:r>
        <w:rPr>
          <w:i/>
          <w:iCs/>
        </w:rPr>
        <w:t xml:space="preserve">arXiv Preprint arXiv:2301.12652</w:t>
      </w:r>
      <w:r>
        <w:t xml:space="preserve">.</w:t>
      </w:r>
      <w:r>
        <w:t xml:space="preserve"> </w:t>
      </w:r>
      <w:hyperlink r:id="rId255">
        <w:r>
          <w:rPr>
            <w:rStyle w:val="Hyperlink"/>
          </w:rPr>
          <w:t xml:space="preserve">https://arxiv.org/abs/2301.12652</w:t>
        </w:r>
      </w:hyperlink>
      <w:r>
        <w:t xml:space="preserve">.</w:t>
      </w:r>
    </w:p>
    <w:bookmarkEnd w:id="256"/>
    <w:bookmarkStart w:id="258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7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8"/>
    <w:bookmarkStart w:id="260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9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0"/>
    <w:bookmarkStart w:id="262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2"/>
    <w:bookmarkStart w:id="264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3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4"/>
    <w:bookmarkStart w:id="266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5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6"/>
    <w:bookmarkStart w:id="268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8"/>
    <w:bookmarkStart w:id="270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9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0"/>
    <w:bookmarkStart w:id="272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1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2"/>
    <w:bookmarkStart w:id="274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3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4"/>
    <w:bookmarkStart w:id="276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6"/>
    <w:bookmarkStart w:id="278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8"/>
    <w:bookmarkStart w:id="280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9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0"/>
    <w:bookmarkStart w:id="282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1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2"/>
    <w:bookmarkStart w:id="283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3"/>
    <w:bookmarkStart w:id="285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5"/>
    <w:bookmarkStart w:id="287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6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7"/>
    <w:bookmarkStart w:id="289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8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9"/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2026-09-09T22:22:12Z</dcterms:created>
  <dcterms:modified xsi:type="dcterms:W3CDTF">2026-09-09T22:22:12Z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all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