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What goes into a language model’s prompt is usually chosen by scoring each source with one number</w:t>
      </w:r>
      <w:r>
        <w:t xml:space="preserve"> </w:t>
      </w:r>
      <w:r>
        <w:t xml:space="preserve">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On six</w:t>
      </w:r>
      <w:r>
        <w:t xml:space="preserve"> </w:t>
      </w:r>
      <w:r>
        <w:t xml:space="preserve">models from four vendors we verify (</w:t>
      </w:r>
      <m:oMath>
        <m:r>
          <m:rPr>
            <m:sty m:val="p"/>
          </m:rPr>
          <m:t>≥</m:t>
        </m:r>
        <m:r>
          <m:t>90</m:t>
        </m:r>
        <m:r>
          <m:rPr>
            <m:sty m:val="p"/>
          </m:rPr>
          <m:t>%</m:t>
        </m:r>
      </m:oMath>
      <w:r>
        <w:t xml:space="preserve"> </w:t>
      </w:r>
      <w:r>
        <w:t xml:space="preserve">confidence, both directions) that two hand-built</w:t>
      </w:r>
      <w:r>
        <w:t xml:space="preserve"> </w:t>
      </w:r>
      <w:r>
        <w:t xml:space="preserve">sources are incomparable. On a designed trap, a</w:t>
      </w:r>
      <w:r>
        <w:t xml:space="preserve"> </w:t>
      </w:r>
      <w:r>
        <w:t xml:space="preserve">lexical score, two dense retrievers and a cross-encoder prefer the wrong source, while a listwise</w:t>
      </w:r>
      <w:r>
        <w:t xml:space="preserve"> </w:t>
      </w:r>
      <w:r>
        <w:t xml:space="preserve">LLM reranker that reads the deciding detail gets it right. Adding</w:t>
      </w:r>
      <w:r>
        <w:t xml:space="preserve"> </w:t>
      </w:r>
      <w:r>
        <w:t xml:space="preserve">a larger source can also hurt: a strict superset verifiably lowers pass rates on eleven of twelve</w:t>
      </w:r>
      <w:r>
        <w:t xml:space="preserve"> </w:t>
      </w:r>
      <w:r>
        <w:t xml:space="preserve">cells, falling as far as</w:t>
      </w:r>
      <w:r>
        <w:t xml:space="preserve"> </w:t>
      </w:r>
      <m:oMath>
        <m:r>
          <m:t>100</m:t>
        </m:r>
        <m:r>
          <m:rPr>
            <m:sty m:val="p"/>
          </m:rPr>
          <m:t>%</m:t>
        </m:r>
      </m:oMath>
      <w:r>
        <w:t xml:space="preserve"> </w:t>
      </w:r>
      <w:r>
        <w:t xml:space="preserve">to</w:t>
      </w:r>
      <w:r>
        <w:t xml:space="preserve"> </w:t>
      </w:r>
      <m:oMath>
        <m:r>
          <m:t>0</m:t>
        </m:r>
        <m:r>
          <m:rPr>
            <m:sty m:val="p"/>
          </m:rPr>
          <m:t>%</m:t>
        </m:r>
      </m:oMath>
      <w:r>
        <w:t xml:space="preserve">; padding and reversed-order controls on one model</w:t>
      </w:r>
      <w:r>
        <w:t xml:space="preserve"> </w:t>
      </w:r>
      <w:r>
        <w:t xml:space="preserve">separate the added signal from its length and position. Treat context selection as a partial</w:t>
      </w:r>
      <w:r>
        <w:t xml:space="preserve"> </w:t>
      </w:r>
      <w:r>
        <w:t xml:space="preserve">order and compare sources by a verified pass-rate test, not a relevance number. Scaling the</w:t>
      </w:r>
      <w:r>
        <w:t xml:space="preserve"> </w:t>
      </w:r>
      <w:r>
        <w:t xml:space="preserve">implied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5"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Nie,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0.34</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0.41</m:t>
        </m:r>
      </m:oMath>
      <w:r>
        <w:t xml:space="preserve">); a character-matched padding control shows that irrelevant text of the same length is</w:t>
      </w:r>
      <w:r>
        <w:t xml:space="preserve"> </w:t>
      </w:r>
      <w:r>
        <w:t xml:space="preserve">harmless, and a reversed-order arm at</w:t>
      </w:r>
      <w:r>
        <w:t xml:space="preserve"> </w:t>
      </w:r>
      <m:oMath>
        <m:r>
          <m:t>n</m:t>
        </m:r>
        <m:r>
          <m:rPr>
            <m:sty m:val="p"/>
          </m:rPr>
          <m:t>=</m:t>
        </m:r>
        <m:r>
          <m:t>80</m:t>
        </m:r>
      </m:oMath>
      <w:r>
        <w:t xml:space="preserve"> </w:t>
      </w:r>
      <w:r>
        <w:t xml:space="preserve">collapses too, so on the model where these were run</w:t>
      </w:r>
      <w:r>
        <w:t xml:space="preserve"> </w:t>
      </w:r>
      <w:r>
        <w:t xml:space="preserve">the harm is the added signal, not the added length or where it sits</w:t>
      </w:r>
      <w:r>
        <w:t xml:space="preserve"> </w:t>
      </w:r>
      <w:r>
        <w:t xml:space="preserve">(§7.4.3; scope in §8.4).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1"/>
    <w:bookmarkStart w:id="12"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The selection multiplicity is paid explicitly rather than absorbed</w:t>
      </w:r>
      <w:r>
        <w:t xml:space="preserve"> </w:t>
      </w:r>
      <w:r>
        <w:t xml:space="preserve">into a single-sample sup inequality </w:t>
      </w:r>
      <w:r>
        <w:t xml:space="preserve">(Dvoretzky et al. 1956)</w:t>
      </w:r>
      <w:r>
        <w:t xml:space="preserve">, which does not cover an argmax over</w:t>
      </w:r>
      <w:r>
        <w:t xml:space="preserve"> </w:t>
      </w:r>
      <w:r>
        <w:t xml:space="preserve">distinct cells; the matching interference verification follows.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2"/>
    <w:bookmarkStart w:id="14"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 A</w:t>
      </w:r>
      <w:r>
        <w:t xml:space="preserve"> </w:t>
      </w:r>
      <w:r>
        <w:t xml:space="preserve">reader who wants the measured result first can go directly to §7:</w:t>
      </w:r>
      <w:r>
        <w:t xml:space="preserve"> </w:t>
      </w:r>
      <w:r>
        <w:t xml:space="preserve">§§3–6 establish what the measured quantities mean and</w:t>
      </w:r>
      <w:r>
        <w:t xml:space="preserve"> </w:t>
      </w:r>
      <w:r>
        <w:t xml:space="preserve">what may be concluded from them, and every proof is deferred to Appendix A.</w:t>
      </w:r>
    </w:p>
    <w:bookmarkStart w:id="13"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3"/>
    <w:bookmarkEnd w:id="14"/>
    <w:bookmarkEnd w:id="15"/>
    <w:bookmarkStart w:id="25" w:name="sec:related"/>
    <w:p>
      <w:pPr>
        <w:pStyle w:val="Heading1"/>
      </w:pPr>
      <w:r>
        <w:t xml:space="preserve">Related Work</w:t>
      </w:r>
    </w:p>
    <w:bookmarkStart w:id="16"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6"/>
    <w:bookmarkStart w:id="18" w:name="sec:related-scalar"/>
    <w:p>
      <w:pPr>
        <w:pStyle w:val="Heading2"/>
      </w:pPr>
      <w:r>
        <w:t xml:space="preserve">Scalar selection and its limits in information retrieval</w:t>
      </w:r>
    </w:p>
    <w:p>
      <w:pPr>
        <w:pStyle w:val="FirstParagraph"/>
      </w:pPr>
      <w:bookmarkStart w:id="17" w:name="sec:related-ir"/>
      <w:bookmarkEnd w:id="17"/>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for mutual</w:t>
      </w:r>
      <w:r>
        <w:t xml:space="preserve"> </w:t>
      </w:r>
      <w:r>
        <w:t xml:space="preserve">information and fixed-prior EIG it is immediate from data processing, and for a fixed decoder’s</w:t>
      </w:r>
      <w:r>
        <w:t xml:space="preserve"> </w:t>
      </w:r>
      <w:r>
        <w:t xml:space="preserve">perplexity-gap we claim nothing, Remark 4).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when it meets that proposition’s hypotheses. Reading the</w:t>
      </w:r>
      <w:r>
        <w:t xml:space="preserve"> </w:t>
      </w:r>
      <w:r>
        <w:t xml:space="preserve">decisive coordinate is one way out, which is the listwise boundary; reading public task metadata</w:t>
      </w:r>
      <w:r>
        <w:t xml:space="preserve"> </w:t>
      </w:r>
      <w:r>
        <w:t xml:space="preserve">is another (Remark 5).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18"/>
    <w:bookmarkStart w:id="19"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length, position and formatting controls and is consistent with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9"/>
    <w:bookmarkStart w:id="22" w:name="sec:related-deficiency"/>
    <w:p>
      <w:pPr>
        <w:pStyle w:val="Heading2"/>
      </w:pPr>
      <w:r>
        <w:t xml:space="preserve">The comparison of experiments in machine learning</w:t>
      </w:r>
    </w:p>
    <w:p>
      <w:pPr>
        <w:pStyle w:val="FirstParagraph"/>
      </w:pPr>
      <w:bookmarkStart w:id="20" w:name="sec:related-llmrep"/>
      <w:bookmarkEnd w:id="20"/>
      <w:bookmarkStart w:id="21" w:name="sec:related-foundations"/>
      <w:bookmarkEnd w:id="21"/>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the mutual information between the curated and the</w:t>
      </w:r>
      <w:r>
        <w:t xml:space="preserve"> </w:t>
      </w:r>
      <w:r>
        <w:t xml:space="preserve">test 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w:t>
      </w:r>
      <w:r>
        <w:t xml:space="preserve"> </w:t>
      </w:r>
      <w:r>
        <w:t xml:space="preserve">direction, and it is one-directional; a scalar can be monotone along the order without</w:t>
      </w:r>
      <w:r>
        <w:t xml:space="preserve"> </w:t>
      </w:r>
      <w:r>
        <w:t xml:space="preserve">representing it, so their result is compatible with ours rather than opposed to it. Their</w:t>
      </w:r>
      <w:r>
        <w:t xml:space="preserve"> </w:t>
      </w:r>
      <w:r>
        <w:t xml:space="preserve">comparison is also taken against the Bayes-optimal user of the data, ours against a fixed model</w:t>
      </w:r>
      <w:r>
        <w:t xml:space="preserve"> </w:t>
      </w:r>
      <w:r>
        <w:t xml:space="preserve">rule on a task family. What Theorem 2 adds is the converse question, whether</w:t>
      </w:r>
      <w:r>
        <w:t xml:space="preserve"> </w:t>
      </w:r>
      <w:r>
        <w:t xml:space="preserve">any query-independent scalar can be</w:t>
      </w:r>
      <w:r>
        <w:t xml:space="preserve"> </w:t>
      </w:r>
      <w:r>
        <w:rPr>
          <w:i/>
          <w:iCs/>
        </w:rPr>
        <w:t xml:space="preserve">faithful</w:t>
      </w:r>
      <w:r>
        <w:t xml:space="preserve"> </w:t>
      </w:r>
      <w:r>
        <w:t xml:space="preserve">to the order, which a monotone score need not</w:t>
      </w:r>
      <w:r>
        <w:t xml:space="preserve"> </w:t>
      </w:r>
      <w:r>
        <w:t xml:space="preserve">be once the order is partial.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2"/>
    <w:bookmarkStart w:id="24"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3"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3"/>
    <w:bookmarkEnd w:id="24"/>
    <w:bookmarkEnd w:id="25"/>
    <w:bookmarkStart w:id="33"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9"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6"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6"/>
    <w:bookmarkStart w:id="27"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7"/>
    <w:bookmarkStart w:id="28"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and the measured pass rates enter as its falsifiable signature, not as a bound on a</w:t>
      </w:r>
      <w:r>
        <w:t xml:space="preserve"> </w:t>
      </w:r>
      <w:r>
        <w:t xml:space="preserve">Bayes value.</w:t>
      </w:r>
    </w:p>
    <w:bookmarkEnd w:id="28"/>
    <w:p>
      <w:pPr>
        <w:pStyle w:val="BodyText"/>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9"/>
    <w:bookmarkStart w:id="31"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0"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0"/>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1"/>
    <w:bookmarkStart w:id="32"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2"/>
    <w:bookmarkEnd w:id="33"/>
    <w:bookmarkStart w:id="45"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8" w:name="the-order-and-its-two-registers"/>
    <w:p>
      <w:pPr>
        <w:pStyle w:val="Heading2"/>
      </w:pPr>
      <w:r>
        <w:t xml:space="preserve">The order and its two registers</w:t>
      </w:r>
    </w:p>
    <w:bookmarkStart w:id="34"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4"/>
    <w:p>
      <w:pPr>
        <w:pStyle w:val="BodyText"/>
      </w:pPr>
      <w:r>
        <w:t xml:space="preserve">The classical content of the order is the Blackwell–Sherman–Stein theorem, which we state with</w:t>
      </w:r>
      <w:r>
        <w:t xml:space="preserve"> </w:t>
      </w:r>
      <w:r>
        <w:t xml:space="preserve">hypotheses for a self-contained treatment.</w:t>
      </w:r>
    </w:p>
    <w:bookmarkStart w:id="35"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5"/>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two directions are not on the same footing and we separate them.</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 by</w:t>
      </w:r>
      <w:r>
        <w:t xml:space="preserve"> </w:t>
      </w:r>
      <w:r>
        <w:t xml:space="preserve">simulating the garbling, and it is the only direction Corollary 1 and</w:t>
      </w:r>
      <w:r>
        <w:t xml:space="preserve"> </w:t>
      </w:r>
      <w:r>
        <w:t xml:space="preserve">Lemma 2 use.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that is the case</w:t>
      </w:r>
      <w:r>
        <w:t xml:space="preserve"> </w:t>
      </w:r>
      <w:r>
        <w:t xml:space="preserve">Blackwell (1953)</w:t>
      </w:r>
      <w:r>
        <w:t xml:space="preserve"> </w:t>
      </w:r>
      <w:r>
        <w:t xml:space="preserve">proves and the case our coordinate construction realizes. On a general state</w:t>
      </w:r>
      <w:r>
        <w:t xml:space="preserve"> </w:t>
      </w:r>
      <w:r>
        <w:t xml:space="preserve">space the converse needs the convex closure taken in the definition of more-informativeness, which</w:t>
      </w:r>
      <w:r>
        <w:t xml:space="preserve"> </w:t>
      </w:r>
      <w:r>
        <w:t xml:space="preserve">is where the careful statement lives </w:t>
      </w:r>
      <w:r>
        <w:t xml:space="preserve">(Khan et al. 2024)</w:t>
      </w:r>
      <w:r>
        <w:t xml:space="preserve">.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6"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6"/>
    <w:bookmarkStart w:id="37"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The padding arm</w:t>
      </w:r>
      <w:r>
        <w:t xml:space="preserve"> </w:t>
      </w:r>
      <m:oMath>
        <m:sSub>
          <m:e>
            <m:r>
              <m:t>W</m:t>
            </m:r>
          </m:e>
          <m:sub>
            <m:r>
              <m:rPr>
                <m:sty m:val="p"/>
              </m:rPr>
              <m:t>p</m:t>
            </m:r>
            <m:r>
              <m:rPr>
                <m:sty m:val="p"/>
              </m:rPr>
              <m:t>a</m:t>
            </m:r>
            <m:r>
              <m:rPr>
                <m:sty m:val="p"/>
              </m:rPr>
              <m:t>d</m:t>
            </m:r>
          </m:sub>
        </m:sSub>
      </m:oMath>
      <w:r>
        <w:t xml:space="preserve"> </w:t>
      </w:r>
      <w:r>
        <w:t xml:space="preserve">of</w:t>
      </w:r>
      <w:r>
        <w:t xml:space="preserve"> </w:t>
      </w:r>
      <w:r>
        <w:t xml:space="preserve">Appendix B reveals no coordinate any verifier checks, so it is Blackwell-equivalent</w:t>
      </w:r>
      <w:r>
        <w:t xml:space="preserve"> </w:t>
      </w:r>
      <w:r>
        <w:t xml:space="preserve">to</w:t>
      </w:r>
      <w:r>
        <w:t xml:space="preserve"> </w:t>
      </w:r>
      <m:oMath>
        <m:sSub>
          <m:e>
            <m:r>
              <m:t>W</m:t>
            </m:r>
          </m:e>
          <m:sub>
            <m:r>
              <m:t>1</m:t>
            </m:r>
          </m:sub>
        </m:sSub>
      </m:oMath>
      <w:r>
        <w:t xml:space="preserve">, yet the two score</w:t>
      </w:r>
      <w:r>
        <w:t xml:space="preserve"> </w:t>
      </w:r>
      <m:oMath>
        <m:r>
          <m:t>65</m:t>
        </m:r>
        <m:r>
          <m:rPr>
            <m:sty m:val="p"/>
          </m:rPr>
          <m:t>%</m:t>
        </m:r>
      </m:oMath>
      <w:r>
        <w:t xml:space="preserve"> </w:t>
      </w:r>
      <w:r>
        <w:t xml:space="preserve">and</w:t>
      </w:r>
      <w:r>
        <w:t xml:space="preserve"> </w:t>
      </w:r>
      <m:oMath>
        <m:r>
          <m:t>50</m:t>
        </m:r>
        <m:r>
          <m:rPr>
            <m:sty m:val="p"/>
          </m:rPr>
          <m:t>%</m:t>
        </m:r>
      </m:oMath>
      <w:r>
        <w:t xml:space="preserve"> </w:t>
      </w:r>
      <w:r>
        <w:t xml:space="preserve">on</w:t>
      </w:r>
      <w:r>
        <w:t xml:space="preserve"> </w:t>
      </w:r>
      <w:r>
        <w:rPr>
          <w:rStyle w:val="VerbatimChar"/>
        </w:rPr>
        <w:t xml:space="preserve">api_post_ok</w:t>
      </w:r>
      <w:r>
        <w:t xml:space="preserve">. The</w:t>
      </w:r>
      <w:r>
        <w:t xml:space="preserve"> </w:t>
      </w:r>
      <m:oMath>
        <m:sSub>
          <m:e>
            <m:r>
              <m:t>δ</m:t>
            </m:r>
          </m:e>
          <m:sub>
            <m:r>
              <m:t>M</m:t>
            </m:r>
          </m:sub>
        </m:sSub>
      </m:oMath>
      <w:r>
        <w:t xml:space="preserve">-restricted order of §4.3 is therefore emphatically not read on the</w:t>
      </w:r>
      <w:r>
        <w:t xml:space="preserve"> </w:t>
      </w:r>
      <w:r>
        <w:t xml:space="preserve">quotient, and that non-invariance is what the padding control measures.</w:t>
      </w:r>
    </w:p>
    <w:bookmarkEnd w:id="37"/>
    <w:bookmarkEnd w:id="38"/>
    <w:bookmarkStart w:id="40"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9"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9"/>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0"/>
    <w:bookmarkStart w:id="44"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1"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1"/>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2"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w:t>
      </w:r>
      <w:r>
        <w:rPr>
          <w:i/>
          <w:i/>
          <w:iCs/>
          <w:iCs/>
        </w:rPr>
        <w:t xml:space="preserve">sufficiency of the informed source</w:t>
      </w:r>
      <w:r>
        <w:rPr>
          <w:i/>
          <w:iCs/>
        </w:rPr>
        <w:t xml:space="preserv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measured crossover</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w:t>
      </w:r>
      <w:r>
        <w:rPr>
          <w:i/>
          <w:iCs/>
        </w:rPr>
        <w:t xml:space="preserve">is the falsifiable signature of that separation and is what</w:t>
      </w:r>
      <w:r>
        <w:rPr>
          <w:i/>
          <w:iCs/>
        </w:rPr>
        <w:t xml:space="preserve"> </w:t>
      </w:r>
      <w:r>
        <w:rPr>
          <w:i/>
          <w:iCs/>
        </w:rPr>
        <w:t xml:space="preserve">§7 verifies per cell;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it is evidence for the hypothesis rather than a bound on</w:t>
      </w:r>
      <w:r>
        <w:rPr>
          <w:i/>
          <w:iCs/>
        </w:rPr>
        <w:t xml:space="preserve"> </w:t>
      </w:r>
      <m:oMath>
        <m:sSup>
          <m:e>
            <m:r>
              <m:t>V</m:t>
            </m:r>
          </m:e>
          <m:sup>
            <m:r>
              <m:rPr>
                <m:sty m:val="p"/>
              </m:rPr>
              <m:t>⋆</m:t>
            </m:r>
          </m:sup>
        </m:sSup>
      </m:oMath>
      <w:r>
        <w:rPr>
          <w:i/>
          <w:iCs/>
        </w:rPr>
        <w:t xml:space="preserve"> </w:t>
      </w:r>
      <w:r>
        <w:rPr>
          <w:i/>
          <w:iCs/>
        </w:rPr>
        <w:t xml:space="preserve">(Remark 1).</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hypotheses of</w:t>
      </w:r>
      <w:r>
        <w:rPr>
          <w:i/>
          <w:iCs/>
        </w:rPr>
        <w:t xml:space="preserve"> </w:t>
      </w:r>
      <w:r>
        <w:rPr>
          <w:i/>
          <w:iCs/>
        </w:rPr>
        <w:t xml:space="preserve">(a)</w:t>
      </w:r>
      <w:r>
        <w:rPr>
          <w:i/>
          <w:iCs/>
        </w:rPr>
        <w:t xml:space="preserve">, separation</w:t>
      </w:r>
      <w:r>
        <w:rPr>
          <w:i/>
          <w:iCs/>
        </w:rPr>
        <w:t xml:space="preserve"> </w:t>
      </w:r>
      <w:r>
        <w:rPr>
          <w:i/>
          <w:i/>
          <w:iCs/>
          <w:iCs/>
        </w:rPr>
        <w:t xml:space="preserve">and</w:t>
      </w:r>
      <w:r>
        <w:rPr>
          <w:i/>
          <w:iCs/>
        </w:rPr>
        <w:t xml:space="preserve"> </w:t>
      </w:r>
      <w:r>
        <w:rPr>
          <w:i/>
          <w:iCs/>
        </w:rPr>
        <w:t xml:space="preserve">the caps, cannot be dropped, and our own</w:t>
      </w:r>
      <w:r>
        <w:rPr>
          <w:i/>
          <w:iCs/>
        </w:rPr>
        <w:t xml:space="preserve"> </w:t>
      </w:r>
      <w:r>
        <w:rPr>
          <w:i/>
          <w:iCs/>
        </w:rPr>
        <w:t xml:space="preserve">measurements witness it:</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 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 neither</w:t>
      </w:r>
      <w:r>
        <w:rPr>
          <w:i/>
          <w:iCs/>
        </w:rPr>
        <w:t xml:space="preserve"> </w:t>
      </w:r>
      <w:r>
        <w:rPr>
          <w:i/>
          <w:iCs/>
        </w:rPr>
        <w:t xml:space="preserve">premise verified, certifies nothing structural in</w:t>
      </w:r>
      <w:r>
        <w:rPr>
          <w:i/>
          <w:iCs/>
        </w:rPr>
        <w:t xml:space="preserve"> </w:t>
      </w:r>
      <w:r>
        <w:rPr>
          <w:i/>
          <w:i/>
          <w:iCs/>
          <w:iCs/>
        </w:rPr>
        <w:t xml:space="preserve">either</w:t>
      </w:r>
      <w:r>
        <w:rPr>
          <w:i/>
          <w:iCs/>
        </w:rPr>
        <w:t xml:space="preserve"> </w:t>
      </w:r>
      <w:r>
        <w:rPr>
          <w:i/>
          <w:iCs/>
        </w:rPr>
        <w:t xml:space="preserve">direction. It is equally</w:t>
      </w:r>
      <w:r>
        <w:rPr>
          <w:i/>
          <w:iCs/>
        </w:rPr>
        <w:t xml:space="preserve"> </w:t>
      </w:r>
      <w:r>
        <w:rPr>
          <w:i/>
          <w:iCs/>
        </w:rPr>
        <w:t xml:space="preserve">consistent with genuine incomparability under optimal play (two sources revealing independent</w:t>
      </w:r>
      <w:r>
        <w:rPr>
          <w:i/>
          <w:iCs/>
        </w:rPr>
        <w:t xml:space="preserve"> </w:t>
      </w:r>
      <w:r>
        <w:rPr>
          <w:i/>
          <w:iCs/>
        </w:rPr>
        <w:t xml:space="preserve">coordinates cross even when each side plays optimally) and with a merely incoherent rule</w:t>
      </w:r>
      <w:r>
        <w:rPr>
          <w:i/>
          <w:iCs/>
        </w:rPr>
        <w:t xml:space="preserve"> </w:t>
      </w:r>
      <w:r>
        <w:rPr>
          <w:i/>
          <w:iCs/>
        </w:rPr>
        <w:t xml:space="preserve">(Theorem 3). Nor is the projection construction</w:t>
      </w:r>
      <w:r>
        <w:rPr>
          <w:i/>
          <w:iCs/>
        </w:rPr>
        <w:t xml:space="preserve"> </w:t>
      </w:r>
      <w:r>
        <w:rPr>
          <w:i/>
          <w:i/>
          <w:iCs/>
          <w:iCs/>
        </w:rPr>
        <w:t xml:space="preserve">necessary</w:t>
      </w:r>
      <w:r>
        <w:rPr>
          <w:i/>
          <w:iCs/>
        </w:rPr>
        <w:t xml:space="preserve"> </w:t>
      </w:r>
      <w:r>
        <w:rPr>
          <w:i/>
          <w:iCs/>
        </w:rPr>
        <w:t xml:space="preserve">for</w:t>
      </w:r>
      <w:r>
        <w:rPr>
          <w:i/>
          <w:iCs/>
        </w:rPr>
        <w:t xml:space="preserve"> </w:t>
      </w:r>
      <w:r>
        <w:rPr>
          <w:i/>
          <w:iCs/>
        </w:rPr>
        <w:t xml:space="preserve">incomparability: it is the cleanest sufficient condition we know, and the one our sources</w:t>
      </w:r>
      <w:r>
        <w:rPr>
          <w:i/>
          <w:iCs/>
        </w:rPr>
        <w:t xml:space="preserve"> </w:t>
      </w:r>
      <w:r>
        <w:rPr>
          <w:i/>
          <w:iCs/>
        </w:rPr>
        <w:t xml:space="preserve">realize.</w:t>
      </w:r>
    </w:p>
    <w:bookmarkEnd w:id="42"/>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3"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3"/>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at the floor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w:t>
      </w:r>
      <w:r>
        <w:t xml:space="preserve"> </w:t>
      </w:r>
      <w:r>
        <w:t xml:space="preserve">verified per cell in §7. A measured floor is evidence for the cap premise,</w:t>
      </w:r>
      <w:r>
        <w:t xml:space="preserve"> </w:t>
      </w:r>
      <w:r>
        <w:t xml:space="preserve">not a measurement of the cap:</w:t>
      </w:r>
      <w:r>
        <w:t xml:space="preserve"> </w:t>
      </w:r>
      <m:oMath>
        <m:sSub>
          <m:e>
            <m:r>
              <m:t>g</m:t>
            </m:r>
          </m:e>
          <m:sub>
            <m:r>
              <m:t>a</m:t>
            </m:r>
          </m:sub>
        </m:sSub>
      </m:oMath>
      <w:r>
        <w:t xml:space="preserve"> </w:t>
      </w:r>
      <w:r>
        <w:t xml:space="preserve">and</w:t>
      </w:r>
      <w:r>
        <w:t xml:space="preserve"> </w:t>
      </w:r>
      <m:oMath>
        <m:sSub>
          <m:e>
            <m:r>
              <m:t>g</m:t>
            </m:r>
          </m:e>
          <m:sub>
            <m:r>
              <m:t>b</m:t>
            </m:r>
          </m:sub>
        </m:sSub>
      </m:oMath>
      <w:r>
        <w:t xml:space="preserve"> </w:t>
      </w:r>
      <w:r>
        <w:t xml:space="preserve">are Bayes values under</w:t>
      </w:r>
      <w:r>
        <w:t xml:space="preserve"> </w:t>
      </w:r>
      <m:oMath>
        <m:sSub>
          <m:e>
            <m:r>
              <m:t>μ</m:t>
            </m:r>
          </m:e>
          <m:sub>
            <m:r>
              <m:t>T</m:t>
            </m:r>
          </m:sub>
        </m:sSub>
      </m:oMath>
      <w:r>
        <w:t xml:space="preserve"> </w:t>
      </w:r>
      <w:r>
        <w:t xml:space="preserve">and remain</w:t>
      </w:r>
      <w:r>
        <w:t xml:space="preserve"> </w:t>
      </w:r>
      <w:r>
        <w:t xml:space="preserve">hypotheses throughout (Remark 1).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 task</w:t>
      </w:r>
      <w:r>
        <w:t xml:space="preserve"> </w:t>
      </w:r>
      <w:r>
        <w:t xml:space="preserve">design is built to make attainable and our measurements verify on the named pairs.</w:t>
      </w:r>
    </w:p>
    <w:bookmarkEnd w:id="44"/>
    <w:bookmarkEnd w:id="45"/>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0" w:name="query-independent-scores-the-theorem"/>
    <w:p>
      <w:pPr>
        <w:pStyle w:val="Heading2"/>
      </w:pPr>
      <w:r>
        <w:t xml:space="preserve">Query-independent scores: the theorem</w:t>
      </w:r>
    </w:p>
    <w:bookmarkStart w:id="46"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If</w:t>
      </w:r>
      <w:r>
        <w:rPr>
          <w:i/>
          <w:iCs/>
        </w:rPr>
        <w:t xml:space="preserve"> </w:t>
      </w:r>
      <w:r>
        <w:rPr>
          <w:i/>
          <w:iCs/>
        </w:rPr>
        <w:t xml:space="preserve">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 the</w:t>
      </w:r>
      <w:r>
        <w:rPr>
          <w:i/>
          <w:iCs/>
        </w:rPr>
        <w:t xml:space="preserve"> </w:t>
      </w:r>
      <m:oMath>
        <m:r>
          <m:t>φ</m:t>
        </m:r>
      </m:oMath>
      <w:r>
        <w:rPr>
          <w:i/>
          <w:iCs/>
        </w:rPr>
        <w:t xml:space="preserve">-induced ranking also disagrees with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6"/>
    <w:bookmarkStart w:id="47" w:name="rem:c2scope"/>
    <w:p>
      <w:pPr>
        <w:pStyle w:val="BodyText"/>
      </w:pPr>
      <w:r>
        <w:rPr>
          <w:i/>
          <w:iCs/>
        </w:rPr>
        <w:t xml:space="preserve">Remark 3</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7"/>
    <w:bookmarkStart w:id="48"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8"/>
    <w:bookmarkStart w:id="49"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9"/>
    <w:bookmarkEnd w:id="50"/>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1"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1"/>
    <w:bookmarkStart w:id="52" w:name="rem:trapscope"/>
    <w:p>
      <w:pPr>
        <w:pStyle w:val="BodyText"/>
      </w:pPr>
      <w:r>
        <w:rPr>
          <w:i/>
          <w:iCs/>
        </w:rPr>
        <w:t xml:space="preserve">Remark 5</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that the scorers deployed in practice, which read text rather than labels, do fall</w:t>
      </w:r>
      <w:r>
        <w:t xml:space="preserve"> </w:t>
      </w:r>
      <w:r>
        <w:t xml:space="preserve">into the constrained class on it (§7.4.2).</w:t>
      </w:r>
    </w:p>
    <w:bookmarkEnd w:id="52"/>
    <w:bookmarkStart w:id="53" w:name="rem:overlaponly"/>
    <w:p>
      <w:pPr>
        <w:pStyle w:val="BodyText"/>
      </w:pPr>
      <w:r>
        <w:rPr>
          <w:i/>
          <w:iCs/>
        </w:rPr>
        <w:t xml:space="preserve">Remark 6</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3"/>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Nie, et al. 2025)</w:t>
      </w:r>
      <w:r>
        <w:t xml:space="preserve">, the last of these a corpus of real retrieved contexts</w:t>
      </w:r>
      <w:r>
        <w:t xml:space="preserve"> </w:t>
      </w:r>
      <w:r>
        <w:t xml:space="preserve">built precisely to check whether synthetic benchmarks overstate context</w:t>
      </w:r>
      <w:r>
        <w:t xml:space="preserve"> </w:t>
      </w:r>
      <w:r>
        <w:t xml:space="preserve">utilisation </w:t>
      </w:r>
      <w:r>
        <w:t xml:space="preserve">(Hagström, Marjanović,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permits rather than predicts: its hypothesis</w:t>
      </w:r>
      <w:r>
        <w:t xml:space="preserve"> </w:t>
      </w:r>
      <w:r>
        <w:t xml:space="preserve">is topicality (invariance to the verifier-decisive coordinate), and a ranker that reads the</w:t>
      </w:r>
      <w:r>
        <w:t xml:space="preserve"> </w:t>
      </w:r>
      <w:r>
        <w:t xml:space="preserve">coordinate is simply outside the constrained class, so the proposition allows it to succeed</w:t>
      </w:r>
      <w:r>
        <w:t xml:space="preserve"> </w:t>
      </w:r>
      <w:r>
        <w:t xml:space="preserve">without implying that it must.</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7</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8).</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8</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which deletes</w:t>
      </w:r>
      <w:r>
        <w:rPr>
          <w:i/>
          <w:iCs/>
        </w:rPr>
        <w:t xml:space="preserve"> </w:t>
      </w:r>
      <m:oMath>
        <m:sSub>
          <m:e>
            <m:r>
              <m:t>W</m:t>
            </m:r>
          </m:e>
          <m:sub>
            <m:r>
              <m:t>2</m:t>
            </m:r>
          </m:sub>
        </m:sSub>
      </m:oMath>
      <w:r>
        <w:rPr>
          <w:i/>
          <w:iCs/>
        </w:rPr>
        <w:t xml:space="preserve">’s block and then runs</w:t>
      </w:r>
      <w:r>
        <w:rPr>
          <w:i/>
          <w:iCs/>
        </w:rPr>
        <w:t xml:space="preserve"> </w:t>
      </w:r>
      <m:oMath>
        <m:sSub>
          <m:e>
            <m:r>
              <m:t>δ</m:t>
            </m:r>
          </m:e>
          <m:sub>
            <m:r>
              <m:t>M</m:t>
            </m:r>
          </m:sub>
        </m:sSub>
      </m:oMath>
      <w:r>
        <w:rPr>
          <w:i/>
          <w:iCs/>
        </w:rPr>
        <w:t xml:space="preserve">,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w:r>
        <w:rPr>
          <w:rStyle w:val="VerbatimChar"/>
        </w:rPr>
        <w:t xml:space="preserve">none</w:t>
      </w:r>
      <w:r>
        <w:t xml:space="preserve"> </w:t>
      </w:r>
      <w:r>
        <w:t xml:space="preserve">arms at</w:t>
      </w:r>
      <w:r>
        <w:t xml:space="preserve"> </w:t>
      </w:r>
      <m:oMath>
        <m:r>
          <m:t>α</m:t>
        </m:r>
        <m:r>
          <m:rPr>
            <m:sty m:val="p"/>
          </m:rPr>
          <m:t>=</m:t>
        </m:r>
        <m:r>
          <m:t>η</m:t>
        </m:r>
        <m:r>
          <m:rPr>
            <m:sty m:val="p"/>
          </m:rPr>
          <m:t>/</m:t>
        </m:r>
        <m:r>
          <m:t>2</m:t>
        </m:r>
      </m:oMath>
      <w:r>
        <w:t xml:space="preserve">;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10"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8),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8).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The verified collapses clear it with upper confidence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5), and the character-matched padding control clears it at</w:t>
      </w:r>
      <w:r>
        <w:t xml:space="preserve"> </w:t>
      </w:r>
      <m:oMath>
        <m:r>
          <m:rPr>
            <m:sty m:val="p"/>
          </m:rPr>
          <m:t>−</m:t>
        </m:r>
        <m:r>
          <m:t>0.67</m:t>
        </m:r>
      </m:oMath>
      <w:r>
        <w:t xml:space="preserve">. One</w:t>
      </w:r>
      <w:r>
        <w:t xml:space="preserve"> </w:t>
      </w:r>
      <w:r>
        <w:t xml:space="preserve">real effect fails it and is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0.11</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0.27</m:t>
        </m:r>
      </m:oMath>
      <w:r>
        <w:t xml:space="preserve"> </w:t>
      </w:r>
      <w:r>
        <w:t xml:space="preserve">once the import is neutralized. A threshold that a genuine effect fails is evidence it was not</w:t>
      </w:r>
      <w:r>
        <w:t xml:space="preserve"> </w:t>
      </w:r>
      <w:r>
        <w:t xml:space="preserve">tuned to pass the data. We note that the second-pair contrast, reported in an earlier version as</w:t>
      </w:r>
      <w:r>
        <w:t xml:space="preserve"> </w:t>
      </w:r>
      <w:r>
        <w:t xml:space="preserve">sign-only, clears the margin at</w:t>
      </w:r>
      <w:r>
        <w:t xml:space="preserve"> </w:t>
      </w:r>
      <m:oMath>
        <m:r>
          <m:rPr>
            <m:sty m:val="p"/>
          </m:rPr>
          <m:t>−</m:t>
        </m:r>
        <m:r>
          <m:t>0.33</m:t>
        </m:r>
      </m:oMath>
      <w:r>
        <w:t xml:space="preserve"> </w:t>
      </w:r>
      <w:r>
        <w:t xml:space="preserve">once the confidence budget is allocated correctly</w:t>
      </w:r>
      <w:r>
        <w:t xml:space="preserve"> </w:t>
      </w:r>
      <w:r>
        <w:t xml:space="preserve">(§7.5); the earlier shortfall was an artifact of spending two-sided</w:t>
      </w:r>
      <w:r>
        <w:t xml:space="preserve"> </w:t>
      </w:r>
      <w:r>
        <w:t xml:space="preserve">intervals on a one-sided bound, not a property of that effect.</w:t>
      </w:r>
    </w:p>
    <w:bookmarkEnd w:id="80"/>
    <w:bookmarkStart w:id="81" w:name="what-the-intervals-do-not-cover."/>
    <w:p>
      <w:pPr>
        <w:pStyle w:val="Heading4"/>
      </w:pPr>
      <w:r>
        <w:t xml:space="preserve">What the intervals do not cover.</w:t>
      </w:r>
    </w:p>
    <w:p>
      <w:pPr>
        <w:pStyle w:val="FirstParagraph"/>
      </w:pPr>
      <w:r>
        <w:t xml:space="preserve">The Clopper–Pearson intervals carry sampling error under Assumption 2, a fixed</w:t>
      </w:r>
      <w:r>
        <w:t xml:space="preserve"> </w:t>
      </w:r>
      <w:r>
        <w:t xml:space="preserve">success probability per cell. They carry nothing else, and two components outside them are larger</w:t>
      </w:r>
      <w:r>
        <w:t xml:space="preserve"> </w:t>
      </w:r>
      <w:r>
        <w:t xml:space="preserve">than they are.</w:t>
      </w:r>
      <w:r>
        <w:t xml:space="preserve"> </w:t>
      </w:r>
      <w:r>
        <w:rPr>
          <w:i/>
          <w:iCs/>
        </w:rPr>
        <w:t xml:space="preserve">Model drift</w:t>
      </w:r>
      <w:r>
        <w:t xml:space="preserve">: the re-measurement of §7.5.2 moved Opus’s</w:t>
      </w:r>
      <w:r>
        <w:t xml:space="preserve"> </w:t>
      </w:r>
      <w:r>
        <w:rPr>
          <w:rStyle w:val="VerbatimChar"/>
        </w:rPr>
        <w:t xml:space="preserve">api_post_ok</w:t>
      </w:r>
      <w:r>
        <w:t xml:space="preserve"> </w:t>
      </w:r>
      <w:r>
        <w:t xml:space="preserve">superset arm from</w:t>
      </w:r>
      <w:r>
        <w:t xml:space="preserve"> </w:t>
      </w:r>
      <m:oMath>
        <m:r>
          <m:t>38</m:t>
        </m:r>
        <m:r>
          <m:rPr>
            <m:sty m:val="p"/>
          </m:rPr>
          <m:t>%</m:t>
        </m:r>
      </m:oMath>
      <w:r>
        <w:t xml:space="preserve"> </w:t>
      </w:r>
      <w:r>
        <w:t xml:space="preserve">to</w:t>
      </w:r>
      <w:r>
        <w:t xml:space="preserve"> </w:t>
      </w:r>
      <m:oMath>
        <m:r>
          <m:t>3</m:t>
        </m:r>
        <m:r>
          <m:rPr>
            <m:sty m:val="p"/>
          </m:rPr>
          <m:t>%</m:t>
        </m:r>
      </m:oMath>
      <w:r>
        <w:t xml:space="preserve"> </w:t>
      </w:r>
      <w:r>
        <w:t xml:space="preserve">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 outside the nominal intervals for those cells, and Sonnet’s failure mode changed</w:t>
      </w:r>
      <w:r>
        <w:t xml:space="preserve"> </w:t>
      </w:r>
      <w:r>
        <w:t xml:space="preserve">category entirely.</w:t>
      </w:r>
      <w:r>
        <w:t xml:space="preserve"> </w:t>
      </w:r>
      <w:r>
        <w:rPr>
          <w:i/>
          <w:iCs/>
        </w:rPr>
        <w:t xml:space="preserve">Prompt wording</w:t>
      </w:r>
      <w:r>
        <w:t xml:space="preserve">: the raw-failure audit traces a</w:t>
      </w:r>
      <w:r>
        <w:t xml:space="preserve"> </w:t>
      </w:r>
      <m:oMath>
        <m:r>
          <m:t>100</m:t>
        </m:r>
        <m:r>
          <m:rPr>
            <m:sty m:val="p"/>
          </m:rPr>
          <m:t>%</m:t>
        </m:r>
        <m:r>
          <m:rPr>
            <m:sty m:val="p"/>
          </m:rPr>
          <m:t>→</m:t>
        </m:r>
        <m:r>
          <m:t>52</m:t>
        </m:r>
        <m:r>
          <m:rPr>
            <m:sty m:val="p"/>
          </m:rPr>
          <m:t>%</m:t>
        </m:r>
      </m:oMath>
      <w:r>
        <w:t xml:space="preserve"> </w:t>
      </w:r>
      <w:r>
        <w:t xml:space="preserve">swing on</w:t>
      </w:r>
      <w:r>
        <w:t xml:space="preserve"> </w:t>
      </w:r>
      <w:r>
        <w:t xml:space="preserve">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w:t>
      </w:r>
      <w:r>
        <w:t xml:space="preserve"> </w:t>
      </w:r>
      <w:r>
        <w:t xml:space="preserve">(model snapshot, prompt, default decoder) triple, indexed by</w:t>
      </w:r>
      <w:r>
        <w:t xml:space="preserve"> </w:t>
      </w:r>
      <m:oMath>
        <m:r>
          <m:t>θ</m:t>
        </m:r>
      </m:oMath>
      <w:r>
        <w:t xml:space="preserve"> </w:t>
      </w:r>
      <w:r>
        <w:t xml:space="preserve">(§3.3), and</w:t>
      </w:r>
      <w:r>
        <w:t xml:space="preserve"> </w:t>
      </w:r>
      <w:r>
        <w:t xml:space="preserve">not a property of a vendor’s model line. We regard this as the honest reading rather than a</w:t>
      </w:r>
      <w:r>
        <w:t xml:space="preserve"> </w:t>
      </w:r>
      <w:r>
        <w:t xml:space="preserve">weakness: the re-measurement bounds the drift component empirically, and the direction of every</w:t>
      </w:r>
      <w:r>
        <w:t xml:space="preserve"> </w:t>
      </w:r>
      <w:r>
        <w:t xml:space="preserve">verdict survived it.</w:t>
      </w:r>
    </w:p>
    <w:bookmarkEnd w:id="81"/>
    <w:bookmarkStart w:id="82"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2"/>
    <w:bookmarkEnd w:id="83"/>
    <w:bookmarkStart w:id="100"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8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 Confidence bounds are</w:t>
      </w:r>
      <w:r>
        <w:t xml:space="preserve"> </w:t>
      </w:r>
      <w:r>
        <w:t xml:space="preserve">rounded outward (a lower bound down, an upper bound toward zero), so every printed bound is</w:t>
      </w:r>
      <w:r>
        <w:t xml:space="preserve"> </w:t>
      </w:r>
      <w:r>
        <w:t xml:space="preserve">implied by the computed one.</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Confidence bounds are rounded outward (a lower bound down, an upper bound toward zero), so every printed bound is implied by the computed one."/>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m:t>
              </m:r>
            </m:oMath>
            <w:r>
              <w:t xml:space="preserve">​</w:t>
            </w:r>
          </w:p>
        </w:tc>
        <w:tc>
          <w:tcPr/>
          <w:p>
            <w:pPr>
              <w:pStyle w:val="Compact"/>
              <w:jc w:val="center"/>
            </w:pPr>
            <m:oMath>
              <m:r>
                <m:rPr>
                  <m:sty m:val="p"/>
                </m:rPr>
                <m:t>+</m:t>
              </m:r>
              <m:r>
                <m:t>0.67</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6"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bookmarkStart w:id="85"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DeepSeek-V4-Pro’s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0.263</m:t>
        </m:r>
      </m:oMath>
      <w:r>
        <w:t xml:space="preserve"> </w:t>
      </w:r>
      <w:r>
        <w:t xml:space="preserve">and reaching</w:t>
      </w:r>
      <w:r>
        <w:t xml:space="preserve"> </w:t>
      </w:r>
      <m:oMath>
        <m:r>
          <m:rPr>
            <m:sty m:val="p"/>
          </m:rPr>
          <m:t>+</m:t>
        </m:r>
        <m:r>
          <m:t>0.685</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3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End w:id="86"/>
    <w:bookmarkStart w:id="89"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8"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 feature-based</w:t>
      </w:r>
      <w:r>
        <w:rPr>
          <w:b/>
          <w:bCs/>
        </w:rPr>
        <w:t xml:space="preserve"> </w:t>
      </w:r>
      <w:r>
        <w:rPr>
          <w:b/>
          <w:bCs/>
        </w:rPr>
        <w:t xml:space="preserve">ranker we tested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5). What the measurement does show is that the scorers</w:t>
      </w:r>
      <w:r>
        <w:t xml:space="preserve"> </w:t>
      </w:r>
      <w:r>
        <w:t xml:space="preserve">actually deployed here, which read text, pay that price.</w:t>
      </w:r>
    </w:p>
    <w:bookmarkStart w:id="87"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7"/>
    <w:bookmarkEnd w:id="88"/>
    <w:bookmarkEnd w:id="89"/>
    <w:bookmarkStart w:id="97"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Those</w:t>
      </w:r>
      <w:r>
        <w:t xml:space="preserve"> </w:t>
      </w:r>
      <w:r>
        <w:t xml:space="preserve">eleven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w:t>
      </w:r>
      <w:r>
        <w:t xml:space="preserve"> </w:t>
      </w:r>
      <w:r>
        <w:t xml:space="preserve">can be bought from the same records: allocating</w:t>
      </w:r>
      <w:r>
        <w:t xml:space="preserve"> </w:t>
      </w:r>
      <m:oMath>
        <m:r>
          <m:t>η</m:t>
        </m:r>
      </m:oMath>
      <w:r>
        <w:t xml:space="preserve"> </w:t>
      </w:r>
      <w:r>
        <w:t xml:space="preserve">across all twelve contrasts, i.e. a</w:t>
      </w:r>
      <w:r>
        <w:t xml:space="preserve"> </w:t>
      </w:r>
      <w:r>
        <w:t xml:space="preserve">per-interval level of</w:t>
      </w:r>
      <w:r>
        <w:t xml:space="preserve"> </w:t>
      </w:r>
      <m:oMath>
        <m:r>
          <m:t>η</m:t>
        </m:r>
        <m:r>
          <m:rPr>
            <m:sty m:val="p"/>
          </m:rPr>
          <m:t>/</m:t>
        </m:r>
        <m:r>
          <m:t>12</m:t>
        </m:r>
      </m:oMath>
      <w:r>
        <w:t xml:space="preserve"> </w:t>
      </w:r>
      <w:r>
        <w:t xml:space="preserve">over the</w:t>
      </w:r>
      <w:r>
        <w:t xml:space="preserve"> </w:t>
      </w:r>
      <m:oMath>
        <m:r>
          <m:t>24</m:t>
        </m:r>
      </m:oMath>
      <w:r>
        <w:t xml:space="preserve"> </w:t>
      </w:r>
      <w:r>
        <w:t xml:space="preserve">endpoints, nine of the twelve still clear</w:t>
      </w:r>
      <w:r>
        <w:t xml:space="preserve"> </w:t>
      </w:r>
      <m:oMath>
        <m:r>
          <m:rPr>
            <m:sty m:val="p"/>
          </m:rPr>
          <m:t>−</m:t>
        </m:r>
        <m:r>
          <m:t>τ</m:t>
        </m:r>
      </m:oMath>
      <w:r>
        <w:t xml:space="preserve">,</w:t>
      </w:r>
      <w:r>
        <w:t xml:space="preserve"> </w:t>
      </w:r>
      <w:r>
        <w:t xml:space="preserve">and every one of the six models keeps at least one cell that does. The roster-level statement</w:t>
      </w:r>
      <w:r>
        <w:t xml:space="preserve"> </w:t>
      </w:r>
      <w:r>
        <w:t xml:space="preserve">“on each of these six models some strict superset verifiably harms some 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three cells that drop out</w:t>
      </w:r>
      <w:r>
        <w:t xml:space="preserve"> </w:t>
      </w:r>
      <w:r>
        <w:t xml:space="preserve">under the joint budget are Haiku’s</w:t>
      </w:r>
      <w:r>
        <w:t xml:space="preserve"> </w:t>
      </w:r>
      <w:r>
        <w:rPr>
          <w:rStyle w:val="VerbatimChar"/>
        </w:rPr>
        <w:t xml:space="preserve">api_post_ok</w:t>
      </w:r>
      <w:r>
        <w:t xml:space="preserve"> </w:t>
      </w:r>
      <w:r>
        <w:t xml:space="preserve">(which does not clear marginally</w:t>
      </w:r>
      <w:r>
        <w:t xml:space="preserve"> </w:t>
      </w:r>
      <w:r>
        <w:t xml:space="preserve">either), Opus’s</w:t>
      </w:r>
      <w:r>
        <w:t xml:space="preserve"> </w:t>
      </w:r>
      <w:r>
        <w:rPr>
          <w:rStyle w:val="VerbatimChar"/>
        </w:rPr>
        <w:t xml:space="preserve">api_post_ok</w:t>
      </w:r>
      <w:r>
        <w:t xml:space="preserve"> </w:t>
      </w:r>
      <w:r>
        <w:t xml:space="preserve">and DeepSeek’s</w:t>
      </w:r>
      <w:r>
        <w:t xml:space="preserve"> </w:t>
      </w:r>
      <w:r>
        <w:rPr>
          <w:rStyle w:val="VerbatimChar"/>
        </w:rPr>
        <w:t xml:space="preserve">api_argorder</w:t>
      </w:r>
      <w:r>
        <w:t xml:space="preserve">;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0.41</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All eleven survive a Bonferroni correction across the two cells</w:t>
      </w:r>
      <w:r>
        <w:t xml:space="preserve"> </w:t>
      </w:r>
      <w:r>
        <w:t xml:space="preserve">within each model, the tightest being DeepSeek’s</w:t>
      </w:r>
      <w:r>
        <w:t xml:space="preserve"> </w:t>
      </w:r>
      <w:r>
        <w:rPr>
          <w:rStyle w:val="VerbatimChar"/>
        </w:rPr>
        <w:t xml:space="preserve">api_argorder</w:t>
      </w:r>
      <w:r>
        <w:t xml:space="preserve"> </w:t>
      </w:r>
      <w:r>
        <w:t xml:space="preserve">at</w:t>
      </w:r>
      <w:r>
        <w:t xml:space="preserve"> </w:t>
      </w:r>
      <m:oMath>
        <m:r>
          <m:rPr>
            <m:sty m:val="p"/>
          </m:rPr>
          <m:t>−</m:t>
        </m:r>
        <m:r>
          <m:t>0.34</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8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2"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w:t>
      </w:r>
      <w:r>
        <w:t xml:space="preserve"> </w:t>
      </w:r>
      <w:r>
        <w:t xml:space="preserve">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empirical</w:t>
      </w:r>
      <w:r>
        <w:t xml:space="preserve"> </w:t>
      </w:r>
      <w:r>
        <w:t xml:space="preserve">summary is the two-element 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w:t>
      </w:r>
      <w:r>
        <w:t xml:space="preserve"> </w:t>
      </w:r>
      <w:r>
        <w:t xml:space="preserve">represent (Figure 1). Three sources over four cells need</w:t>
      </w:r>
      <w:r>
        <w:t xml:space="preserve"> </w:t>
      </w:r>
      <w:r>
        <w:rPr>
          <w:i/>
          <w:iCs/>
        </w:rPr>
        <w:t xml:space="preserve">one</w:t>
      </w:r>
      <w:r>
        <w:t xml:space="preserve"> </w:t>
      </w:r>
      <w:r>
        <w:t xml:space="preserve">coverage event,</w:t>
      </w:r>
      <w:r>
        <w:t xml:space="preserve"> </w:t>
      </w:r>
      <w:r>
        <w:t xml:space="preserve">so we take all</w:t>
      </w:r>
      <w:r>
        <w:t xml:space="preserve"> </w:t>
      </w:r>
      <m:oMath>
        <m:r>
          <m:t>3</m:t>
        </m:r>
        <m:r>
          <m:rPr>
            <m:sty m:val="p"/>
          </m:rPr>
          <m:t>×</m:t>
        </m:r>
        <m:r>
          <m:t>4</m:t>
        </m:r>
      </m:oMath>
      <w:r>
        <w:t xml:space="preserve"> </w:t>
      </w:r>
      <w:r>
        <w:t xml:space="preserve">Clopper–Pearson intervals at per-interval level</w:t>
      </w:r>
      <w:r>
        <w:t xml:space="preserve"> </w:t>
      </w:r>
      <m:oMath>
        <m:r>
          <m:t>η</m:t>
        </m:r>
        <m:r>
          <m:rPr>
            <m:sty m:val="p"/>
          </m:rPr>
          <m:t>/</m:t>
        </m:r>
        <m:r>
          <m:t>12</m:t>
        </m:r>
      </m:oMath>
      <w:r>
        <w:t xml:space="preserve">; they then</w:t>
      </w:r>
      <w:r>
        <w:t xml:space="preserve"> </w:t>
      </w:r>
      <w:r>
        <w:t xml:space="preserve">hold jointly at</w:t>
      </w:r>
      <w:r>
        <w:t xml:space="preserve"> </w:t>
      </w:r>
      <m:oMath>
        <m:r>
          <m:rPr>
            <m:sty m:val="p"/>
          </m:rPr>
          <m:t>≥</m:t>
        </m:r>
        <m:r>
          <m:t>1</m:t>
        </m:r>
        <m:r>
          <m:rPr>
            <m:sty m:val="p"/>
          </m:rPr>
          <m:t>−</m:t>
        </m:r>
        <m:r>
          <m:t>η</m:t>
        </m:r>
      </m:oMath>
      <w:r>
        <w:t xml:space="preserve"> </w:t>
      </w:r>
      <w:r>
        <w:t xml:space="preserve">and every relation in the figure is read off that single event. On</w:t>
      </w:r>
      <w:r>
        <w:t xml:space="preserve"> </w:t>
      </w:r>
      <w:r>
        <w:t xml:space="preserve">the</w:t>
      </w:r>
      <w:r>
        <w:t xml:space="preserve"> </w:t>
      </w:r>
      <m:oMath>
        <m:r>
          <m:t>n</m:t>
        </m:r>
        <m:r>
          <m:rPr>
            <m:sty m:val="p"/>
          </m:rPr>
          <m:t>=</m:t>
        </m:r>
        <m:r>
          <m:t>40</m:t>
        </m:r>
      </m:oMath>
      <w:r>
        <w:t xml:space="preserve"> </w:t>
      </w:r>
      <w:r>
        <w:t xml:space="preserve">Haiku record this gives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m:t>
        </m:r>
      </m:oMath>
      <w:r>
        <w:t xml:space="preserve">, so the</w:t>
      </w:r>
      <w:r>
        <w:t xml:space="preserve"> </w:t>
      </w:r>
      <w:r>
        <w:t xml:space="preserve">incomparable pair is verified;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t>1.00</m:t>
        </m:r>
      </m:oMath>
      <w:r>
        <w:t xml:space="preserve">, so</w:t>
      </w:r>
      <w:r>
        <w:t xml:space="preserve"> </w:t>
      </w:r>
      <m:oMath>
        <m:sSub>
          <m:e>
            <m:r>
              <m:t>W</m:t>
            </m:r>
          </m:e>
          <m:sub>
            <m:r>
              <m:t>1</m:t>
            </m:r>
            <m:r>
              <m:rPr>
                <m:sty m:val="p"/>
              </m:rPr>
              <m:t>+</m:t>
            </m:r>
          </m:sub>
        </m:sSub>
      </m:oMath>
      <w:r>
        <w:t xml:space="preserve"> </w:t>
      </w:r>
      <w:r>
        <w:t xml:space="preserve">verifiably fails to</w:t>
      </w:r>
      <w:r>
        <w:t xml:space="preserve"> </w:t>
      </w:r>
      <w:r>
        <w:t xml:space="preserve">dominate</w:t>
      </w:r>
      <w:r>
        <w:t xml:space="preserve"> </w:t>
      </w:r>
      <m:oMath>
        <m:sSub>
          <m:e>
            <m:r>
              <m:t>W</m:t>
            </m:r>
          </m:e>
          <m:sub>
            <m:r>
              <m:t>1</m:t>
            </m:r>
          </m:sub>
        </m:sSub>
      </m:oMath>
      <w:r>
        <w:t xml:space="preserve">, which is the anti-monotone edge; and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0.13</m:t>
        </m:r>
      </m:oMath>
      <w:r>
        <w:t xml:space="preserve">. That last</w:t>
      </w:r>
      <w:r>
        <w:t xml:space="preserve"> </w:t>
      </w:r>
      <w:r>
        <w:t xml:space="preserve">number is an</w:t>
      </w:r>
      <w:r>
        <w:t xml:space="preserve"> </w:t>
      </w:r>
      <m:oMath>
        <m:r>
          <m:t>ε</m:t>
        </m:r>
      </m:oMath>
      <w:r>
        <w:t xml:space="preserve">-dominance, not an exact one: what is verified is that</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0.13</m:t>
        </m:r>
      </m:oMath>
      <w:r>
        <w:t xml:space="preserve"> </w:t>
      </w:r>
      <w:r>
        <w:t xml:space="preserve">on some cell, so excluding</w:t>
      </w:r>
      <w:r>
        <w:t xml:space="preserve"> </w:t>
      </w:r>
      <m:oMath>
        <m:sSub>
          <m:e>
            <m:r>
              <m:t>W</m:t>
            </m:r>
          </m:e>
          <m:sub>
            <m:r>
              <m:t>2</m:t>
            </m:r>
          </m:sub>
        </m:sSub>
      </m:oMath>
      <w:r>
        <w:t xml:space="preserve"> </w:t>
      </w:r>
      <w:r>
        <w:t xml:space="preserve">from the front is licensed only up to</w:t>
      </w:r>
      <w:r>
        <w:t xml:space="preserve"> </w:t>
      </w:r>
      <w:r>
        <w:t xml:space="preserve">that margin,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does not depend on</w:t>
      </w:r>
      <w:r>
        <w:t xml:space="preserve"> </w:t>
      </w:r>
      <w:r>
        <w:t xml:space="preserve">which of the two readings holds, since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 in the front either way.</w:t>
      </w:r>
    </w:p>
    <w:bookmarkStart w:id="90"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w:t>
      </w:r>
      <w:r>
        <w:t xml:space="preserve"> </w:t>
      </w:r>
      <w:r>
        <w:t xml:space="preserve">and the output is a Pareto front, which no scalar top-</w:t>
      </w:r>
      <m:oMath>
        <m:r>
          <m:t>1</m:t>
        </m:r>
      </m:oMath>
      <w:r>
        <w:t xml:space="preserve"> </w:t>
      </w:r>
      <w:r>
        <w:t xml:space="preserve">rule can represent. All relations shown</w:t>
      </w:r>
      <w:r>
        <w:t xml:space="preserve"> </w:t>
      </w:r>
      <w:r>
        <w:t xml:space="preserve">are read off one coverage event (the</w:t>
      </w:r>
      <w:r>
        <w:t xml:space="preserve"> </w:t>
      </w:r>
      <m:oMath>
        <m:r>
          <m:t>3</m:t>
        </m:r>
        <m:r>
          <m:rPr>
            <m:sty m:val="p"/>
          </m:rPr>
          <m:t>×</m:t>
        </m:r>
        <m:r>
          <m:t>4</m:t>
        </m:r>
      </m:oMath>
      <w:r>
        <w:t xml:space="preserve"> </w:t>
      </w:r>
      <w:r>
        <w:t xml:space="preserve">intervals at per-interval level</w:t>
      </w:r>
      <w:r>
        <w:t xml:space="preserve"> </w:t>
      </w:r>
      <m:oMath>
        <m:r>
          <m:t>η</m:t>
        </m:r>
        <m:r>
          <m:rPr>
            <m:sty m:val="p"/>
          </m:rPr>
          <m:t>/</m:t>
        </m:r>
        <m:r>
          <m:t>12</m:t>
        </m:r>
      </m:oMath>
      <w:r>
        <w:t xml:space="preserve">); the</w:t>
      </w:r>
      <w:r>
        <w:t xml:space="preserve"> </w:t>
      </w:r>
      <w:r>
        <w:t xml:space="preserve">edge from</w:t>
      </w:r>
      <w:r>
        <w:t xml:space="preserve"> </w:t>
      </w:r>
      <m:oMath>
        <m:sSub>
          <m:e>
            <m:r>
              <m:t>W</m:t>
            </m:r>
          </m:e>
          <m:sub>
            <m:r>
              <m:t>1</m:t>
            </m:r>
            <m:r>
              <m:rPr>
                <m:sty m:val="p"/>
              </m:rPr>
              <m:t>+</m:t>
            </m:r>
          </m:sub>
        </m:sSub>
      </m:oMath>
      <w:r>
        <w:t xml:space="preserve"> </w:t>
      </w:r>
      <w:r>
        <w:t xml:space="preserve">to</w:t>
      </w:r>
      <w:r>
        <w:t xml:space="preserve"> </w:t>
      </w:r>
      <m:oMath>
        <m:sSub>
          <m:e>
            <m:r>
              <m:t>W</m:t>
            </m:r>
          </m:e>
          <m:sub>
            <m:r>
              <m:t>2</m:t>
            </m:r>
          </m:sub>
        </m:sSub>
      </m:oMath>
      <w:r>
        <w:t xml:space="preserve"> </w:t>
      </w:r>
      <w:r>
        <w:t xml:space="preserve">is an</w:t>
      </w:r>
      <w:r>
        <w:t xml:space="preserve"> </w:t>
      </w:r>
      <m:oMath>
        <m:r>
          <m:t>ε</m:t>
        </m:r>
      </m:oMath>
      <w:r>
        <w:t xml:space="preserve">-dominance at</w:t>
      </w:r>
      <w:r>
        <w:t xml:space="preserve"> </w:t>
      </w:r>
      <m:oMath>
        <m:r>
          <m:t>ε</m:t>
        </m:r>
        <m:r>
          <m:rPr>
            <m:sty m:val="p"/>
          </m:rPr>
          <m:t>=</m:t>
        </m:r>
        <m:r>
          <m:t>0.13</m:t>
        </m:r>
      </m:oMath>
      <w:r>
        <w:t xml:space="preserve">, not an exact one.</w:t>
      </w:r>
    </w:p>
    <w:bookmarkEnd w:id="90"/>
    <w:bookmarkStart w:id="91"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0.77</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0.26</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0.81</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0.54</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0.38</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0.85</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0.41</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0.65</m:t>
              </m:r>
            </m:oMath>
            <w:r>
              <w:t xml:space="preserve">​</w:t>
            </w:r>
          </w:p>
        </w:tc>
        <w:tc>
          <w:tcPr/>
          <w:p>
            <w:pPr>
              <w:pStyle w:val="Compact"/>
            </w:pPr>
          </w:p>
        </w:tc>
      </w:tr>
    </w:tbl>
    <w:bookmarkEnd w:id="91"/>
    <w:bookmarkEnd w:id="92"/>
    <w:bookmarkStart w:id="93"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3"/>
    <w:bookmarkStart w:id="94" w:name="position-is-not-the-cause."/>
    <w:p>
      <w:pPr>
        <w:pStyle w:val="Heading4"/>
      </w:pPr>
      <w:r>
        <w:t xml:space="preserve">Position is not the cause.</w:t>
      </w:r>
    </w:p>
    <w:p>
      <w:pPr>
        <w:pStyle w:val="FirstParagraph"/>
      </w:pPr>
      <w:r>
        <w:t xml:space="preserve">The collapse is not a lost-in-the-middle or recency artifact. The character-matched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on</w:t>
      </w:r>
      <w:r>
        <w:t xml:space="preserve"> </w:t>
      </w:r>
      <w:r>
        <w:rPr>
          <w:rStyle w:val="VerbatimChar"/>
        </w:rPr>
        <w:t xml:space="preserve">api_argorder</w:t>
      </w:r>
      <w:r>
        <w:t xml:space="preserve">; holding position fixed and</w:t>
      </w:r>
      <w:r>
        <w:t xml:space="preserve"> </w:t>
      </w:r>
      <w:r>
        <w:t xml:space="preserve">changing only the content is what turns a harmless arm into a harmful one, so the cause is the</w:t>
      </w:r>
      <w:r>
        <w:t xml:space="preserve"> </w:t>
      </w:r>
      <w:r>
        <w:t xml:space="preserve">added signal, not where it sits. Order is controlled separately and at power. Reversing the</w:t>
      </w:r>
      <w:r>
        <w:t xml:space="preserve"> </w:t>
      </w:r>
      <w:r>
        <w:t xml:space="preserve">concatenation,</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with</w:t>
      </w:r>
      <w:r>
        <w:t xml:space="preserve"> </w:t>
      </w:r>
      <m:oMath>
        <m:sSub>
          <m:e>
            <m:r>
              <m:t>W</m:t>
            </m:r>
          </m:e>
          <m:sub>
            <m:r>
              <m:t>1</m:t>
            </m:r>
          </m:sub>
        </m:sSub>
      </m:oMath>
      <w:r>
        <w:t xml:space="preserve"> </w:t>
      </w:r>
      <w:r>
        <w:t xml:space="preserve">first, does not recover</w:t>
      </w:r>
      <w:r>
        <w:t xml:space="preserve"> </w:t>
      </w:r>
      <m:oMath>
        <m:sSub>
          <m:e>
            <m:r>
              <m:t>W</m:t>
            </m:r>
          </m:e>
          <m:sub>
            <m:r>
              <m:t>1</m:t>
            </m:r>
          </m:sub>
        </m:sSub>
      </m:oMath>
      <w:r>
        <w:t xml:space="preserve"> </w:t>
      </w:r>
      <w:r>
        <w:t xml:space="preserve">either: at</w:t>
      </w:r>
      <w:r>
        <w:t xml:space="preserve"> </w:t>
      </w:r>
      <m:oMath>
        <m:r>
          <m:t>n</m:t>
        </m:r>
        <m:r>
          <m:rPr>
            <m:sty m:val="p"/>
          </m:rPr>
          <m:t>=</m:t>
        </m:r>
        <m:r>
          <m:t>80</m:t>
        </m:r>
      </m:oMath>
      <w:r>
        <w:t xml:space="preserve"> </w:t>
      </w:r>
      <w:r>
        <w:t xml:space="preserve">on the full battery,</w:t>
      </w:r>
      <w:r>
        <w:t xml:space="preserve"> </w:t>
      </w:r>
      <w:r>
        <w:rPr>
          <w:rStyle w:val="VerbatimChar"/>
        </w:rPr>
        <w:t xml:space="preserve">api_post_ok</w:t>
      </w:r>
      <w:r>
        <w:t xml:space="preserve"> </w:t>
      </w:r>
      <w:r>
        <w:t xml:space="preserve">runs</w:t>
      </w:r>
      <w:r>
        <w:t xml:space="preserve"> </w:t>
      </w:r>
      <m:oMath>
        <m:r>
          <m:t>98</m:t>
        </m:r>
        <m:r>
          <m:rPr>
            <m:sty m:val="p"/>
          </m:rPr>
          <m:t>%</m:t>
        </m:r>
        <m:r>
          <m:rPr>
            <m:sty m:val="p"/>
          </m:rPr>
          <m:t>→</m:t>
        </m:r>
        <m:r>
          <m:t>1</m:t>
        </m:r>
        <m:r>
          <m:rPr>
            <m:sty m:val="p"/>
          </m:rPr>
          <m:t>%</m:t>
        </m:r>
      </m:oMath>
      <w:r>
        <w:t xml:space="preserve"> </w:t>
      </w:r>
      <w:r>
        <w:t xml:space="preserve">and</w:t>
      </w:r>
      <w:r>
        <w:t xml:space="preserve"> </w:t>
      </w:r>
      <w:r>
        <w:rPr>
          <w:rStyle w:val="VerbatimChar"/>
        </w:rPr>
        <w:t xml:space="preserve">api_argorder</w:t>
      </w:r>
      <w:r>
        <w:t xml:space="preserve"> </w:t>
      </w:r>
      <m:oMath>
        <m:r>
          <m:t>100</m:t>
        </m:r>
        <m:r>
          <m:rPr>
            <m:sty m:val="p"/>
          </m:rPr>
          <m:t>%</m:t>
        </m:r>
        <m:r>
          <m:rPr>
            <m:sty m:val="p"/>
          </m:rPr>
          <m:t>→</m:t>
        </m:r>
        <m:r>
          <m:t>44</m:t>
        </m:r>
        <m:r>
          <m:rPr>
            <m:sty m:val="p"/>
          </m:rPr>
          <m:t>%</m:t>
        </m:r>
      </m:oMath>
      <w:r>
        <w:t xml:space="preserve">, both verified harmful at the paper’s own standard (upper</w:t>
      </w:r>
      <w:r>
        <w:t xml:space="preserve"> </w:t>
      </w:r>
      <w:r>
        <w:t xml:space="preserve">bounds</w:t>
      </w:r>
      <w:r>
        <w:t xml:space="preserve"> </w:t>
      </w:r>
      <m:oMath>
        <m:r>
          <m:rPr>
            <m:sty m:val="p"/>
          </m:rPr>
          <m:t>−</m:t>
        </m:r>
        <m:r>
          <m:t>0.83</m:t>
        </m:r>
      </m:oMath>
      <w:r>
        <w:t xml:space="preserve"> </w:t>
      </w:r>
      <w:r>
        <w:t xml:space="preserve">and</w:t>
      </w:r>
      <w:r>
        <w:t xml:space="preserve"> </w:t>
      </w:r>
      <m:oMath>
        <m:r>
          <m:rPr>
            <m:sty m:val="p"/>
          </m:rPr>
          <m:t>−</m:t>
        </m:r>
        <m:r>
          <m:t>0.38</m:t>
        </m:r>
      </m:oMath>
      <w:r>
        <w:t xml:space="preserve">). Neither ordering restores the single-source arm, so the collapse is</w:t>
      </w:r>
      <w:r>
        <w:t xml:space="preserve"> </w:t>
      </w:r>
      <w:r>
        <w:t xml:space="preserve">not a primacy or recency effect.</w:t>
      </w:r>
    </w:p>
    <w:bookmarkEnd w:id="94"/>
    <w:bookmarkStart w:id="95"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5"/>
    <w:bookmarkStart w:id="96"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 The re-measurement of</w:t>
      </w:r>
      <w:r>
        <w:t xml:space="preserve"> </w:t>
      </w:r>
      <w:r>
        <w:t xml:space="preserve">§7.5.2 sharpens this: on fresh draws all three Anthropic models collapse to</w:t>
      </w:r>
      <w:r>
        <w:t xml:space="preserve"> </w:t>
      </w:r>
      <m:oMath>
        <m:r>
          <m:t>0</m:t>
        </m:r>
      </m:oMath>
      <w:r>
        <w:t xml:space="preserve">–</w:t>
      </w:r>
      <m:oMath>
        <m:r>
          <m:t>3</m:t>
        </m:r>
        <m:r>
          <m:rPr>
            <m:sty m:val="p"/>
          </m:rPr>
          <m:t>%</m:t>
        </m:r>
      </m:oMath>
      <w:r>
        <w:t xml:space="preserve">, so the spread that made Opus look mildest does not persist, and the ladder is flat</w:t>
      </w:r>
      <w:r>
        <w:t xml:space="preserve"> </w:t>
      </w:r>
      <w:r>
        <w:t xml:space="preserve">rather than ordered. What survives is the negative claim, not the ranking that motivated it.</w:t>
      </w:r>
    </w:p>
    <w:bookmarkEnd w:id="96"/>
    <w:bookmarkEnd w:id="97"/>
    <w:bookmarkStart w:id="99"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8" w:name="auditable-per-cell-record."/>
    <w:p>
      <w:pPr>
        <w:pStyle w:val="Heading4"/>
      </w:pPr>
      <w:r>
        <w:t xml:space="preserve">Auditable per-cell record.</w:t>
      </w:r>
    </w:p>
    <w:p>
      <w:pPr>
        <w:pStyle w:val="FirstParagraph"/>
      </w:pPr>
      <w:r>
        <w:t xml:space="preserve">The full per-arm PASS record for every carrying cell is Table 8 in Appendix B, so each verification can be reconstructed from the reported counts.</w:t>
      </w:r>
    </w:p>
    <w:bookmarkEnd w:id="98"/>
    <w:bookmarkEnd w:id="99"/>
    <w:bookmarkEnd w:id="100"/>
    <w:bookmarkStart w:id="106"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at the</w:t>
      </w:r>
      <w:r>
        <w:t xml:space="preserve"> </w:t>
      </w:r>
      <m:oMath>
        <m:r>
          <m:t>τ</m:t>
        </m:r>
        <m:r>
          <m:rPr>
            <m:sty m:val="p"/>
          </m:rPr>
          <m:t>=</m:t>
        </m:r>
        <m:r>
          <m:t>0.30</m:t>
        </m:r>
      </m:oMath>
      <w:r>
        <w:t xml:space="preserve"> </w:t>
      </w:r>
      <w:r>
        <w:t xml:space="preserve">margin (</w:t>
      </w:r>
      <m:oMath>
        <m:sSub>
          <m:e>
            <m:r>
              <m:rPr>
                <m:sty m:val="p"/>
              </m:rPr>
              <m:t>Δ</m:t>
            </m:r>
          </m:e>
          <m:sub>
            <m:r>
              <m:t>T</m:t>
            </m:r>
          </m:sub>
        </m:sSub>
        <m:r>
          <m:rPr>
            <m:sty m:val="p"/>
          </m:rPr>
          <m:t>=</m:t>
        </m:r>
        <m:r>
          <m:rPr>
            <m:sty m:val="p"/>
          </m:rPr>
          <m:t>−</m:t>
        </m:r>
        <m:r>
          <m:t>0.51</m:t>
        </m:r>
      </m:oMath>
      <w:r>
        <w:t xml:space="preserve">, upper bound</w:t>
      </w:r>
      <w:r>
        <w:t xml:space="preserve"> </w:t>
      </w:r>
      <m:oMath>
        <m:r>
          <m:rPr>
            <m:sty m:val="p"/>
          </m:rPr>
          <m:t>−</m:t>
        </m:r>
        <m:r>
          <m:t>0.33</m:t>
        </m:r>
      </m:oMath>
      <w:r>
        <w:t xml:space="preserve">),</w:t>
      </w:r>
      <w:r>
        <w:t xml:space="preserve"> </w:t>
      </w:r>
      <w:r>
        <w:t xml:space="preserve">so the second pair carries both incomparability and harm.</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0.67</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2"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8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0.27</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Start w:id="101" w:name="packaging-is-not-the-confound."/>
    <w:p>
      <w:pPr>
        <w:pStyle w:val="Heading4"/>
      </w:pPr>
      <w:r>
        <w:t xml:space="preserve">Packaging is not the confound.</w:t>
      </w:r>
    </w:p>
    <w:p>
      <w:pPr>
        <w:pStyle w:val="FirstParagraph"/>
      </w:pPr>
      <w:r>
        <w:t xml:space="preserve">The same retained draws answer a second question, and</w:t>
      </w:r>
      <w:r>
        <w:t xml:space="preserve"> </w:t>
      </w:r>
      <w:r>
        <w:t xml:space="preserve">it is the one a reader should ask of any executable-verifier result: did the harness ever fail a</w:t>
      </w:r>
      <w:r>
        <w:t xml:space="preserve"> </w:t>
      </w:r>
      <w:r>
        <w:t xml:space="preserve">reply that in fact contained the right call? On this cell it did not. Across the</w:t>
      </w:r>
      <w:r>
        <w:t xml:space="preserve"> </w:t>
      </w:r>
      <m:oMath>
        <m:r>
          <m:t>32</m:t>
        </m:r>
      </m:oMath>
      <w:r>
        <w:t xml:space="preserve"> </w:t>
      </w:r>
      <w:r>
        <w:t xml:space="preserve">failing</w:t>
      </w:r>
      <w:r>
        <w:t xml:space="preserve"> </w:t>
      </w:r>
      <m:oMath>
        <m:sSub>
          <m:e>
            <m:r>
              <m:t>W</m:t>
            </m:r>
          </m:e>
          <m:sub>
            <m:r>
              <m:t>1</m:t>
            </m:r>
            <m:r>
              <m:rPr>
                <m:sty m:val="p"/>
              </m:rPr>
              <m:t>+</m:t>
            </m:r>
          </m:sub>
        </m:sSub>
      </m:oMath>
      <w:r>
        <w:t xml:space="preserve"> </w:t>
      </w:r>
      <w:r>
        <w:t xml:space="preserve">draws the extractor returned code every time (zero empty extractions), all</w:t>
      </w:r>
      <w:r>
        <w:t xml:space="preserve"> </w:t>
      </w:r>
      <m:oMath>
        <m:r>
          <m:t>32</m:t>
        </m:r>
      </m:oMath>
      <w:r>
        <w:t xml:space="preserve"> </w:t>
      </w:r>
      <w:r>
        <w:t xml:space="preserve">contain</w:t>
      </w:r>
      <w:r>
        <w:t xml:space="preserve"> </w:t>
      </w:r>
      <w:r>
        <w:rPr>
          <w:rStyle w:val="VerbatimChar"/>
        </w:rPr>
        <w:t xml:space="preserve">ledger.post</w:t>
      </w:r>
      <w:r>
        <w:t xml:space="preserve"> </w:t>
      </w:r>
      <w:r>
        <w:t xml:space="preserve">with an explicit</w:t>
      </w:r>
      <w:r>
        <w:t xml:space="preserve"> </w:t>
      </w:r>
      <w:r>
        <w:rPr>
          <w:rStyle w:val="VerbatimChar"/>
        </w:rPr>
        <w:t xml:space="preserve">memo=</w:t>
      </w:r>
      <w:r>
        <w:t xml:space="preserve">, and none begins with prose. Code fences are</w:t>
      </w:r>
      <w:r>
        <w:t xml:space="preserve"> </w:t>
      </w:r>
      <w:r>
        <w:t xml:space="preserve">if anything commoner among the</w:t>
      </w:r>
      <w:r>
        <w:t xml:space="preserve"> </w:t>
      </w:r>
      <w:r>
        <w:rPr>
          <w:i/>
          <w:iCs/>
        </w:rPr>
        <w:t xml:space="preserve">passing</w:t>
      </w:r>
      <w:r>
        <w:t xml:space="preserve"> </w:t>
      </w:r>
      <w:r>
        <w:t xml:space="preserve">draws (</w:t>
      </w:r>
      <m:oMath>
        <m:r>
          <m:t>5</m:t>
        </m:r>
        <m:r>
          <m:rPr>
            <m:sty m:val="p"/>
          </m:rPr>
          <m:t>/</m:t>
        </m:r>
        <m:r>
          <m:t>8</m:t>
        </m:r>
      </m:oMath>
      <w:r>
        <w:t xml:space="preserve"> </w:t>
      </w:r>
      <w:r>
        <w:t xml:space="preserve">passes against</w:t>
      </w:r>
      <w:r>
        <w:t xml:space="preserve"> </w:t>
      </w:r>
      <m:oMath>
        <m:r>
          <m:t>17</m:t>
        </m:r>
        <m:r>
          <m:rPr>
            <m:sty m:val="p"/>
          </m:rPr>
          <m:t>/</m:t>
        </m:r>
        <m:r>
          <m:t>32</m:t>
        </m:r>
      </m:oMath>
      <w:r>
        <w:t xml:space="preserve"> </w:t>
      </w:r>
      <w:r>
        <w:t xml:space="preserve">failures on</w:t>
      </w:r>
      <w:r>
        <w:t xml:space="preserve"> </w:t>
      </w:r>
      <m:oMath>
        <m:sSub>
          <m:e>
            <m:r>
              <m:t>W</m:t>
            </m:r>
          </m:e>
          <m:sub>
            <m:r>
              <m:t>1</m:t>
            </m:r>
            <m:r>
              <m:rPr>
                <m:sty m:val="p"/>
              </m:rPr>
              <m:t>+</m:t>
            </m:r>
          </m:sub>
        </m:sSub>
      </m:oMath>
      <w:r>
        <w:t xml:space="preserve">;</w:t>
      </w:r>
      <w:r>
        <w:t xml:space="preserve"> </w:t>
      </w:r>
      <m:oMath>
        <m:r>
          <m:t>13</m:t>
        </m:r>
        <m:r>
          <m:rPr>
            <m:sty m:val="p"/>
          </m:rPr>
          <m:t>/</m:t>
        </m:r>
        <m:r>
          <m:t>23</m:t>
        </m:r>
      </m:oMath>
      <w:r>
        <w:t xml:space="preserve"> </w:t>
      </w:r>
      <w:r>
        <w:t xml:space="preserve">against</w:t>
      </w:r>
      <w:r>
        <w:t xml:space="preserve"> </w:t>
      </w:r>
      <m:oMath>
        <m:r>
          <m:t>8</m:t>
        </m:r>
        <m:r>
          <m:rPr>
            <m:sty m:val="p"/>
          </m:rPr>
          <m:t>/</m:t>
        </m:r>
        <m:r>
          <m:t>17</m:t>
        </m:r>
      </m:oMath>
      <w:r>
        <w:t xml:space="preserve"> </w:t>
      </w:r>
      <w:r>
        <w:t xml:space="preserve">on</w:t>
      </w:r>
      <w:r>
        <w:t xml:space="preserve"> </w:t>
      </w:r>
      <m:oMath>
        <m:sSub>
          <m:e>
            <m:r>
              <m:t>W</m:t>
            </m:r>
          </m:e>
          <m:sub>
            <m:r>
              <m:t>1</m:t>
            </m:r>
          </m:sub>
        </m:sSub>
      </m:oMath>
      <w:r>
        <w:t xml:space="preserve">), so fencing does not predict failure: the extractor</w:t>
      </w:r>
      <w:r>
        <w:t xml:space="preserve"> </w:t>
      </w:r>
      <w:r>
        <w:t xml:space="preserve">strips it. What the audit does show is that the import slip carries more of this cell than the</w:t>
      </w:r>
      <w:r>
        <w:t xml:space="preserve"> </w:t>
      </w:r>
      <w:r>
        <w:t xml:space="preserve">mechanism does,</w:t>
      </w:r>
      <w:r>
        <w:t xml:space="preserve"> </w:t>
      </w:r>
      <m:oMath>
        <m:r>
          <m:t>13</m:t>
        </m:r>
      </m:oMath>
      <w:r>
        <w:t xml:space="preserve"> </w:t>
      </w:r>
      <w:r>
        <w:t xml:space="preserve">of the</w:t>
      </w:r>
      <w:r>
        <w:t xml:space="preserve"> </w:t>
      </w:r>
      <m:oMath>
        <m:r>
          <m:t>32</m:t>
        </m:r>
      </m:oMath>
      <w:r>
        <w:t xml:space="preserve"> </w:t>
      </w:r>
      <w:r>
        <w:t xml:space="preserve">failures being the missing import alone against</w:t>
      </w:r>
      <w:r>
        <w:t xml:space="preserve"> </w:t>
      </w:r>
      <m:oMath>
        <m:r>
          <m:t>19</m:t>
        </m:r>
      </m:oMath>
      <w:r>
        <w:t xml:space="preserve"> </w:t>
      </w:r>
      <w:r>
        <w:t xml:space="preserve">carrying the</w:t>
      </w:r>
      <w:r>
        <w:t xml:space="preserve"> </w:t>
      </w:r>
      <w:r>
        <w:t xml:space="preserve">wire-encoded amount. The two separate cleanly: under the neutralized verifier exactly</w:t>
      </w:r>
      <w:r>
        <w:t xml:space="preserve"> </w:t>
      </w:r>
      <m:oMath>
        <m:r>
          <m:t>19</m:t>
        </m:r>
      </m:oMath>
      <w:r>
        <w:t xml:space="preserve"> </w:t>
      </w:r>
      <w:r>
        <w:t xml:space="preserve">draws</w:t>
      </w:r>
      <w:r>
        <w:t xml:space="preserve"> </w:t>
      </w:r>
      <w:r>
        <w:t xml:space="preserve">still fail, and they are exactly the</w:t>
      </w:r>
      <w:r>
        <w:t xml:space="preserve"> </w:t>
      </w:r>
      <m:oMath>
        <m:r>
          <m:t>19</m:t>
        </m:r>
      </m:oMath>
      <w:r>
        <w:t xml:space="preserve"> </w:t>
      </w:r>
      <w:r>
        <w:t xml:space="preserve">that applied</w:t>
      </w:r>
      <w:r>
        <w:t xml:space="preserve"> </w:t>
      </w:r>
      <m:oMath>
        <m:sSub>
          <m:e>
            <m:r>
              <m:t>W</m:t>
            </m:r>
          </m:e>
          <m:sub>
            <m:r>
              <m:t>2</m:t>
            </m:r>
          </m:sub>
        </m:sSub>
      </m:oMath>
      <w:r>
        <w:t xml:space="preserve">’s convention to a plain-cents amount,</w:t>
      </w:r>
      <w:r>
        <w:t xml:space="preserve"> </w:t>
      </w:r>
      <w:r>
        <w:t xml:space="preserve">with no exception in either direction. Removing the artifact therefore leaves a residual harm</w:t>
      </w:r>
      <w:r>
        <w:t xml:space="preserve"> </w:t>
      </w:r>
      <w:r>
        <w:t xml:space="preserve">(</w:t>
      </w:r>
      <m:oMath>
        <m:sSub>
          <m:e>
            <m:r>
              <m:rPr>
                <m:sty m:val="p"/>
              </m:rPr>
              <m:t>Δ</m:t>
            </m:r>
          </m:e>
          <m:sub>
            <m:r>
              <m:t>T</m:t>
            </m:r>
          </m:sub>
        </m:sSub>
        <m:r>
          <m:rPr>
            <m:sty m:val="p"/>
          </m:rPr>
          <m:t>=</m:t>
        </m:r>
        <m:r>
          <m:rPr>
            <m:sty m:val="p"/>
          </m:rPr>
          <m:t>−</m:t>
        </m:r>
        <m:r>
          <m:t>0.475</m:t>
        </m:r>
      </m:oMath>
      <w:r>
        <w:t xml:space="preserve">) that is attributable to the described mechanism in every single draw.</w:t>
      </w:r>
    </w:p>
    <w:bookmarkEnd w:id="101"/>
    <w:bookmarkEnd w:id="102"/>
    <w:bookmarkStart w:id="105" w:name="sec:remeasure"/>
    <w:p>
      <w:pPr>
        <w:pStyle w:val="Heading3"/>
      </w:pPr>
      <w:r>
        <w:t xml:space="preserve">Re-measurement with retention across the roster</w:t>
      </w:r>
    </w:p>
    <w:p>
      <w:pPr>
        <w:pStyle w:val="FirstParagraph"/>
      </w:pPr>
      <w:r>
        <w:t xml:space="preserve">The published harness discards raw completions, so the audit above covers the one cell for which</w:t>
      </w:r>
      <w:r>
        <w:t xml:space="preserve"> </w:t>
      </w:r>
      <w:r>
        <w:t xml:space="preserve">they were kept. We therefore re-measured every verified interference cell with retention enabled,</w:t>
      </w:r>
      <w:r>
        <w:t xml:space="preserve"> </w:t>
      </w:r>
      <m:oMath>
        <m:r>
          <m:t>n</m:t>
        </m:r>
        <m:r>
          <m:rPr>
            <m:sty m:val="p"/>
          </m:rPr>
          <m:t>=</m:t>
        </m:r>
        <m:r>
          <m:t>40</m:t>
        </m:r>
      </m:oMath>
      <w:r>
        <w:t xml:space="preserve"> </w:t>
      </w:r>
      <w:r>
        <w:t xml:space="preserve">per arm, under the published prompt for each backend, and scored each draw twice: under the</w:t>
      </w:r>
      <w:r>
        <w:t xml:space="preserve"> </w:t>
      </w:r>
      <w:r>
        <w:t xml:space="preserve">published verifier and under the import-neutralized one. Table 6 reports it.</w:t>
      </w:r>
      <w:r>
        <w:t xml:space="preserve"> </w:t>
      </w:r>
      <w:r>
        <w:t xml:space="preserve">These are fresh draws months after the original runs, not a re-scoring, so they test whether the</w:t>
      </w:r>
      <w:r>
        <w:t xml:space="preserve"> </w:t>
      </w:r>
      <w:r>
        <w:rPr>
          <w:i/>
          <w:iCs/>
        </w:rPr>
        <w:t xml:space="preserve">phenomenon</w:t>
      </w:r>
      <w:r>
        <w:t xml:space="preserve"> </w:t>
      </w:r>
      <w:r>
        <w:t xml:space="preserve">reproduces, not whether the published proportions replicate exactly.</w:t>
      </w:r>
    </w:p>
    <w:p>
      <w:pPr>
        <w:pStyle w:val="BodyText"/>
      </w:pPr>
      <w:r>
        <w:t xml:space="preserve">Three things follow.</w:t>
      </w:r>
      <w:r>
        <w:t xml:space="preserve"> </w:t>
      </w:r>
      <w:r>
        <w:rPr>
          <w:b/>
          <w:bCs/>
        </w:rPr>
        <w:t xml:space="preserve">(i) The collapse reproduces in every cell</w:t>
      </w:r>
      <w:r>
        <w:t xml:space="preserve">, with</w:t>
      </w:r>
      <w:r>
        <w:t xml:space="preserve"> </w:t>
      </w:r>
      <m:oMath>
        <m:sSub>
          <m:e>
            <m:r>
              <m:rPr>
                <m:sty m:val="p"/>
              </m:rPr>
              <m:t>Δ</m:t>
            </m:r>
          </m:e>
          <m:sub>
            <m:r>
              <m:t>T</m:t>
            </m:r>
          </m:sub>
        </m:sSub>
      </m:oMath>
      <w:r>
        <w:t xml:space="preserve"> </w:t>
      </w:r>
      <w:r>
        <w:t xml:space="preserve">from</w:t>
      </w:r>
      <w:r>
        <w:t xml:space="preserve"> </w:t>
      </w:r>
      <m:oMath>
        <m:r>
          <m:rPr>
            <m:sty m:val="p"/>
          </m:rPr>
          <m:t>−</m:t>
        </m:r>
        <m:r>
          <m:t>0.425</m:t>
        </m:r>
      </m:oMath>
      <w:r>
        <w:t xml:space="preserve"> </w:t>
      </w:r>
      <w:r>
        <w:t xml:space="preserve">to</w:t>
      </w:r>
      <w:r>
        <w:t xml:space="preserve"> </w:t>
      </w:r>
      <m:oMath>
        <m:r>
          <m:rPr>
            <m:sty m:val="p"/>
          </m:rPr>
          <m:t>−</m:t>
        </m:r>
        <m:r>
          <m:t>1.000</m:t>
        </m:r>
      </m:oMath>
      <w:r>
        <w:t xml:space="preserve">; no cell failed to reproduce.</w:t>
      </w:r>
      <w:r>
        <w:t xml:space="preserve"> </w:t>
      </w:r>
      <w:r>
        <w:rPr>
          <w:b/>
          <w:bCs/>
        </w:rPr>
        <w:t xml:space="preserve">(ii) Packaging is never the cause</w:t>
      </w:r>
      <w:r>
        <w:t xml:space="preserve">: across</w:t>
      </w:r>
      <w:r>
        <w:t xml:space="preserve"> </w:t>
      </w:r>
      <w:r>
        <w:t xml:space="preserve">all</w:t>
      </w:r>
      <w:r>
        <w:t xml:space="preserve"> </w:t>
      </w:r>
      <m:oMath>
        <m:r>
          <m:t>880</m:t>
        </m:r>
      </m:oMath>
      <w:r>
        <w:t xml:space="preserve"> </w:t>
      </w:r>
      <w:r>
        <w:t xml:space="preserve">retained draws of these eleven cells the extractor returned a non-empty code block every</w:t>
      </w:r>
      <w:r>
        <w:t xml:space="preserve"> </w:t>
      </w:r>
      <w:r>
        <w:t xml:space="preserve">time, so no failure is an artifact of an empty extraction or of fencing. That is weaker than a</w:t>
      </w:r>
      <w:r>
        <w:t xml:space="preserve"> </w:t>
      </w:r>
      <w:r>
        <w:t xml:space="preserve">guarantee that every reply was well-formed Python; it rules out the packaging explanation, not</w:t>
      </w:r>
      <w:r>
        <w:t xml:space="preserve"> </w:t>
      </w:r>
      <w:r>
        <w:t xml:space="preserve">every formatting one.</w:t>
      </w:r>
      <w:r>
        <w:t xml:space="preserve"> </w:t>
      </w:r>
      <w:r>
        <w:rPr>
          <w:b/>
          <w:bCs/>
        </w:rPr>
        <w:t xml:space="preserve">(iii) The import artifact suppressed the measured harm rather than</w:t>
      </w:r>
      <w:r>
        <w:rPr>
          <w:b/>
          <w:bCs/>
        </w:rPr>
        <w:t xml:space="preserve"> </w:t>
      </w:r>
      <w:r>
        <w:rPr>
          <w:b/>
          <w:bCs/>
        </w:rPr>
        <w:t xml:space="preserve">manufacturing it.</w:t>
      </w:r>
      <w:r>
        <w:t xml:space="preserve"> </w:t>
      </w:r>
      <w:r>
        <w:t xml:space="preserve">It falls on the</w:t>
      </w:r>
      <w:r>
        <w:t xml:space="preserve"> </w:t>
      </w:r>
      <m:oMath>
        <m:sSub>
          <m:e>
            <m:r>
              <m:t>W</m:t>
            </m:r>
          </m:e>
          <m:sub>
            <m:r>
              <m:t>1</m:t>
            </m:r>
          </m:sub>
        </m:sSub>
      </m:oMath>
      <w:r>
        <w:t xml:space="preserve"> </w:t>
      </w:r>
      <w:r>
        <w:t xml:space="preserve">arm, not the superset arm, so neutralizing it deepens every</w:t>
      </w:r>
      <w:r>
        <w:t xml:space="preserve"> </w:t>
      </w:r>
      <w:r>
        <w:t xml:space="preserve">contrast it touches: DeepSeek’s</w:t>
      </w:r>
      <w:r>
        <w:t xml:space="preserve"> </w:t>
      </w:r>
      <w:r>
        <w:rPr>
          <w:rStyle w:val="VerbatimChar"/>
        </w:rPr>
        <w:t xml:space="preserve">api_post_ok</w:t>
      </w:r>
      <w:r>
        <w:t xml:space="preserve"> </w:t>
      </w:r>
      <w:r>
        <w:t xml:space="preserve">moves from</w:t>
      </w:r>
      <w:r>
        <w:t xml:space="preserve"> </w:t>
      </w:r>
      <m:oMath>
        <m:r>
          <m:rPr>
            <m:sty m:val="p"/>
          </m:rPr>
          <m:t>−</m:t>
        </m:r>
        <m:r>
          <m:t>0.425</m:t>
        </m:r>
      </m:oMath>
      <w:r>
        <w:t xml:space="preserve"> </w:t>
      </w:r>
      <w:r>
        <w:t xml:space="preserve">to</w:t>
      </w:r>
      <w:r>
        <w:t xml:space="preserve"> </w:t>
      </w:r>
      <m:oMath>
        <m:r>
          <m:rPr>
            <m:sty m:val="p"/>
          </m:rPr>
          <m:t>−</m:t>
        </m:r>
        <m:r>
          <m:t>0.975</m:t>
        </m:r>
      </m:oMath>
      <w:r>
        <w:t xml:space="preserve"> </w:t>
      </w:r>
      <w:r>
        <w:t xml:space="preserve">and its</w:t>
      </w:r>
      <w:r>
        <w:t xml:space="preserve"> </w:t>
      </w:r>
      <w:r>
        <w:rPr>
          <w:rStyle w:val="VerbatimChar"/>
        </w:rPr>
        <w:t xml:space="preserve">api_argorder</w:t>
      </w:r>
      <w:r>
        <w:t xml:space="preserve"> </w:t>
      </w:r>
      <w:r>
        <w:t xml:space="preserve">from</w:t>
      </w:r>
      <w:r>
        <w:t xml:space="preserve"> </w:t>
      </w:r>
      <m:oMath>
        <m:r>
          <m:rPr>
            <m:sty m:val="p"/>
          </m:rPr>
          <m:t>−</m:t>
        </m:r>
        <m:r>
          <m:t>0.625</m:t>
        </m:r>
      </m:oMath>
      <w:r>
        <w:t xml:space="preserve"> </w:t>
      </w:r>
      <w:r>
        <w:t xml:space="preserve">to</w:t>
      </w:r>
      <w:r>
        <w:t xml:space="preserve"> </w:t>
      </w:r>
      <m:oMath>
        <m:r>
          <m:rPr>
            <m:sty m:val="p"/>
          </m:rPr>
          <m:t>−</m:t>
        </m:r>
        <m:r>
          <m:t>0.950</m:t>
        </m:r>
      </m:oMath>
      <w:r>
        <w:t xml:space="preserve">.</w:t>
      </w:r>
    </w:p>
    <w:bookmarkStart w:id="104" w:name="X6048aa77d89549cebd162582b87914a697e9c2a"/>
    <w:p>
      <w:pPr>
        <w:pStyle w:val="Heading4"/>
      </w:pPr>
      <w:r>
        <w:t xml:space="preserve">The mechanism is not universal: Sonnet refuses.</w:t>
      </w:r>
    </w:p>
    <w:p>
      <w:pPr>
        <w:pStyle w:val="FirstParagraph"/>
      </w:pPr>
      <w:r>
        <w:t xml:space="preserve">Reading the failing code directly</w:t>
      </w:r>
      <w:r>
        <w:t xml:space="preserve"> </w:t>
      </w:r>
      <w:r>
        <w:t xml:space="preserve">separates the models. We count over the draws that still fail once the import is neutralized, which</w:t>
      </w:r>
      <w:r>
        <w:t xml:space="preserve"> </w:t>
      </w:r>
      <w:r>
        <w:t xml:space="preserve">removes that confound from the attribution. On nine of the eleven cells the failure is then the one</w:t>
      </w:r>
      <w:r>
        <w:t xml:space="preserve"> </w:t>
      </w:r>
      <w:r>
        <w:t xml:space="preserve">this paper describes, the reply applying</w:t>
      </w:r>
      <w:r>
        <w:t xml:space="preserve"> </w:t>
      </w:r>
      <m:oMath>
        <m:sSub>
          <m:e>
            <m:r>
              <m:t>W</m:t>
            </m:r>
          </m:e>
          <m:sub>
            <m:r>
              <m:t>2</m:t>
            </m:r>
          </m:sub>
        </m:sSub>
      </m:oMath>
      <w:r>
        <w:t xml:space="preserve">’s wire encoding to a plain-cents amount, in</w:t>
      </w:r>
      <w:r>
        <w:t xml:space="preserve"> </w:t>
      </w:r>
      <m:oMath>
        <m:r>
          <m:t>38</m:t>
        </m:r>
      </m:oMath>
      <w:r>
        <w:t xml:space="preserve"> </w:t>
      </w:r>
      <w:r>
        <w:t xml:space="preserve">to</w:t>
      </w:r>
      <w:r>
        <w:t xml:space="preserve"> </w:t>
      </w:r>
      <m:oMath>
        <m:r>
          <m:t>40</m:t>
        </m:r>
      </m:oMath>
      <w:r>
        <w:t xml:space="preserve"> </w:t>
      </w:r>
      <w:r>
        <w:t xml:space="preserve">of those draws per cell (</w:t>
      </w:r>
      <m:oMath>
        <m:r>
          <m:t>359</m:t>
        </m:r>
      </m:oMath>
      <w:r>
        <w:t xml:space="preserve"> </w:t>
      </w:r>
      <w:r>
        <w:t xml:space="preserve">of</w:t>
      </w:r>
      <w:r>
        <w:t xml:space="preserve"> </w:t>
      </w:r>
      <m:oMath>
        <m:r>
          <m:t>434</m:t>
        </m:r>
      </m:oMath>
      <w:r>
        <w:t xml:space="preserve"> </w:t>
      </w:r>
      <w:r>
        <w:t xml:space="preserve">across the roster, the shortfall being Sonnet). The</w:t>
      </w:r>
      <w:r>
        <w:t xml:space="preserve"> </w:t>
      </w:r>
      <w:r>
        <w:t xml:space="preserve">verifier’s own record is a stricter witness and agrees where it can speak: it logs a wire-format</w:t>
      </w:r>
      <w:r>
        <w:t xml:space="preserve"> </w:t>
      </w:r>
      <w:r>
        <w:t xml:space="preserve">string such as</w:t>
      </w:r>
      <w:r>
        <w:t xml:space="preserve"> </w:t>
      </w:r>
      <w:r>
        <w:rPr>
          <w:rStyle w:val="VerbatimChar"/>
        </w:rPr>
        <w:t xml:space="preserve">’+500#5’</w:t>
      </w:r>
      <w:r>
        <w:t xml:space="preserve"> </w:t>
      </w:r>
      <w:r>
        <w:t xml:space="preserve">in the posted call in</w:t>
      </w:r>
      <w:r>
        <w:t xml:space="preserve"> </w:t>
      </w:r>
      <m:oMath>
        <m:r>
          <m:t>24</m:t>
        </m:r>
      </m:oMath>
      <w:r>
        <w:t xml:space="preserve"> </w:t>
      </w:r>
      <w:r>
        <w:t xml:space="preserve">to</w:t>
      </w:r>
      <w:r>
        <w:t xml:space="preserve"> </w:t>
      </w:r>
      <m:oMath>
        <m:r>
          <m:t>40</m:t>
        </m:r>
      </m:oMath>
      <w:r>
        <w:t xml:space="preserve"> </w:t>
      </w:r>
      <w:r>
        <w:t xml:space="preserve">draws per cell. The two counts</w:t>
      </w:r>
      <w:r>
        <w:t xml:space="preserve"> </w:t>
      </w:r>
      <w:r>
        <w:t xml:space="preserve">separate only where a missing import raises</w:t>
      </w:r>
      <w:r>
        <w:t xml:space="preserve"> </w:t>
      </w:r>
      <w:r>
        <w:rPr>
          <w:rStyle w:val="VerbatimChar"/>
        </w:rPr>
        <w:t xml:space="preserve">NameError</w:t>
      </w:r>
      <w:r>
        <w:t xml:space="preserve"> </w:t>
      </w:r>
      <w:r>
        <w:t xml:space="preserve">before the call assertion executes,</w:t>
      </w:r>
      <w:r>
        <w:t xml:space="preserve"> </w:t>
      </w:r>
      <w:r>
        <w:t xml:space="preserve">so the posted value is never recorded; every such draw still fails under the neutralized verifier</w:t>
      </w:r>
      <w:r>
        <w:t xml:space="preserve"> </w:t>
      </w:r>
      <w:r>
        <w:t xml:space="preserve">and its code computes the encoding. Sonnet is the exception, and completely so. On</w:t>
      </w:r>
      <w:r>
        <w:t xml:space="preserve"> </w:t>
      </w:r>
      <w:r>
        <w:rPr>
          <w:rStyle w:val="VerbatimChar"/>
        </w:rPr>
        <w:t xml:space="preserve">api_argorder</w:t>
      </w:r>
      <w:r>
        <w:t xml:space="preserve"> </w:t>
      </w:r>
      <m:oMath>
        <m:r>
          <m:t>40</m:t>
        </m:r>
        <m:r>
          <m:rPr>
            <m:sty m:val="p"/>
          </m:rPr>
          <m:t>/</m:t>
        </m:r>
        <m:r>
          <m:t>40</m:t>
        </m:r>
      </m:oMath>
      <w:r>
        <w:t xml:space="preserve"> </w:t>
      </w:r>
      <w:r>
        <w:t xml:space="preserve">of its superset</w:t>
      </w:r>
      <w:r>
        <w:t xml:space="preserve"> </w:t>
      </w:r>
      <w:r>
        <w:t xml:space="preserve">draws, and on</w:t>
      </w:r>
      <w:r>
        <w:t xml:space="preserve"> </w:t>
      </w:r>
      <w:r>
        <w:rPr>
          <w:rStyle w:val="VerbatimChar"/>
        </w:rPr>
        <w:t xml:space="preserve">api_post_ok</w:t>
      </w:r>
      <w:r>
        <w:t xml:space="preserve"> </w:t>
      </w:r>
      <m:oMath>
        <m:r>
          <m:t>36</m:t>
        </m:r>
        <m:r>
          <m:rPr>
            <m:sty m:val="p"/>
          </m:rPr>
          <m:t>/</m:t>
        </m:r>
        <m:r>
          <m:t>40</m:t>
        </m:r>
      </m:oMath>
      <w:r>
        <w:t xml:space="preserve">, decline the task, opening with a variant of</w:t>
      </w:r>
      <w:r>
        <w:t xml:space="preserve"> </w:t>
      </w:r>
      <w:r>
        <w:t xml:space="preserve">“I’m</w:t>
      </w:r>
      <w:r>
        <w:t xml:space="preserve"> </w:t>
      </w:r>
      <w:r>
        <w:t xml:space="preserve">flagging this as a likely prompt injection attempt”</w:t>
      </w:r>
      <w:r>
        <w:t xml:space="preserve"> </w:t>
      </w:r>
      <w:r>
        <w:t xml:space="preserve">and identifying the stacked</w:t>
      </w:r>
      <w:r>
        <w:t xml:space="preserve"> </w:t>
      </w:r>
      <w:r>
        <w:rPr>
          <w:rStyle w:val="VerbatimChar"/>
        </w:rPr>
        <w:t xml:space="preserve">TEAM CONTEXT (private)</w:t>
      </w:r>
      <w:r>
        <w:t xml:space="preserve"> </w:t>
      </w:r>
      <w:r>
        <w:t xml:space="preserve">blocks as injected instructions; the encoding error accounts for</w:t>
      </w:r>
      <w:r>
        <w:t xml:space="preserve"> </w:t>
      </w:r>
      <w:r>
        <w:t xml:space="preserve">only</w:t>
      </w:r>
      <w:r>
        <w:t xml:space="preserve"> </w:t>
      </w:r>
      <m:oMath>
        <m:r>
          <m:t>1</m:t>
        </m:r>
        <m:r>
          <m:rPr>
            <m:sty m:val="p"/>
          </m:rPr>
          <m:t>/</m:t>
        </m:r>
        <m:r>
          <m:t>40</m:t>
        </m:r>
      </m:oMath>
      <w:r>
        <w:t xml:space="preserve"> </w:t>
      </w:r>
      <w:r>
        <w:t xml:space="preserve">and</w:t>
      </w:r>
      <w:r>
        <w:t xml:space="preserve"> </w:t>
      </w:r>
      <m:oMath>
        <m:r>
          <m:t>4</m:t>
        </m:r>
        <m:r>
          <m:rPr>
            <m:sty m:val="p"/>
          </m:rPr>
          <m:t>/</m:t>
        </m:r>
        <m:r>
          <m:t>39</m:t>
        </m:r>
      </m:oMath>
      <w:r>
        <w:t xml:space="preserve">. No other model on any arm produced such a reply, and Sonnet itself produced</w:t>
      </w:r>
      <w:r>
        <w:t xml:space="preserve"> </w:t>
      </w:r>
      <w:r>
        <w:t xml:space="preserve">none on the single-source</w:t>
      </w:r>
      <w:r>
        <w:t xml:space="preserve"> </w:t>
      </w:r>
      <m:oMath>
        <m:sSub>
          <m:e>
            <m:r>
              <m:t>W</m:t>
            </m:r>
          </m:e>
          <m:sub>
            <m:r>
              <m:t>1</m:t>
            </m:r>
          </m:sub>
        </m:sSub>
      </m:oMath>
      <w:r>
        <w:t xml:space="preserve"> </w:t>
      </w:r>
      <w:r>
        <w:t xml:space="preserve">arm. Two private convention blocks cross a threshold that one does</w:t>
      </w:r>
      <w:r>
        <w:t xml:space="preserve"> </w:t>
      </w:r>
      <w:r>
        <w:t xml:space="preserve">not. Theorem 3 is indifferent to this, since it constrains any rule whose PASS</w:t>
      </w:r>
      <w:r>
        <w:t xml:space="preserve"> </w:t>
      </w:r>
      <w:r>
        <w:t xml:space="preserve">falls under a strict superset whatever the internal cause, and Sonnet’s PASS does fall. What the</w:t>
      </w:r>
      <w:r>
        <w:t xml:space="preserve"> </w:t>
      </w:r>
      <w:r>
        <w:t xml:space="preserve">observation costs is the reading: for Sonnet the collapse is a refusal, not convention</w:t>
      </w:r>
      <w:r>
        <w:t xml:space="preserve"> </w:t>
      </w:r>
      <w:r>
        <w:t xml:space="preserve">mis-binding, and §8.3 should be read with that exception in force. Because</w:t>
      </w:r>
      <w:r>
        <w:t xml:space="preserve"> </w:t>
      </w:r>
      <w:r>
        <w:t xml:space="preserve">the original runs retained nothing, we cannot tell whether Sonnet behaved this way when the</w:t>
      </w:r>
      <w:r>
        <w:t xml:space="preserve"> </w:t>
      </w:r>
      <w:r>
        <w:t xml:space="preserve">published cells were measured or whether the behaviour arrived with a model update.</w:t>
      </w:r>
    </w:p>
    <w:bookmarkStart w:id="103" w:name="tab:remeasure"/>
    <w:p>
      <w:pPr>
        <w:pStyle w:val="TableCaption"/>
      </w:pPr>
      <w:r>
        <w:t xml:space="preserve">Re-measurement with raw-completion retention,</w:t>
      </w:r>
      <w:r>
        <w:t xml:space="preserve"> </w:t>
      </w:r>
      <m:oMath>
        <m:r>
          <m:t>n</m:t>
        </m:r>
        <m:r>
          <m:rPr>
            <m:sty m:val="p"/>
          </m:rPr>
          <m:t>=</m:t>
        </m:r>
        <m:r>
          <m:t>40</m:t>
        </m:r>
      </m:oMath>
      <w:r>
        <w:t xml:space="preserve"> </w:t>
      </w:r>
      <w:r>
        <w:t xml:space="preserve">per arm, fresh draws.</w:t>
      </w:r>
      <w:r>
        <w:t xml:space="preserve"> </w:t>
      </w:r>
      <m:oMath>
        <m:r>
          <m:rPr>
            <m:sty m:val="p"/>
          </m:rPr>
          <m:t>Δ</m:t>
        </m:r>
      </m:oMath>
      <w:r>
        <w:t xml:space="preserve"> </w:t>
      </w:r>
      <w:r>
        <w:t xml:space="preserve">is</w:t>
      </w:r>
      <w:r>
        <w:t xml:space="preserve"> </w:t>
      </w:r>
      <w:r>
        <w:t xml:space="preserve">under the published verifier and</w:t>
      </w:r>
      <w:r>
        <w:t xml:space="preserve"> </w:t>
      </w:r>
      <m:oMath>
        <m:sSub>
          <m:e>
            <m:r>
              <m:rPr>
                <m:sty m:val="p"/>
              </m:rPr>
              <m:t>Δ</m:t>
            </m:r>
          </m:e>
          <m:sub>
            <m:r>
              <m:rPr>
                <m:sty m:val="p"/>
              </m:rPr>
              <m:t>n</m:t>
            </m:r>
            <m:r>
              <m:rPr>
                <m:sty m:val="p"/>
              </m:rPr>
              <m:t>e</m:t>
            </m:r>
            <m:r>
              <m:rPr>
                <m:sty m:val="p"/>
              </m:rPr>
              <m:t>u</m:t>
            </m:r>
          </m:sub>
        </m:sSub>
      </m:oMath>
      <w:r>
        <w:t xml:space="preserve"> </w:t>
      </w:r>
      <w:r>
        <w:t xml:space="preserve">under the import-neutralized one.</w:t>
      </w:r>
      <w:r>
        <w:t xml:space="preserve"> </w:t>
      </w:r>
      <w:r>
        <w:t xml:space="preserve">“Mechanism”</w:t>
      </w:r>
      <w:r>
        <w:t xml:space="preserve"> </w:t>
      </w:r>
      <w:r>
        <w:t xml:space="preserve">counts, among the superset draws that still fail once the import is neutralized,</w:t>
      </w:r>
      <w:r>
        <w:t xml:space="preserve"> </w:t>
      </w:r>
      <w:r>
        <w:t xml:space="preserve">those that wire-encode the amount;</w:t>
      </w:r>
      <w:r>
        <w:t xml:space="preserve"> </w:t>
      </w:r>
      <w:r>
        <w:t xml:space="preserve">“Refusal”</w:t>
      </w:r>
      <w:r>
        <w:t xml:space="preserve"> </w:t>
      </w:r>
      <w:r>
        <w:t xml:space="preserve">counts draws declining the task as a suspected</w:t>
      </w:r>
      <w:r>
        <w:t xml:space="preserve"> </w:t>
      </w:r>
      <w:r>
        <w:t xml:space="preserve">prompt injection, over all</w:t>
      </w:r>
      <w:r>
        <w:t xml:space="preserve"> </w:t>
      </w:r>
      <m:oMath>
        <m:r>
          <m:t>n</m:t>
        </m:r>
      </m:oMath>
      <w:r>
        <w:t xml:space="preserve"> </w:t>
      </w:r>
      <w:r>
        <w:t xml:space="preserve">draws of the arm. The two denominators therefore differ, and the</w:t>
      </w:r>
      <w:r>
        <w:t xml:space="preserve"> </w:t>
      </w:r>
      <w:r>
        <w:t xml:space="preserve">labels are not mutually exclusive: on Sonnet’s</w:t>
      </w:r>
      <w:r>
        <w:t xml:space="preserve"> </w:t>
      </w:r>
      <w:r>
        <w:rPr>
          <w:rStyle w:val="VerbatimChar"/>
        </w:rPr>
        <w:t xml:space="preserve">api_argorder</w:t>
      </w:r>
      <w:r>
        <w:t xml:space="preserve"> </w:t>
      </w:r>
      <w:r>
        <w:t xml:space="preserve">one draw carries both flags,</w:t>
      </w:r>
      <w:r>
        <w:t xml:space="preserve"> </w:t>
      </w:r>
      <w:r>
        <w:t xml:space="preserve">and on its</w:t>
      </w:r>
      <w:r>
        <w:t xml:space="preserve"> </w:t>
      </w:r>
      <w:r>
        <w:rPr>
          <w:rStyle w:val="VerbatimChar"/>
        </w:rPr>
        <w:t xml:space="preserve">api_post_ok</w:t>
      </w:r>
      <w:r>
        <w:t xml:space="preserve"> </w:t>
      </w:r>
      <w:r>
        <w:t xml:space="preserve">one refusal-flagged draw nonetheless passed. Every row is a</w:t>
      </w:r>
      <w:r>
        <w:t xml:space="preserve"> </w:t>
      </w:r>
      <w:r>
        <w:t xml:space="preserve">single-shot re-measurement in the published regime.</w:t>
      </w:r>
    </w:p>
    <w:tbl>
      <w:tblPr>
        <w:tblStyle w:val="Table"/>
        <w:tblW w:type="auto" w:w="0"/>
        <w:tblLook w:firstRow="1" w:lastRow="0" w:firstColumn="0" w:lastColumn="0" w:noHBand="0" w:noVBand="0" w:val="0020"/>
        <w:tblCaption w:val="Re-measurement with raw-completion retention, n=40 per arm, fresh draws. \Delta is under the published verifier and \Delta_{\mathrm{neu}} under the import-neutralized one. “Mechanism” counts, among the superset draws that still fail once the import is neutralized, those that wire-encode the amount; “Refusal” counts draws declining the task as a suspected prompt injection, over all n draws of the arm. The two denominators therefore differ, and the labels are not mutually exclusive: on Sonnet’s api_argorder one draw carries both flags, and on its api_post_ok one refusal-flagged draw nonetheless passed. Every row is a single-shot re-measurement in the published regime."/>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r>
                <m:rPr>
                  <m:sty m:val="p"/>
                </m:rPr>
                <m:t>Δ</m:t>
              </m:r>
            </m:oMath>
            <w:r>
              <w:t xml:space="preserve">​</w:t>
            </w:r>
          </w:p>
        </w:tc>
        <w:tc>
          <w:tcPr/>
          <w:p>
            <w:pPr>
              <w:pStyle w:val="Compact"/>
              <w:jc w:val="center"/>
            </w:pPr>
            <m:oMath>
              <m:sSub>
                <m:e>
                  <m:r>
                    <m:rPr>
                      <m:sty m:val="p"/>
                    </m:rPr>
                    <m:t>Δ</m:t>
                  </m:r>
                </m:e>
                <m:sub>
                  <m:r>
                    <m:rPr>
                      <m:sty m:val="p"/>
                    </m:rPr>
                    <m:t>n</m:t>
                  </m:r>
                  <m:r>
                    <m:rPr>
                      <m:sty m:val="p"/>
                    </m:rPr>
                    <m:t>e</m:t>
                  </m:r>
                  <m:r>
                    <m:rPr>
                      <m:sty m:val="p"/>
                    </m:rPr>
                    <m:t>u</m:t>
                  </m:r>
                </m:sub>
              </m:sSub>
            </m:oMath>
            <w:r>
              <w:t xml:space="preserve">​</w:t>
            </w:r>
          </w:p>
        </w:tc>
        <w:tc>
          <w:tcPr/>
          <w:p>
            <w:pPr>
              <w:pStyle w:val="Compact"/>
              <w:jc w:val="center"/>
            </w:pPr>
            <w:r>
              <w:t xml:space="preserve">Mechanism</w:t>
            </w:r>
          </w:p>
        </w:tc>
        <w:tc>
          <w:tcPr/>
          <w:p>
            <w:pPr>
              <w:pStyle w:val="Compact"/>
              <w:jc w:val="center"/>
            </w:pPr>
            <w:r>
              <w:t xml:space="preserve">Refusal</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98</m:t>
              </m:r>
              <m:r>
                <m:rPr>
                  <m:sty m:val="p"/>
                </m:rPr>
                <m:t>%</m:t>
              </m:r>
              <m:r>
                <m:rPr>
                  <m:sty m:val="p"/>
                </m:rPr>
                <m:t>→</m:t>
              </m:r>
              <m:r>
                <m:t>0</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4</m:t>
              </m:r>
              <m:r>
                <m:rPr>
                  <m:sty m:val="p"/>
                </m:rPr>
                <m:t>/</m:t>
              </m:r>
              <m:r>
                <m:t>39</m:t>
              </m:r>
            </m:oMath>
            <w:r>
              <w:t xml:space="preserve">​</w:t>
            </w:r>
          </w:p>
        </w:tc>
        <w:tc>
          <w:tcPr/>
          <w:p>
            <w:pPr>
              <w:pStyle w:val="Compact"/>
              <w:jc w:val="center"/>
            </w:pPr>
            <m:oMath>
              <m:r>
                <m:t>36</m:t>
              </m:r>
            </m:oMath>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1</m:t>
              </m:r>
              <m:r>
                <m:rPr>
                  <m:sty m:val="p"/>
                </m:rPr>
                <m:t>/</m:t>
              </m:r>
              <m:r>
                <m:t>40</m:t>
              </m:r>
            </m:oMath>
            <w:r>
              <w:t xml:space="preserve">​</w:t>
            </w:r>
          </w:p>
        </w:tc>
        <w:tc>
          <w:tcPr/>
          <w:p>
            <w:pPr>
              <w:pStyle w:val="Compact"/>
              <w:jc w:val="center"/>
            </w:pPr>
            <m:oMath>
              <m:r>
                <m:t>40</m:t>
              </m:r>
            </m:oMath>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38</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3</m:t>
              </m:r>
              <m:r>
                <m:rPr>
                  <m:sty m:val="p"/>
                </m:rPr>
                <m:t>%</m:t>
              </m:r>
            </m:oMath>
            <w:r>
              <w:t xml:space="preserve">​</w:t>
            </w:r>
          </w:p>
        </w:tc>
        <w:tc>
          <w:tcPr/>
          <w:p>
            <w:pPr>
              <w:pStyle w:val="Compact"/>
              <w:jc w:val="center"/>
            </w:pPr>
            <m:oMath>
              <m:r>
                <m:rPr>
                  <m:sty m:val="p"/>
                </m:rPr>
                <m:t>−</m:t>
              </m:r>
              <m:r>
                <m:t>0.98</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43</m:t>
              </m:r>
              <m:r>
                <m:rPr>
                  <m:sty m:val="p"/>
                </m:rPr>
                <m:t>%</m:t>
              </m:r>
              <m:r>
                <m:rPr>
                  <m:sty m:val="p"/>
                </m:rPr>
                <m:t>→</m:t>
              </m:r>
              <m:r>
                <m:t>0</m:t>
              </m:r>
              <m:r>
                <m:rPr>
                  <m:sty m:val="p"/>
                </m:rPr>
                <m:t>%</m:t>
              </m:r>
            </m:oMath>
            <w:r>
              <w:t xml:space="preserve">​</w:t>
            </w:r>
          </w:p>
        </w:tc>
        <w:tc>
          <w:tcPr/>
          <w:p>
            <w:pPr>
              <w:pStyle w:val="Compact"/>
              <w:jc w:val="center"/>
            </w:pPr>
            <m:oMath>
              <m:r>
                <m:rPr>
                  <m:sty m:val="p"/>
                </m:rPr>
                <m:t>−</m:t>
              </m:r>
              <m:r>
                <m:t>0.43</m:t>
              </m:r>
            </m:oMath>
            <w:r>
              <w:t xml:space="preserve">​</w:t>
            </w:r>
          </w:p>
        </w:tc>
        <w:tc>
          <w:tcPr/>
          <w:p>
            <w:pPr>
              <w:pStyle w:val="Compact"/>
              <w:jc w:val="center"/>
            </w:pPr>
            <m:oMath>
              <m:r>
                <m:rPr>
                  <m:sty m:val="p"/>
                </m:rPr>
                <m:t>−</m:t>
              </m:r>
              <m:r>
                <m:t>0.98</m:t>
              </m:r>
            </m:oMath>
            <w:r>
              <w:t xml:space="preserve">​</w:t>
            </w:r>
          </w:p>
        </w:tc>
        <w:tc>
          <w:tcPr/>
          <w:p>
            <w:pPr>
              <w:pStyle w:val="Compact"/>
              <w:jc w:val="center"/>
            </w:pPr>
            <m:oMath>
              <m:r>
                <m:t>39</m:t>
              </m:r>
              <m:r>
                <m:rPr>
                  <m:sty m:val="p"/>
                </m:rPr>
                <m:t>/</m:t>
              </m:r>
              <m:r>
                <m:t>39</m:t>
              </m:r>
            </m:oMath>
            <w:r>
              <w:t xml:space="preserve">​</w:t>
            </w:r>
          </w:p>
        </w:tc>
        <w:tc>
          <w:tcPr/>
          <w:p>
            <w:pPr>
              <w:pStyle w:val="Compact"/>
              <w:jc w:val="center"/>
            </w:pPr>
            <m:oMath>
              <m:r>
                <m:t>0</m:t>
              </m:r>
            </m:oMath>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0.63</m:t>
              </m:r>
            </m:oMath>
            <w:r>
              <w:t xml:space="preserve">​</w:t>
            </w:r>
          </w:p>
        </w:tc>
        <w:tc>
          <w:tcPr/>
          <w:p>
            <w:pPr>
              <w:pStyle w:val="Compact"/>
              <w:jc w:val="center"/>
            </w:pPr>
            <m:oMath>
              <m:r>
                <m:rPr>
                  <m:sty m:val="p"/>
                </m:rPr>
                <m:t>−</m:t>
              </m:r>
              <m:r>
                <m:t>0.95</m:t>
              </m:r>
            </m:oMath>
            <w:r>
              <w:t xml:space="preserve">​</w:t>
            </w:r>
          </w:p>
        </w:tc>
        <w:tc>
          <w:tcPr/>
          <w:p>
            <w:pPr>
              <w:pStyle w:val="Compact"/>
              <w:jc w:val="center"/>
            </w:pPr>
            <m:oMath>
              <m:r>
                <m:t>38</m:t>
              </m:r>
              <m:r>
                <m:rPr>
                  <m:sty m:val="p"/>
                </m:rPr>
                <m:t>/</m:t>
              </m:r>
              <m:r>
                <m:t>38</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w:t>
            </w:r>
          </w:p>
        </w:tc>
      </w:tr>
    </w:tbl>
    <w:bookmarkEnd w:id="103"/>
    <w:bookmarkEnd w:id="104"/>
    <w:bookmarkEnd w:id="105"/>
    <w:bookmarkEnd w:id="106"/>
    <w:bookmarkStart w:id="109"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8);</w:t>
      </w:r>
      <w:r>
        <w:t xml:space="preserve"> </w:t>
      </w:r>
      <w:r>
        <w:t xml:space="preserve">Table 7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keeps the non-dominated pair and takes the per-cell maximum of</w:t>
      </w:r>
      <w:r>
        <w:t xml:space="preserve"> </w:t>
      </w:r>
      <w:r>
        <w:t xml:space="preserve">the two. It is the benchmark the partial order licenses one to aim at, and its price is exactly</w:t>
      </w:r>
      <w:r>
        <w:t xml:space="preserve"> </w:t>
      </w:r>
      <w:r>
        <w:t xml:space="preserve">one probe’s worth of knowledge, namely which source is decisive for which family. We report it as</w:t>
      </w:r>
      <w:r>
        <w:t xml:space="preserve"> </w:t>
      </w:r>
      <w:r>
        <w:t xml:space="preserve">an oracle rather than as an achieved result because the per-cell maximum is read off the same</w:t>
      </w:r>
      <w:r>
        <w:t xml:space="preserve"> </w:t>
      </w:r>
      <w:r>
        <w:t xml:space="preserve">outcomes it is scored on; a deployable router would have to be fixed before testing and evaluated</w:t>
      </w:r>
      <w:r>
        <w:t xml:space="preserve"> </w:t>
      </w:r>
      <w:r>
        <w:t xml:space="preserve">on held-out tasks, against matched latency and token budgets. This paper does not do that, and</w:t>
      </w:r>
      <w:r>
        <w:t xml:space="preserve"> </w:t>
      </w:r>
      <w:r>
        <w:t xml:space="preserve">the number below should not be read as a measured gain from a shipped selector.</w:t>
      </w:r>
    </w:p>
    <w:bookmarkStart w:id="107" w:name="tab:policies"/>
    <w:p>
      <w:pPr>
        <w:pStyle w:val="TableCaption"/>
      </w:pPr>
      <w:r>
        <w:t xml:space="preserve">Mean PASS (%) over the four verified cells under four selection policies, per model,</w:t>
      </w:r>
      <w:r>
        <w:t xml:space="preserve"> </w:t>
      </w:r>
      <w:r>
        <w:t xml:space="preserve">computed from the per-cell PASS counts behind Table 8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rPr>
          <w:i/>
          <w:iCs/>
        </w:rPr>
        <w:t xml:space="preserve">read off the test outcomes</w:t>
      </w:r>
      <w:r>
        <w:t xml:space="preserve">: an empirical oracle over the pair, not a</w:t>
      </w:r>
      <w:r>
        <w:t xml:space="preserve"> </w:t>
      </w:r>
      <w:r>
        <w:t xml:space="preserve">router fixed in advance and then evaluated, and not a confidence bound on any policy’s population</w:t>
      </w:r>
      <w:r>
        <w:t xml:space="preserve"> </w:t>
      </w:r>
      <w:r>
        <w:t xml:space="preserve">quality. It is also not a ceiling over all selection policies, since it excludes</w:t>
      </w:r>
      <w:r>
        <w:t xml:space="preserve"> </w:t>
      </w:r>
      <m:oMath>
        <m:sSub>
          <m:e>
            <m:r>
              <m:t>W</m:t>
            </m:r>
          </m:e>
          <m:sub>
            <m:r>
              <m:t>1</m:t>
            </m:r>
            <m:r>
              <m:rPr>
                <m:sty m:val="p"/>
              </m:rPr>
              <m:t>+</m:t>
            </m:r>
          </m:sub>
        </m:sSub>
      </m:oMath>
      <w:r>
        <w:t xml:space="preserve"> </w:t>
      </w:r>
      <w:r>
        <w:t xml:space="preserve">as a</w:t>
      </w:r>
      <w:r>
        <w:t xml:space="preserve"> </w:t>
      </w:r>
      <w:r>
        <w:t xml:space="preserve">candidate: admitting it raises the Haiku oracle from</w:t>
      </w:r>
      <w:r>
        <w:t xml:space="preserve"> </w:t>
      </w:r>
      <m:oMath>
        <m:r>
          <m:t>85.6</m:t>
        </m:r>
      </m:oMath>
      <w:r>
        <w:t xml:space="preserve"> </w:t>
      </w:r>
      <w:r>
        <w:t xml:space="preserve">to</w:t>
      </w:r>
      <w:r>
        <w:t xml:space="preserve"> </w:t>
      </w:r>
      <m:oMath>
        <m:r>
          <m:t>86.25</m:t>
        </m:r>
      </m:oMath>
      <w:r>
        <w:t xml:space="preserve">, because</w:t>
      </w:r>
      <w:r>
        <w:t xml:space="preserve"> </w:t>
      </w:r>
      <m:oMath>
        <m:sSub>
          <m:e>
            <m:r>
              <m:t>W</m:t>
            </m:r>
          </m:e>
          <m:sub>
            <m:r>
              <m:t>1</m:t>
            </m:r>
            <m:r>
              <m:rPr>
                <m:sty m:val="p"/>
              </m:rPr>
              <m:t>+</m:t>
            </m:r>
          </m:sub>
        </m:sSub>
      </m:oMath>
      <w:r>
        <w:t xml:space="preserve"> </w:t>
      </w:r>
      <w:r>
        <w:t xml:space="preserve">edges</w:t>
      </w:r>
      <w:r>
        <w:t xml:space="preserve"> </w:t>
      </w:r>
      <m:oMath>
        <m:sSub>
          <m:e>
            <m:r>
              <m:t>W</m:t>
            </m:r>
          </m:e>
          <m:sub>
            <m:r>
              <m:t>1</m:t>
            </m:r>
          </m:sub>
        </m:sSub>
      </m:oMath>
      <w:r>
        <w:t xml:space="preserve"> </w:t>
      </w:r>
      <w:r>
        <w:t xml:space="preserve">on the trap cell.</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8 (averaging the rounded percentages instead would shift a column by up to 0.4). The last column is the per-cell maximum of W_1 and W_2 read off the test outcomes: an empirical oracle over the pair, not a router fixed in advance and then evaluated, and not a confidence bound on any policy’s population quality. It is also not a ceiling over all selection policies, since it excludes W_{1+} as a candidate: admitting it raises the Haiku oracle from 85.6 to 86.25, because W_{1+} edges W_1 on the trap cell."/>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60.6</w:t>
            </w:r>
          </w:p>
        </w:tc>
        <w:tc>
          <w:tcPr/>
          <w:p>
            <w:pPr>
              <w:pStyle w:val="Compact"/>
              <w:jc w:val="center"/>
            </w:pPr>
            <w:r>
              <w:t xml:space="preserve">63.1</w:t>
            </w:r>
          </w:p>
        </w:tc>
        <w:tc>
          <w:tcPr/>
          <w:p>
            <w:pPr>
              <w:pStyle w:val="Compact"/>
              <w:jc w:val="center"/>
            </w:pPr>
            <w:r>
              <w:t xml:space="preserve">53.1</w:t>
            </w:r>
          </w:p>
        </w:tc>
        <w:tc>
          <w:tcPr/>
          <w:p>
            <w:pPr>
              <w:pStyle w:val="Compact"/>
              <w:jc w:val="center"/>
            </w:pPr>
            <w:r>
              <w:rPr>
                <w:b/>
                <w:bCs/>
              </w:rPr>
              <w:t xml:space="preserve">85.6</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36.9</w:t>
            </w:r>
          </w:p>
        </w:tc>
        <w:tc>
          <w:tcPr/>
          <w:p>
            <w:pPr>
              <w:pStyle w:val="Compact"/>
              <w:jc w:val="center"/>
            </w:pPr>
            <w:r>
              <w:rPr>
                <w:b/>
                <w:bCs/>
              </w:rPr>
              <w:t xml:space="preserve">99.4</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74.4</w:t>
            </w:r>
          </w:p>
        </w:tc>
        <w:tc>
          <w:tcPr/>
          <w:p>
            <w:pPr>
              <w:pStyle w:val="Compact"/>
              <w:jc w:val="center"/>
            </w:pPr>
            <w:r>
              <w:t xml:space="preserve">59.4</w:t>
            </w:r>
          </w:p>
        </w:tc>
        <w:tc>
          <w:tcPr/>
          <w:p>
            <w:pPr>
              <w:pStyle w:val="Compact"/>
              <w:jc w:val="center"/>
            </w:pPr>
            <w:r>
              <w:rPr>
                <w:b/>
                <w:bCs/>
              </w:rPr>
              <w:t xml:space="preserve">99.4</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93.3</w:t>
            </w:r>
          </w:p>
        </w:tc>
      </w:tr>
    </w:tbl>
    <w:bookmarkEnd w:id="107"/>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oracle column shows what</w:t>
      </w:r>
      <w:r>
        <w:t xml:space="preserve"> </w:t>
      </w:r>
      <w:r>
        <w:t xml:space="preserve">selection over the pair could have recovered had the deciding source been chosen on every cell;</w:t>
      </w:r>
      <w:r>
        <w:t xml:space="preserve"> </w:t>
      </w:r>
      <w:r>
        <w:t xml:space="preserve">its shortfall from</w:t>
      </w:r>
      <w:r>
        <w:t xml:space="preserve"> </w:t>
      </w:r>
      <m:oMath>
        <m:r>
          <m:t>100</m:t>
        </m:r>
        <m:r>
          <m:rPr>
            <m:sty m:val="p"/>
          </m:rPr>
          <m:t>%</m:t>
        </m:r>
      </m:oMath>
      <w:r>
        <w:t xml:space="preserve"> </w:t>
      </w:r>
      <w:r>
        <w:t xml:space="preserve">is not selection error, though neither is it all capability. For</w:t>
      </w:r>
      <w:r>
        <w:t xml:space="preserve"> </w:t>
      </w:r>
      <w:r>
        <w:t xml:space="preserve">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8"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single task-independent ranking drops one of them</w:t>
      </w:r>
      <w:r>
        <w:t xml:space="preserve"> </w:t>
      </w:r>
      <w:r>
        <w:t xml:space="preserve">(Theorem 2). A threshold that instead</w:t>
      </w:r>
      <w:r>
        <w:t xml:space="preserve"> </w:t>
      </w:r>
      <w:r>
        <w:rPr>
          <w:i/>
          <w:iCs/>
        </w:rPr>
        <w:t xml:space="preserve">concatenates</w:t>
      </w:r>
      <w:r>
        <w:t xml:space="preserve"> </w:t>
      </w:r>
      <w:r>
        <w:t xml:space="preserve">both is not</w:t>
      </w:r>
      <w:r>
        <w:t xml:space="preserve"> </w:t>
      </w:r>
      <w:r>
        <w:t xml:space="preserve">forbidden by the theorem, but on this pair it is the worst of the four policies measured</w:t>
      </w:r>
      <w:r>
        <w:t xml:space="preserve"> </w:t>
      </w:r>
      <w:r>
        <w:t xml:space="preserve">(Table 7).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7).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8"/>
    <w:bookmarkEnd w:id="109"/>
    <w:bookmarkEnd w:id="110"/>
    <w:bookmarkStart w:id="12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13" w:name="sec:disc-bridge"/>
    <w:p>
      <w:pPr>
        <w:pStyle w:val="Heading2"/>
      </w:pPr>
      <w:r>
        <w:t xml:space="preserve">Scope of the claims</w:t>
      </w:r>
    </w:p>
    <w:p>
      <w:pPr>
        <w:pStyle w:val="FirstParagraph"/>
      </w:pPr>
      <w:bookmarkStart w:id="111" w:name="sec:disc-deficiency"/>
      <w:bookmarkEnd w:id="111"/>
      <w:bookmarkStart w:id="112" w:name="sec:disc-certificate"/>
      <w:bookmarkEnd w:id="11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is built to make attainable and our measurements confirm on the named pairs.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7).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13"/>
    <w:bookmarkStart w:id="11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8).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0.85</m:t>
        </m:r>
      </m:oMath>
      <w:r>
        <w:t xml:space="preserve">) on Sonnet, GPT-5.5 and Kimi. This is a verified empirical falsification of superset-</w:t>
      </w:r>
      <w:r>
        <w:rPr>
          <w:i/>
          <w:iCs/>
        </w:rPr>
        <w:t xml:space="preserve">monotonicity</w:t>
      </w:r>
      <w:r>
        <w:t xml:space="preserve"> </w:t>
      </w:r>
      <w:r>
        <w:t xml:space="preserve">for these fixed rules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End w:id="114"/>
    <w:bookmarkStart w:id="115"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Re-measuring the verified cells with raw</w:t>
      </w:r>
      <w:r>
        <w:t xml:space="preserve"> </w:t>
      </w:r>
      <w:r>
        <w:t xml:space="preserve">completions retained (§7.5.2) confirms the convention-misbinding account on nine of</w:t>
      </w:r>
      <w:r>
        <w:t xml:space="preserve"> </w:t>
      </w:r>
      <w:r>
        <w:t xml:space="preserve">eleven cells by direct inspection of the failing code, but not on Sonnet’s two, where the model</w:t>
      </w:r>
      <w:r>
        <w:t xml:space="preserve"> </w:t>
      </w:r>
      <w:r>
        <w:t xml:space="preserve">instead declines the superset prompt as a suspected injection. The mechanism discussion below</w:t>
      </w:r>
      <w:r>
        <w:t xml:space="preserve"> </w:t>
      </w:r>
      <w:r>
        <w:t xml:space="preserve">therefore describes nine cells, not all eleven.</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5"/>
    <w:bookmarkStart w:id="12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6"/>
    <w:bookmarkStart w:id="11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at the margin</w:t>
      </w:r>
      <w:r>
        <w:t xml:space="preserve"> </w:t>
      </w:r>
      <w:r>
        <w:t xml:space="preserve">(</w:t>
      </w:r>
      <m:oMath>
        <m:sSub>
          <m:e>
            <m:bar>
              <m:barPr>
                <m:pos m:val="top"/>
              </m:barPr>
              <m:e>
                <m:r>
                  <m:rPr>
                    <m:sty m:val="p"/>
                  </m:rPr>
                  <m:t>Δ</m:t>
                </m:r>
              </m:e>
            </m:bar>
          </m:e>
          <m:sub>
            <m:r>
              <m:t>T</m:t>
            </m:r>
          </m:sub>
        </m:sSub>
        <m:r>
          <m:rPr>
            <m:sty m:val="p"/>
          </m:rPr>
          <m:t>=</m:t>
        </m:r>
        <m:r>
          <m:rPr>
            <m:sty m:val="p"/>
          </m:rPr>
          <m:t>−</m:t>
        </m:r>
        <m:r>
          <m:t>0.33</m:t>
        </m:r>
      </m:oMath>
      <w:r>
        <w:t xml:space="preserve"> </w:t>
      </w:r>
      <w:r>
        <w:t xml:space="preserve">at</w:t>
      </w:r>
      <w:r>
        <w:t xml:space="preserve"> </w:t>
      </w:r>
      <m:oMath>
        <m:r>
          <m:t>n</m:t>
        </m:r>
        <m:r>
          <m:rPr>
            <m:sty m:val="p"/>
          </m:rPr>
          <m:t>=</m:t>
        </m:r>
        <m:r>
          <m:t>80</m:t>
        </m:r>
      </m:oMath>
      <w:r>
        <w:t xml:space="preserv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7"/>
    <w:bookmarkStart w:id="11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8"/>
    <w:bookmarkStart w:id="119"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9"/>
    <w:bookmarkStart w:id="12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20"/>
    <w:bookmarkStart w:id="12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were each run on single-shot Haiku at</w:t>
      </w:r>
      <w:r>
        <w:t xml:space="preserve"> </w:t>
      </w:r>
      <m:oMath>
        <m:r>
          <m:t>n</m:t>
        </m:r>
        <m:r>
          <m:rPr>
            <m:sty m:val="p"/>
          </m:rPr>
          <m:t>=</m:t>
        </m:r>
        <m:r>
          <m:t>40</m:t>
        </m:r>
      </m:oMath>
      <w:r>
        <w:t xml:space="preserve"> </w:t>
      </w:r>
      <w:r>
        <w:t xml:space="preserve">on the two collapse cells, and the order control</w:t>
      </w:r>
      <w:r>
        <w:t xml:space="preserve"> </w:t>
      </w:r>
      <w:r>
        <w:t xml:space="preserve">is a Haiku</w:t>
      </w:r>
      <w:r>
        <w:t xml:space="preserve"> </w:t>
      </w:r>
      <m:oMath>
        <m:r>
          <m:t>n</m:t>
        </m:r>
        <m:r>
          <m:rPr>
            <m:sty m:val="p"/>
          </m:rPr>
          <m:t>=</m:t>
        </m:r>
        <m:r>
          <m:t>80</m:t>
        </m:r>
      </m:oMath>
      <w:r>
        <w:t xml:space="preserve"> </w:t>
      </w:r>
      <w:r>
        <w:t xml:space="preserve">arm; none of the four is part of the six-model record, so</w:t>
      </w:r>
      <w:r>
        <w:t xml:space="preserve"> </w:t>
      </w:r>
      <w:r>
        <w:t xml:space="preserve">“the harm is not</w:t>
      </w:r>
      <w:r>
        <w:t xml:space="preserve"> </w:t>
      </w:r>
      <w:r>
        <w:t xml:space="preserve">length or position”</w:t>
      </w:r>
      <w:r>
        <w:t xml:space="preserve"> </w:t>
      </w:r>
      <w:r>
        <w:t xml:space="preserve">is established on one model, not across the roster. The 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 tokens, and because</w:t>
      </w:r>
      <w:r>
        <w:t xml:space="preserve"> </w:t>
      </w:r>
      <m:oMath>
        <m:sSub>
          <m:e>
            <m:r>
              <m:t>W</m:t>
            </m:r>
          </m:e>
          <m:sub>
            <m:r>
              <m:t>2</m:t>
            </m:r>
          </m:sub>
        </m:sSub>
      </m:oMath>
      <w:r>
        <w:t xml:space="preserve"> </w:t>
      </w:r>
      <w:r>
        <w:t xml:space="preserve">is symbol-dense while the filler is plain prose the two arms are not tokenizer-matched. The</w:t>
      </w:r>
      <w:r>
        <w:t xml:space="preserve"> </w:t>
      </w:r>
      <w:r>
        <w:t xml:space="preserve">filler is also off-topic for the</w:t>
      </w:r>
      <w:r>
        <w:t xml:space="preserve"> </w:t>
      </w:r>
      <w:r>
        <w:rPr>
          <w:rStyle w:val="VerbatimChar"/>
        </w:rPr>
        <w:t xml:space="preserve">ledger</w:t>
      </w:r>
      <w:r>
        <w:t xml:space="preserve"> </w:t>
      </w:r>
      <w:r>
        <w:t xml:space="preserve">module. A tokenizer-matched control, an on-topic</w:t>
      </w:r>
      <w:r>
        <w:t xml:space="preserve"> </w:t>
      </w:r>
      <w:r>
        <w:t xml:space="preserve">but verifier-irrelevant control, and any of these across the roster remain untested.</w:t>
      </w:r>
    </w:p>
    <w:bookmarkEnd w:id="121"/>
    <w:bookmarkStart w:id="12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22"/>
    <w:bookmarkStart w:id="12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23"/>
    <w:bookmarkEnd w:id="124"/>
    <w:bookmarkEnd w:id="125"/>
    <w:bookmarkStart w:id="126"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w:t>
      </w:r>
      <w:r>
        <w:t xml:space="preserve"> </w:t>
      </w:r>
      <w:r>
        <w:t xml:space="preserve">and is not ordered by capability; the three Anthropic models alone span</w:t>
      </w:r>
      <w:r>
        <w:t xml:space="preserve"> </w:t>
      </w:r>
      <m:oMath>
        <m:r>
          <m:t>0</m:t>
        </m:r>
        <m:r>
          <m:rPr>
            <m:sty m:val="p"/>
          </m:rPr>
          <m:t>%</m:t>
        </m:r>
      </m:oMath>
      <w:r>
        <w:t xml:space="preserve">,</w:t>
      </w:r>
      <w:r>
        <w:t xml:space="preserve"> </w:t>
      </w:r>
      <m:oMath>
        <m:r>
          <m:t>2</m:t>
        </m:r>
        <m:r>
          <m:rPr>
            <m:sty m:val="p"/>
          </m:rPr>
          <m:t>%</m:t>
        </m:r>
      </m:oMath>
      <w:r>
        <w:t xml:space="preserve"> </w:t>
      </w:r>
      <w:r>
        <w:t xml:space="preserve">and</w:t>
      </w:r>
      <w:r>
        <w:t xml:space="preserve"> </w:t>
      </w:r>
      <m:oMath>
        <m:r>
          <m:t>40</m:t>
        </m:r>
        <m:r>
          <m:rPr>
            <m:sty m:val="p"/>
          </m:rPr>
          <m:t>%</m:t>
        </m:r>
      </m:oMath>
      <w:r>
        <w:t xml:space="preserve">, so</w:t>
      </w:r>
      <w:r>
        <w:t xml:space="preserve"> </w:t>
      </w:r>
      <w:r>
        <w:t xml:space="preserve">it is not a vendor effect either, and what it does track these runs cannot identify.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character-matched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6"/>
    <w:bookmarkStart w:id="127"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7"/>
    <w:bookmarkStart w:id="12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8"/>
    <w:bookmarkStart w:id="12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9"/>
    <w:bookmarkStart w:id="130" w:name="informed-consent-statement"/>
    <w:p>
      <w:pPr>
        <w:pStyle w:val="Heading1"/>
      </w:pPr>
      <w:r>
        <w:t xml:space="preserve">Informed Consent Statement</w:t>
      </w:r>
    </w:p>
    <w:p>
      <w:pPr>
        <w:pStyle w:val="FirstParagraph"/>
      </w:pPr>
      <w:r>
        <w:t xml:space="preserve">Not applicable.</w:t>
      </w:r>
    </w:p>
    <w:bookmarkEnd w:id="130"/>
    <w:bookmarkStart w:id="13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§7.5.1. No data were withheld; every reported figure is computed from those</w:t>
      </w:r>
      <w:r>
        <w:t xml:space="preserve"> </w:t>
      </w:r>
      <w:r>
        <w:t xml:space="preserve">files by the released scripts.</w:t>
      </w:r>
    </w:p>
    <w:bookmarkEnd w:id="131"/>
    <w:bookmarkStart w:id="132" w:name="conflicts-of-interest"/>
    <w:p>
      <w:pPr>
        <w:pStyle w:val="Heading1"/>
      </w:pPr>
      <w:r>
        <w:t xml:space="preserve">Conflicts of Interest</w:t>
      </w:r>
    </w:p>
    <w:p>
      <w:pPr>
        <w:pStyle w:val="FirstParagraph"/>
      </w:pPr>
      <w:r>
        <w:t xml:space="preserve">The authors declare no conflict of interest.</w:t>
      </w:r>
    </w:p>
    <w:bookmarkEnd w:id="132"/>
    <w:bookmarkStart w:id="133"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33"/>
    <w:bookmarkStart w:id="145" w:name="app:proofs"/>
    <w:p>
      <w:pPr>
        <w:pStyle w:val="Heading1"/>
      </w:pPr>
      <w:r>
        <w:t xml:space="preserve">Deferred proofs and technical material</w:t>
      </w:r>
    </w:p>
    <w:bookmarkStart w:id="134"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34"/>
    <w:bookmarkStart w:id="135"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the rule</w:t>
      </w:r>
      <w:r>
        <w:t xml:space="preserve"> </w:t>
      </w:r>
      <w:r>
        <w:t xml:space="preserve">that reads that coordinate off and answers accordingly attains</w:t>
      </w:r>
      <w:r>
        <w:t xml:space="preserve"> </w:t>
      </w:r>
      <m:oMath>
        <m:sSub>
          <m:e>
            <m:r>
              <m:t>v</m:t>
            </m:r>
          </m:e>
          <m:sub>
            <m:sSub>
              <m:e>
                <m:r>
                  <m:t>T</m:t>
                </m:r>
              </m:e>
              <m:sub>
                <m:r>
                  <m:t>a</m:t>
                </m:r>
              </m:sub>
            </m:sSub>
          </m:sub>
        </m:sSub>
        <m:r>
          <m:rPr>
            <m:sty m:val="p"/>
          </m:rPr>
          <m:t>=</m:t>
        </m:r>
        <m:r>
          <m:t>1</m:t>
        </m:r>
      </m:oMath>
      <w:r>
        <w:t xml:space="preserve"> </w:t>
      </w:r>
      <w:r>
        <w:t xml:space="preserve">at</w:t>
      </w:r>
      <w:r>
        <w:t xml:space="preserve"> </w:t>
      </w:r>
      <m:oMath>
        <m:sSub>
          <m:e>
            <m:r>
              <m:t>μ</m:t>
            </m:r>
          </m:e>
          <m:sub>
            <m:sSub>
              <m:e>
                <m:r>
                  <m:t>T</m:t>
                </m:r>
              </m:e>
              <m:sub>
                <m:r>
                  <m:t>a</m:t>
                </m:r>
              </m:sub>
            </m:sSub>
          </m:sub>
        </m:sSub>
      </m:oMath>
      <w:r>
        <w:t xml:space="preserve">-almost</w:t>
      </w:r>
      <w:r>
        <w:t xml:space="preserve"> </w:t>
      </w:r>
      <w:r>
        <w:t xml:space="preserve">every state,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the</w:t>
      </w:r>
      <w:r>
        <w:t xml:space="preserve"> </w:t>
      </w:r>
      <w:r>
        <w:t xml:space="preserve">crossover is the observable signature of</w:t>
      </w:r>
      <w:r>
        <w:t xml:space="preserve"> </w:t>
      </w:r>
      <m:oMath>
        <m:sSub>
          <m:e>
            <m:r>
              <m:t>g</m:t>
            </m:r>
          </m:e>
          <m:sub>
            <m:r>
              <m:t>a</m:t>
            </m:r>
          </m:sub>
        </m:sSub>
        <m:r>
          <m:rPr>
            <m:sty m:val="p"/>
          </m:rPr>
          <m:t>,</m:t>
        </m:r>
        <m:sSub>
          <m:e>
            <m:r>
              <m:t>g</m:t>
            </m:r>
          </m:e>
          <m:sub>
            <m:r>
              <m:t>b</m:t>
            </m:r>
          </m:sub>
        </m:sSub>
        <m:r>
          <m:rPr>
            <m:sty m:val="p"/>
          </m:rPr>
          <m:t>&lt;</m:t>
        </m:r>
        <m:r>
          <m:t>1</m:t>
        </m:r>
      </m:oMath>
      <w:r>
        <w:t xml:space="preserve">, not a substitute for it. The caps remain</w:t>
      </w:r>
      <w:r>
        <w:t xml:space="preserve"> </w:t>
      </w:r>
      <w:r>
        <w:t xml:space="preserve">essential in the converse direction: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w:t>
      </w:r>
      <w:r>
        <w:t xml:space="preserve"> </w:t>
      </w:r>
      <w:r>
        <w:t xml:space="preserve">Blackwell</w:t>
      </w:r>
      <w:r>
        <w:t xml:space="preserve"> </w:t>
      </w:r>
      <w:r>
        <w:rPr>
          <w:i/>
          <w:iCs/>
        </w:rPr>
        <w:t xml:space="preserve">equivalence</w:t>
      </w:r>
      <w:r>
        <w:t xml:space="preserve">, since a fixed rule keyed to one signal’s surface form can</w:t>
      </w:r>
      <w:r>
        <w:t xml:space="preserve"> </w:t>
      </w:r>
      <w:r>
        <w:t xml:space="preserve">under-perform on the other, exactly the non-coherence phenomenon Theorem 3</w:t>
      </w:r>
      <w:r>
        <w:t xml:space="preserve"> </w:t>
      </w:r>
      <w:r>
        <w:t xml:space="preserve">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5"/>
    <w:bookmarkStart w:id="136"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36"/>
    <w:bookmarkStart w:id="137"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The hypotheses are incompatible by construction: under (a)’s feature equality the overlap</w:t>
      </w:r>
      <w:r>
        <w:t xml:space="preserve"> </w:t>
      </w:r>
      <w:r>
        <w:t xml:space="preserve">feature is equal too, so a score monotone in overlap returns a tie rather than (b)’s strict</w:t>
      </w:r>
      <w:r>
        <w:t xml:space="preserve"> </w:t>
      </w:r>
      <w:r>
        <w:t xml:space="preserve">inversion.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37"/>
    <w:bookmarkStart w:id="138"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8"/>
    <w:bookmarkStart w:id="139"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9"/>
    <w:bookmarkStart w:id="140"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40"/>
    <w:bookmarkStart w:id="141"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41"/>
    <w:bookmarkStart w:id="143" w:name="relation-to-llm-evaluation-statistics"/>
    <w:p>
      <w:pPr>
        <w:pStyle w:val="Heading2"/>
      </w:pPr>
      <w:r>
        <w:t xml:space="preserve">Relation to LLM-evaluation statistics</w:t>
      </w:r>
    </w:p>
    <w:bookmarkStart w:id="142" w:name="rem:evalstats"/>
    <w:p>
      <w:pPr>
        <w:pStyle w:val="FirstParagraph"/>
      </w:pPr>
      <w:r>
        <w:rPr>
          <w:i/>
          <w:iCs/>
        </w:rPr>
        <w:t xml:space="preserve">Remark 9</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42"/>
    <w:bookmarkEnd w:id="143"/>
    <w:bookmarkStart w:id="144"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44"/>
    <w:bookmarkEnd w:id="145"/>
    <w:bookmarkStart w:id="152" w:name="app:record"/>
    <w:p>
      <w:pPr>
        <w:pStyle w:val="Heading1"/>
      </w:pPr>
      <w:r>
        <w:t xml:space="preserve">Extended experimental record</w:t>
      </w:r>
    </w:p>
    <w:bookmarkStart w:id="146"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6"/>
    <w:bookmarkStart w:id="15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0.33</m:t>
        </m:r>
      </m:oMath>
      <w:r>
        <w:t xml:space="preserve">, which</w:t>
      </w:r>
      <w:r>
        <w:t xml:space="preserve"> </w:t>
      </w:r>
      <w:r>
        <w:t xml:space="preserve">clears the 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w:t>
      </w:r>
      <w:r>
        <w:t xml:space="preserve"> </w:t>
      </w:r>
      <w:r>
        <w:t xml:space="preserve">(</w:t>
      </w:r>
      <m:oMath>
        <m:r>
          <m:t>80</m:t>
        </m:r>
        <m:r>
          <m:rPr>
            <m:sty m:val="p"/>
          </m:rPr>
          <m:t>%</m:t>
        </m:r>
      </m:oMath>
      <w:r>
        <w:t xml:space="preserve">, versus pair-1’s</w:t>
      </w:r>
      <w:r>
        <w:t xml:space="preserve"> </w:t>
      </w:r>
      <m:oMath>
        <m:r>
          <m:rPr>
            <m:sty m:val="p"/>
          </m:rPr>
          <m:t>∼</m:t>
        </m:r>
        <m:r>
          <m:t>100</m:t>
        </m:r>
        <m:r>
          <m:rPr>
            <m:sty m:val="p"/>
          </m:rPr>
          <m:t>%</m:t>
        </m:r>
      </m:oMath>
      <w:r>
        <w:t xml:space="preserve">), so the margin is met with little to spare; at</w:t>
      </w:r>
      <w:r>
        <w:t xml:space="preserve"> </w:t>
      </w:r>
      <m:oMath>
        <m:r>
          <m:t>n</m:t>
        </m:r>
        <m:r>
          <m:rPr>
            <m:sty m:val="p"/>
          </m:rPr>
          <m:t>=</m:t>
        </m:r>
        <m:r>
          <m:t>40</m:t>
        </m:r>
      </m:oMath>
      <w:r>
        <w:t xml:space="preserve"> </w:t>
      </w:r>
      <w:r>
        <w:t xml:space="preserve">the</w:t>
      </w:r>
      <w:r>
        <w:t xml:space="preserve"> </w:t>
      </w:r>
      <w:r>
        <w:t xml:space="preserve">same collapse gives</w:t>
      </w:r>
      <w:r>
        <w:t xml:space="preserve"> </w:t>
      </w:r>
      <m:oMath>
        <m:r>
          <m:rPr>
            <m:sty m:val="p"/>
          </m:rPr>
          <m:t>−</m:t>
        </m:r>
        <m:r>
          <m:t>0.25</m:t>
        </m:r>
      </m:oMath>
      <w:r>
        <w:t xml:space="preserve"> </w:t>
      </w:r>
      <w:r>
        <w:t xml:space="preserve">and does not clear, which is why the cell was re-run at</w:t>
      </w:r>
      <w:r>
        <w:t xml:space="preserve"> </w:t>
      </w:r>
      <m:oMath>
        <m:r>
          <m:t>n</m:t>
        </m:r>
        <m:r>
          <m:rPr>
            <m:sty m:val="p"/>
          </m:rPr>
          <m:t>=</m:t>
        </m:r>
        <m:r>
          <m:t>80</m:t>
        </m:r>
      </m:oMath>
      <w:r>
        <w:t xml:space="preserve">. The</w:t>
      </w:r>
      <w:r>
        <w:t xml:space="preserve"> </w:t>
      </w:r>
      <m:oMath>
        <m:r>
          <m:t>n</m:t>
        </m:r>
        <m:r>
          <m:rPr>
            <m:sty m:val="p"/>
          </m:rPr>
          <m:t>=</m:t>
        </m:r>
        <m:r>
          <m:t>80</m:t>
        </m:r>
      </m:oMath>
      <w:r>
        <w:t xml:space="preserve"> </w:t>
      </w:r>
      <w:r>
        <w:t xml:space="preserve">re-run covers the</w:t>
      </w:r>
      <w:r>
        <w:t xml:space="preserve"> </w:t>
      </w:r>
      <w:r>
        <w:rPr>
          <w:rStyle w:val="VerbatimChar"/>
        </w:rPr>
        <w:t xml:space="preserve">cache_put_ok</w:t>
      </w:r>
      <w:r>
        <w:t xml:space="preserve"> </w:t>
      </w:r>
      <w:r>
        <w:t xml:space="preserve">cell alone, so its dominance control</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is a statement about that cell rather than about</w:t>
      </w:r>
      <w:r>
        <w:t xml:space="preserve"> </w:t>
      </w:r>
      <w:r>
        <w:t xml:space="preserve">the three-cell battery; the battery-wide control remains the</w:t>
      </w:r>
      <w:r>
        <w:t xml:space="preserve"> </w:t>
      </w:r>
      <m:oMath>
        <m:r>
          <m:t>n</m:t>
        </m:r>
        <m:r>
          <m:rPr>
            <m:sty m:val="p"/>
          </m:rPr>
          <m:t>=</m:t>
        </m:r>
        <m:r>
          <m:t>40</m:t>
        </m:r>
      </m:oMath>
      <w:r>
        <w:t xml:space="preserve"> </w:t>
      </w:r>
      <w:r>
        <w:t xml:space="preserve">one.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7"/>
    <w:bookmarkStart w:id="14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0.67</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8"/>
    <w:bookmarkStart w:id="14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on the carrying cell the instructed superset still sits below</w:t>
      </w:r>
      <w:r>
        <w:t xml:space="preserve"> </w:t>
      </w:r>
      <m:oMath>
        <m:sSub>
          <m:e>
            <m:r>
              <m:t>W</m:t>
            </m:r>
          </m:e>
          <m:sub>
            <m:r>
              <m:t>1</m:t>
            </m:r>
          </m:sub>
        </m:sSub>
      </m:oMath>
      <w:r>
        <w:t xml:space="preserve"> </w:t>
      </w:r>
      <w:r>
        <w:t xml:space="preserve">alone (</w:t>
      </w:r>
      <m:oMath>
        <m:r>
          <m:t>80</m:t>
        </m:r>
        <m:r>
          <m:rPr>
            <m:sty m:val="p"/>
          </m:rPr>
          <m:t>%</m:t>
        </m:r>
      </m:oMath>
      <w:r>
        <w:t xml:space="preserve"> </w:t>
      </w:r>
      <w:r>
        <w:t xml:space="preserve">vs. </w:t>
      </w:r>
      <m:oMath>
        <m:r>
          <m:t>100</m:t>
        </m:r>
        <m:r>
          <m:rPr>
            <m:sty m:val="p"/>
          </m:rPr>
          <m:t>%</m:t>
        </m:r>
      </m:oMath>
      <w:r>
        <w:t xml:space="preserve">). That residual gap is verified negative by the same two-arm contrast</w:t>
      </w:r>
      <w:r>
        <w:t xml:space="preserve"> </w:t>
      </w:r>
      <w:r>
        <w:t xml:space="preserve">used throughout,</w:t>
      </w:r>
      <w:r>
        <w:t xml:space="preserve"> </w:t>
      </w:r>
      <m:oMath>
        <m:sSub>
          <m:e>
            <m:r>
              <m:rPr>
                <m:sty m:val="p"/>
              </m:rPr>
              <m:t>Δ</m:t>
            </m:r>
          </m:e>
          <m:sub>
            <m:r>
              <m:t>T</m:t>
            </m:r>
          </m:sub>
        </m:sSub>
        <m:r>
          <m:rPr>
            <m:sty m:val="p"/>
          </m:rPr>
          <m:t>=</m:t>
        </m:r>
        <m:r>
          <m:rPr>
            <m:sty m:val="p"/>
          </m:rPr>
          <m:t>−</m:t>
        </m:r>
        <m:r>
          <m:t>0.20</m:t>
        </m:r>
      </m:oMath>
      <w:r>
        <w:t xml:space="preserve"> </w:t>
      </w:r>
      <w:r>
        <w:t xml:space="preserve">with upper bound</w:t>
      </w:r>
      <w:r>
        <w:t xml:space="preserve"> </w:t>
      </w:r>
      <m:oMath>
        <m:r>
          <m:rPr>
            <m:sty m:val="p"/>
          </m:rPr>
          <m:t>−</m:t>
        </m:r>
        <m:r>
          <m:t>0.03</m:t>
        </m:r>
      </m:oMath>
      <w:r>
        <w:t xml:space="preserve">, but it falls far short of the harm</w:t>
      </w:r>
      <w:r>
        <w:t xml:space="preserve"> </w:t>
      </w:r>
      <w:r>
        <w:t xml:space="preserve">margin</w:t>
      </w:r>
      <w:r>
        <w:t xml:space="preserve"> </w:t>
      </w:r>
      <m:oMath>
        <m:r>
          <m:t>τ</m:t>
        </m:r>
        <m:r>
          <m:rPr>
            <m:sty m:val="p"/>
          </m:rPr>
          <m:t>=</m:t>
        </m:r>
        <m:r>
          <m:t>0.30</m:t>
        </m:r>
      </m:oMath>
      <w:r>
        <w:t xml:space="preserve">: the instruction removes the collapse without closing the gap.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9"/>
    <w:bookmarkStart w:id="150" w:name="Xbb3bf0e6ff780408889ccfec61f731a5b2072ac"/>
    <w:p>
      <w:pPr>
        <w:pStyle w:val="Heading4"/>
      </w:pPr>
      <w:r>
        <w:t xml:space="preserve">A structured-context ablation: labeled XML segmentation mitigates only weakly.</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w:t>
      </w:r>
      <w:r>
        <w:t xml:space="preserve"> </w:t>
      </w:r>
      <w:r>
        <w:t xml:space="preserve">dominated signal, is consistent with the operative variable being convention-to-task routing</w:t>
      </w:r>
      <w:r>
        <w:t xml:space="preserve"> </w:t>
      </w:r>
      <w:r>
        <w:t xml:space="preserve">rather than segmentation alone; as in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t>
      </w:r>
      <w:r>
        <w:t xml:space="preserve">with the structure arm scored in a separate run.</w:t>
      </w:r>
    </w:p>
    <w:bookmarkEnd w:id="150"/>
    <w:bookmarkEnd w:id="151"/>
    <w:bookmarkEnd w:id="152"/>
    <w:bookmarkStart w:id="298"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53"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53"/>
    <w:bookmarkStart w:id="154"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 The GPT-5.5 rows of Table 6 come from that run.</w:t>
      </w:r>
    </w:p>
    <w:bookmarkEnd w:id="154"/>
    <w:bookmarkStart w:id="155"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(character-matched padding,</w:t>
      </w:r>
      <w:r>
        <w:t xml:space="preserve"> </w:t>
      </w:r>
      <m:oMath>
        <m:r>
          <m:t>400</m:t>
        </m:r>
      </m:oMath>
      <w:r>
        <w:t xml:space="preserve"> </w:t>
      </w:r>
      <w:r>
        <w:t xml:space="preserve">calls),</w:t>
      </w:r>
      <w:r>
        <w:t xml:space="preserve"> </w:t>
      </w:r>
      <w:r>
        <w:rPr>
          <w:rStyle w:val="VerbatimChar"/>
        </w:rPr>
        <w:t xml:space="preserve">blackwell_n80_results</w:t>
      </w:r>
      <w:r>
        <w:t xml:space="preserve"> </w:t>
      </w:r>
      <w:r>
        <w:t xml:space="preserve">(order control, reversed concatenation,</w:t>
      </w:r>
      <w:r>
        <w:t xml:space="preserve"> </w:t>
      </w:r>
      <m:oMath>
        <m:r>
          <m:t>1600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5"/>
    <w:bookmarkStart w:id="297"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Start w:id="296" w:name="refs"/>
    <w:bookmarkStart w:id="157"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6">
        <w:r>
          <w:rPr>
            <w:rStyle w:val="Hyperlink"/>
          </w:rPr>
          <w:t xml:space="preserve">https://arxiv.org/abs/2512.23617</w:t>
        </w:r>
      </w:hyperlink>
      <w:r>
        <w:t xml:space="preserve">.</w:t>
      </w:r>
    </w:p>
    <w:bookmarkEnd w:id="157"/>
    <w:bookmarkStart w:id="159"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8">
        <w:r>
          <w:rPr>
            <w:rStyle w:val="Hyperlink"/>
          </w:rPr>
          <w:t xml:space="preserve">https://doi.org/10.5281/zenodo.20800175</w:t>
        </w:r>
      </w:hyperlink>
      <w:r>
        <w:t xml:space="preserve">.</w:t>
      </w:r>
    </w:p>
    <w:bookmarkEnd w:id="159"/>
    <w:bookmarkStart w:id="161"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60">
        <w:r>
          <w:rPr>
            <w:rStyle w:val="Hyperlink"/>
          </w:rPr>
          <w:t xml:space="preserve">https://doi.org/10.5281/zenodo.20800031</w:t>
        </w:r>
      </w:hyperlink>
      <w:r>
        <w:t xml:space="preserve">.</w:t>
      </w:r>
    </w:p>
    <w:bookmarkEnd w:id="161"/>
    <w:bookmarkStart w:id="163"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62">
        <w:r>
          <w:rPr>
            <w:rStyle w:val="Hyperlink"/>
          </w:rPr>
          <w:t xml:space="preserve">https://doi.org/10.5281/zenodo.20800209</w:t>
        </w:r>
      </w:hyperlink>
      <w:r>
        <w:t xml:space="preserve">.</w:t>
      </w:r>
    </w:p>
    <w:bookmarkEnd w:id="163"/>
    <w:bookmarkStart w:id="164"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4"/>
    <w:bookmarkStart w:id="166"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65">
        <w:r>
          <w:rPr>
            <w:rStyle w:val="Hyperlink"/>
          </w:rPr>
          <w:t xml:space="preserve">https://doi.org/10.1109/ISIT.2014.6875280</w:t>
        </w:r>
      </w:hyperlink>
      <w:r>
        <w:t xml:space="preserve">.</w:t>
      </w:r>
    </w:p>
    <w:bookmarkEnd w:id="166"/>
    <w:bookmarkStart w:id="168"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7">
        <w:r>
          <w:rPr>
            <w:rStyle w:val="Hyperlink"/>
          </w:rPr>
          <w:t xml:space="preserve">https://doi.org/10.1214/aoms/1177729032</w:t>
        </w:r>
      </w:hyperlink>
      <w:r>
        <w:t xml:space="preserve">.</w:t>
      </w:r>
    </w:p>
    <w:bookmarkEnd w:id="168"/>
    <w:bookmarkStart w:id="169"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9"/>
    <w:bookmarkStart w:id="171"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70">
        <w:r>
          <w:rPr>
            <w:rStyle w:val="Hyperlink"/>
          </w:rPr>
          <w:t xml:space="preserve">https://arxiv.org/abs/2503.01747</w:t>
        </w:r>
      </w:hyperlink>
      <w:r>
        <w:t xml:space="preserve">.</w:t>
      </w:r>
    </w:p>
    <w:bookmarkEnd w:id="171"/>
    <w:bookmarkStart w:id="173"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72">
        <w:r>
          <w:rPr>
            <w:rStyle w:val="Hyperlink"/>
          </w:rPr>
          <w:t xml:space="preserve">https://arxiv.org/abs/2411.01533</w:t>
        </w:r>
      </w:hyperlink>
      <w:r>
        <w:t xml:space="preserve">.</w:t>
      </w:r>
    </w:p>
    <w:bookmarkEnd w:id="173"/>
    <w:bookmarkStart w:id="175"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74">
        <w:r>
          <w:rPr>
            <w:rStyle w:val="Hyperlink"/>
          </w:rPr>
          <w:t xml:space="preserve">https://doi.org/10.1145/290941.291025</w:t>
        </w:r>
      </w:hyperlink>
      <w:r>
        <w:t xml:space="preserve">.</w:t>
      </w:r>
    </w:p>
    <w:bookmarkEnd w:id="175"/>
    <w:bookmarkStart w:id="177"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6">
        <w:r>
          <w:rPr>
            <w:rStyle w:val="Hyperlink"/>
          </w:rPr>
          <w:t xml:space="preserve">https://arxiv.org/abs/2511.17908</w:t>
        </w:r>
      </w:hyperlink>
      <w:r>
        <w:t xml:space="preserve">.</w:t>
      </w:r>
    </w:p>
    <w:bookmarkEnd w:id="177"/>
    <w:bookmarkStart w:id="179"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8">
        <w:r>
          <w:rPr>
            <w:rStyle w:val="Hyperlink"/>
          </w:rPr>
          <w:t xml:space="preserve">https://arxiv.org/abs/2507.03279</w:t>
        </w:r>
      </w:hyperlink>
      <w:r>
        <w:t xml:space="preserve">.</w:t>
      </w:r>
    </w:p>
    <w:bookmarkEnd w:id="179"/>
    <w:bookmarkStart w:id="181"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80">
        <w:r>
          <w:rPr>
            <w:rStyle w:val="Hyperlink"/>
          </w:rPr>
          <w:t xml:space="preserve">https://arxiv.org/abs/2601.16478</w:t>
        </w:r>
      </w:hyperlink>
      <w:r>
        <w:t xml:space="preserve">.</w:t>
      </w:r>
    </w:p>
    <w:bookmarkEnd w:id="181"/>
    <w:bookmarkStart w:id="183"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82">
        <w:r>
          <w:rPr>
            <w:rStyle w:val="Hyperlink"/>
          </w:rPr>
          <w:t xml:space="preserve">https://arxiv.org/abs/2508.21184</w:t>
        </w:r>
      </w:hyperlink>
      <w:r>
        <w:t xml:space="preserve">.</w:t>
      </w:r>
    </w:p>
    <w:bookmarkEnd w:id="183"/>
    <w:bookmarkStart w:id="185"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84">
        <w:r>
          <w:rPr>
            <w:rStyle w:val="Hyperlink"/>
          </w:rPr>
          <w:t xml:space="preserve">https://doi.org/10.1093/biomet/26.4.404</w:t>
        </w:r>
      </w:hyperlink>
      <w:r>
        <w:t xml:space="preserve">.</w:t>
      </w:r>
    </w:p>
    <w:bookmarkEnd w:id="185"/>
    <w:bookmarkStart w:id="187"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6">
        <w:r>
          <w:rPr>
            <w:rStyle w:val="Hyperlink"/>
          </w:rPr>
          <w:t xml:space="preserve">https://arxiv.org/abs/2401.14887</w:t>
        </w:r>
      </w:hyperlink>
      <w:r>
        <w:t xml:space="preserve">.</w:t>
      </w:r>
    </w:p>
    <w:bookmarkEnd w:id="187"/>
    <w:bookmarkStart w:id="189"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8">
        <w:r>
          <w:rPr>
            <w:rStyle w:val="Hyperlink"/>
          </w:rPr>
          <w:t xml:space="preserve">https://arxiv.org/abs/2503.01478</w:t>
        </w:r>
      </w:hyperlink>
      <w:r>
        <w:t xml:space="preserve">.</w:t>
      </w:r>
    </w:p>
    <w:bookmarkEnd w:id="189"/>
    <w:bookmarkStart w:id="191"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90">
        <w:r>
          <w:rPr>
            <w:rStyle w:val="Hyperlink"/>
          </w:rPr>
          <w:t xml:space="preserve">http://www.vldb.org/pvldb/vol6/p37-dong.pdf</w:t>
        </w:r>
      </w:hyperlink>
      <w:r>
        <w:t xml:space="preserve">.</w:t>
      </w:r>
    </w:p>
    <w:bookmarkEnd w:id="191"/>
    <w:bookmarkStart w:id="193"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92">
        <w:r>
          <w:rPr>
            <w:rStyle w:val="Hyperlink"/>
          </w:rPr>
          <w:t xml:space="preserve">https://arxiv.org/abs/2510.05381</w:t>
        </w:r>
      </w:hyperlink>
      <w:r>
        <w:t xml:space="preserve">.</w:t>
      </w:r>
    </w:p>
    <w:bookmarkEnd w:id="193"/>
    <w:bookmarkStart w:id="195"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94">
        <w:r>
          <w:rPr>
            <w:rStyle w:val="Hyperlink"/>
          </w:rPr>
          <w:t xml:space="preserve">https://doi.org/10.1214/aoms/1177728174</w:t>
        </w:r>
      </w:hyperlink>
      <w:r>
        <w:t xml:space="preserve">.</w:t>
      </w:r>
    </w:p>
    <w:bookmarkEnd w:id="195"/>
    <w:bookmarkStart w:id="196"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6"/>
    <w:bookmarkStart w:id="198"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7">
        <w:r>
          <w:rPr>
            <w:rStyle w:val="Hyperlink"/>
          </w:rPr>
          <w:t xml:space="preserve">https://arxiv.org/abs/2601.11273</w:t>
        </w:r>
      </w:hyperlink>
      <w:r>
        <w:t xml:space="preserve">.</w:t>
      </w:r>
    </w:p>
    <w:bookmarkEnd w:id="198"/>
    <w:bookmarkStart w:id="200"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9">
        <w:r>
          <w:rPr>
            <w:rStyle w:val="Hyperlink"/>
          </w:rPr>
          <w:t xml:space="preserve">https://arxiv.org/abs/2503.05491</w:t>
        </w:r>
      </w:hyperlink>
      <w:r>
        <w:t xml:space="preserve">.</w:t>
      </w:r>
    </w:p>
    <w:bookmarkEnd w:id="200"/>
    <w:bookmarkStart w:id="202"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201">
        <w:r>
          <w:rPr>
            <w:rStyle w:val="Hyperlink"/>
          </w:rPr>
          <w:t xml:space="preserve">https://arxiv.org/abs/2608.26762</w:t>
        </w:r>
      </w:hyperlink>
      <w:r>
        <w:t xml:space="preserve">.</w:t>
      </w:r>
    </w:p>
    <w:bookmarkEnd w:id="202"/>
    <w:bookmarkStart w:id="204"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203">
        <w:r>
          <w:rPr>
            <w:rStyle w:val="Hyperlink"/>
          </w:rPr>
          <w:t xml:space="preserve">https://doi.org/10.1007/s10791-008-9045-0</w:t>
        </w:r>
      </w:hyperlink>
      <w:r>
        <w:t xml:space="preserve">.</w:t>
      </w:r>
    </w:p>
    <w:bookmarkEnd w:id="204"/>
    <w:bookmarkStart w:id="206"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5">
        <w:r>
          <w:rPr>
            <w:rStyle w:val="Hyperlink"/>
          </w:rPr>
          <w:t xml:space="preserve">https://arxiv.org/abs/2410.20247</w:t>
        </w:r>
      </w:hyperlink>
      <w:r>
        <w:t xml:space="preserve">.</w:t>
      </w:r>
    </w:p>
    <w:bookmarkEnd w:id="206"/>
    <w:bookmarkStart w:id="208"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7">
        <w:r>
          <w:rPr>
            <w:rStyle w:val="Hyperlink"/>
          </w:rPr>
          <w:t xml:space="preserve">https://arxiv.org/abs/2606.20047</w:t>
        </w:r>
      </w:hyperlink>
      <w:r>
        <w:t xml:space="preserve">.</w:t>
      </w:r>
    </w:p>
    <w:bookmarkEnd w:id="208"/>
    <w:bookmarkStart w:id="210"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9">
        <w:r>
          <w:rPr>
            <w:rStyle w:val="Hyperlink"/>
          </w:rPr>
          <w:t xml:space="preserve">https://aclanthology.org/2026.findings-acl.583/</w:t>
        </w:r>
      </w:hyperlink>
      <w:r>
        <w:t xml:space="preserve">.</w:t>
      </w:r>
    </w:p>
    <w:bookmarkEnd w:id="210"/>
    <w:bookmarkStart w:id="212"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11">
        <w:r>
          <w:rPr>
            <w:rStyle w:val="Hyperlink"/>
          </w:rPr>
          <w:t xml:space="preserve">https://arxiv.org/abs/2002.08909</w:t>
        </w:r>
      </w:hyperlink>
      <w:r>
        <w:t xml:space="preserve">.</w:t>
      </w:r>
    </w:p>
    <w:bookmarkEnd w:id="212"/>
    <w:bookmarkStart w:id="214"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13">
        <w:r>
          <w:rPr>
            <w:rStyle w:val="Hyperlink"/>
          </w:rPr>
          <w:t xml:space="preserve">https://arxiv.org/abs/2412.17031</w:t>
        </w:r>
      </w:hyperlink>
      <w:r>
        <w:t xml:space="preserve">.</w:t>
      </w:r>
    </w:p>
    <w:bookmarkEnd w:id="214"/>
    <w:bookmarkStart w:id="216"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15">
        <w:r>
          <w:rPr>
            <w:rStyle w:val="Hyperlink"/>
          </w:rPr>
          <w:t xml:space="preserve">https://aclanthology.org/2025.fever-1.2/</w:t>
        </w:r>
      </w:hyperlink>
      <w:r>
        <w:t xml:space="preserve">.</w:t>
      </w:r>
    </w:p>
    <w:bookmarkEnd w:id="216"/>
    <w:bookmarkStart w:id="218"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7">
        <w:r>
          <w:rPr>
            <w:rStyle w:val="Hyperlink"/>
          </w:rPr>
          <w:t xml:space="preserve">https://arxiv.org/abs/2304.04576</w:t>
        </w:r>
      </w:hyperlink>
      <w:r>
        <w:t xml:space="preserve">.</w:t>
      </w:r>
    </w:p>
    <w:bookmarkEnd w:id="218"/>
    <w:bookmarkStart w:id="220"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9">
        <w:r>
          <w:rPr>
            <w:rStyle w:val="Hyperlink"/>
          </w:rPr>
          <w:t xml:space="preserve">https://www.trychroma.com/research/context-rot</w:t>
        </w:r>
      </w:hyperlink>
      <w:r>
        <w:t xml:space="preserve">.</w:t>
      </w:r>
    </w:p>
    <w:bookmarkEnd w:id="220"/>
    <w:bookmarkStart w:id="222"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21">
        <w:r>
          <w:rPr>
            <w:rStyle w:val="Hyperlink"/>
          </w:rPr>
          <w:t xml:space="preserve">https://arxiv.org/abs/2510.00079</w:t>
        </w:r>
      </w:hyperlink>
      <w:r>
        <w:t xml:space="preserve">.</w:t>
      </w:r>
    </w:p>
    <w:bookmarkEnd w:id="222"/>
    <w:bookmarkStart w:id="224"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23">
        <w:r>
          <w:rPr>
            <w:rStyle w:val="Hyperlink"/>
          </w:rPr>
          <w:t xml:space="preserve">https://arxiv.org/abs/2512.06464</w:t>
        </w:r>
      </w:hyperlink>
      <w:r>
        <w:t xml:space="preserve">.</w:t>
      </w:r>
    </w:p>
    <w:bookmarkEnd w:id="224"/>
    <w:bookmarkStart w:id="226"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25">
        <w:r>
          <w:rPr>
            <w:rStyle w:val="Hyperlink"/>
          </w:rPr>
          <w:t xml:space="preserve">https://arxiv.org/abs/2601.05027</w:t>
        </w:r>
      </w:hyperlink>
      <w:r>
        <w:t xml:space="preserve">.</w:t>
      </w:r>
    </w:p>
    <w:bookmarkEnd w:id="226"/>
    <w:bookmarkStart w:id="228"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7">
        <w:r>
          <w:rPr>
            <w:rStyle w:val="Hyperlink"/>
          </w:rPr>
          <w:t xml:space="preserve">https://arxiv.org/abs/2410.05983</w:t>
        </w:r>
      </w:hyperlink>
      <w:r>
        <w:t xml:space="preserve">.</w:t>
      </w:r>
    </w:p>
    <w:bookmarkEnd w:id="228"/>
    <w:bookmarkStart w:id="230"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9">
        <w:r>
          <w:rPr>
            <w:rStyle w:val="Hyperlink"/>
          </w:rPr>
          <w:t xml:space="preserve">https://arxiv.org/abs/2411.06037</w:t>
        </w:r>
      </w:hyperlink>
      <w:r>
        <w:t xml:space="preserve">.</w:t>
      </w:r>
    </w:p>
    <w:bookmarkEnd w:id="230"/>
    <w:bookmarkStart w:id="232" w:name="ref-khan2025blackwell"/>
    <w:p>
      <w:pPr>
        <w:pStyle w:val="Bibliography"/>
      </w:pPr>
      <w:r>
        <w:t xml:space="preserve">Khan, M. Ali, Haomiao Yu, and Zhixiang Zhang. 2024.</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245: 112146.</w:t>
      </w:r>
      <w:r>
        <w:t xml:space="preserve"> </w:t>
      </w:r>
      <w:hyperlink r:id="rId231">
        <w:r>
          <w:rPr>
            <w:rStyle w:val="Hyperlink"/>
          </w:rPr>
          <w:t xml:space="preserve">https://doi.org/10.1016/j.econlet.2024.112146</w:t>
        </w:r>
      </w:hyperlink>
      <w:r>
        <w:t xml:space="preserve">.</w:t>
      </w:r>
    </w:p>
    <w:bookmarkEnd w:id="232"/>
    <w:bookmarkStart w:id="234"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33">
        <w:r>
          <w:rPr>
            <w:rStyle w:val="Hyperlink"/>
          </w:rPr>
          <w:t xml:space="preserve">https://doi.org/10.1145/3397271.3401075</w:t>
        </w:r>
      </w:hyperlink>
      <w:r>
        <w:t xml:space="preserve">.</w:t>
      </w:r>
    </w:p>
    <w:bookmarkEnd w:id="234"/>
    <w:bookmarkStart w:id="236"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35">
        <w:r>
          <w:rPr>
            <w:rStyle w:val="Hyperlink"/>
          </w:rPr>
          <w:t xml:space="preserve">https://doi.org/10.1214/aoms/1177700372</w:t>
        </w:r>
      </w:hyperlink>
      <w:r>
        <w:t xml:space="preserve">.</w:t>
      </w:r>
    </w:p>
    <w:bookmarkEnd w:id="236"/>
    <w:bookmarkStart w:id="238"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7">
        <w:r>
          <w:rPr>
            <w:rStyle w:val="Hyperlink"/>
          </w:rPr>
          <w:t xml:space="preserve">https://doi.org/10.1007/978-1-4612-4946-7</w:t>
        </w:r>
      </w:hyperlink>
      <w:r>
        <w:t xml:space="preserve">.</w:t>
      </w:r>
    </w:p>
    <w:bookmarkEnd w:id="238"/>
    <w:bookmarkStart w:id="240"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9">
        <w:r>
          <w:rPr>
            <w:rStyle w:val="Hyperlink"/>
          </w:rPr>
          <w:t xml:space="preserve">https://arxiv.org/abs/2504.07104</w:t>
        </w:r>
      </w:hyperlink>
      <w:r>
        <w:t xml:space="preserve">.</w:t>
      </w:r>
    </w:p>
    <w:bookmarkEnd w:id="240"/>
    <w:bookmarkStart w:id="242"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41">
        <w:r>
          <w:rPr>
            <w:rStyle w:val="Hyperlink"/>
          </w:rPr>
          <w:t xml:space="preserve">https://arxiv.org/abs/2503.04388</w:t>
        </w:r>
      </w:hyperlink>
      <w:r>
        <w:t xml:space="preserve">.</w:t>
      </w:r>
    </w:p>
    <w:bookmarkEnd w:id="242"/>
    <w:bookmarkStart w:id="244"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43">
        <w:r>
          <w:rPr>
            <w:rStyle w:val="Hyperlink"/>
          </w:rPr>
          <w:t xml:space="preserve">https://arxiv.org/abs/2605.05716</w:t>
        </w:r>
      </w:hyperlink>
      <w:r>
        <w:t xml:space="preserve">.</w:t>
      </w:r>
    </w:p>
    <w:bookmarkEnd w:id="244"/>
    <w:bookmarkStart w:id="246"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45">
        <w:r>
          <w:rPr>
            <w:rStyle w:val="Hyperlink"/>
          </w:rPr>
          <w:t xml:space="preserve">https://arxiv.org/abs/2307.03172</w:t>
        </w:r>
      </w:hyperlink>
      <w:r>
        <w:t xml:space="preserve">.</w:t>
      </w:r>
    </w:p>
    <w:bookmarkEnd w:id="246"/>
    <w:bookmarkStart w:id="248"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7">
        <w:r>
          <w:rPr>
            <w:rStyle w:val="Hyperlink"/>
          </w:rPr>
          <w:t xml:space="preserve">https://arxiv.org/abs/2411.00640</w:t>
        </w:r>
      </w:hyperlink>
      <w:r>
        <w:t xml:space="preserve">.</w:t>
      </w:r>
    </w:p>
    <w:bookmarkEnd w:id="248"/>
    <w:bookmarkStart w:id="250"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9">
        <w:r>
          <w:rPr>
            <w:rStyle w:val="Hyperlink"/>
          </w:rPr>
          <w:t xml:space="preserve">https://doi.org/10.1007/978-3-032-19099-4_23</w:t>
        </w:r>
      </w:hyperlink>
      <w:r>
        <w:t xml:space="preserve">.</w:t>
      </w:r>
    </w:p>
    <w:bookmarkEnd w:id="250"/>
    <w:bookmarkStart w:id="252"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51">
        <w:r>
          <w:rPr>
            <w:rStyle w:val="Hyperlink"/>
          </w:rPr>
          <w:t xml:space="preserve">https://arxiv.org/abs/2604.06621</w:t>
        </w:r>
      </w:hyperlink>
      <w:r>
        <w:t xml:space="preserve">.</w:t>
      </w:r>
    </w:p>
    <w:bookmarkEnd w:id="252"/>
    <w:bookmarkStart w:id="254"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53">
        <w:r>
          <w:rPr>
            <w:rStyle w:val="Hyperlink"/>
          </w:rPr>
          <w:t xml:space="preserve">https://arxiv.org/abs/2605.03534</w:t>
        </w:r>
      </w:hyperlink>
      <w:r>
        <w:t xml:space="preserve">.</w:t>
      </w:r>
    </w:p>
    <w:bookmarkEnd w:id="254"/>
    <w:bookmarkStart w:id="256"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55">
        <w:r>
          <w:rPr>
            <w:rStyle w:val="Hyperlink"/>
          </w:rPr>
          <w:t xml:space="preserve">https://doi.org/10.1108/eb026647</w:t>
        </w:r>
      </w:hyperlink>
      <w:r>
        <w:t xml:space="preserve">.</w:t>
      </w:r>
    </w:p>
    <w:bookmarkEnd w:id="256"/>
    <w:bookmarkStart w:id="258"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7">
        <w:r>
          <w:rPr>
            <w:rStyle w:val="Hyperlink"/>
          </w:rPr>
          <w:t xml:space="preserve">https://arxiv.org/abs/1402.4884</w:t>
        </w:r>
      </w:hyperlink>
      <w:r>
        <w:t xml:space="preserve">.</w:t>
      </w:r>
    </w:p>
    <w:bookmarkEnd w:id="258"/>
    <w:bookmarkStart w:id="260"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9">
        <w:r>
          <w:rPr>
            <w:rStyle w:val="Hyperlink"/>
          </w:rPr>
          <w:t xml:space="preserve">https://arxiv.org/abs/2302.00093</w:t>
        </w:r>
      </w:hyperlink>
      <w:r>
        <w:t xml:space="preserve">.</w:t>
      </w:r>
    </w:p>
    <w:bookmarkEnd w:id="260"/>
    <w:bookmarkStart w:id="262"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61">
        <w:r>
          <w:rPr>
            <w:rStyle w:val="Hyperlink"/>
          </w:rPr>
          <w:t xml:space="preserve">https://arxiv.org/abs/2301.12652</w:t>
        </w:r>
      </w:hyperlink>
      <w:r>
        <w:t xml:space="preserve">.</w:t>
      </w:r>
    </w:p>
    <w:bookmarkEnd w:id="262"/>
    <w:bookmarkStart w:id="264"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63">
        <w:r>
          <w:rPr>
            <w:rStyle w:val="Hyperlink"/>
          </w:rPr>
          <w:t xml:space="preserve">https://arxiv.org/abs/2304.09542</w:t>
        </w:r>
      </w:hyperlink>
      <w:r>
        <w:t xml:space="preserve">.</w:t>
      </w:r>
    </w:p>
    <w:bookmarkEnd w:id="264"/>
    <w:bookmarkStart w:id="266"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65">
        <w:r>
          <w:rPr>
            <w:rStyle w:val="Hyperlink"/>
          </w:rPr>
          <w:t xml:space="preserve">https://doi.org/10.1017/CBO9780511666353</w:t>
        </w:r>
      </w:hyperlink>
      <w:r>
        <w:t xml:space="preserve">.</w:t>
      </w:r>
    </w:p>
    <w:bookmarkEnd w:id="266"/>
    <w:bookmarkStart w:id="268"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7">
        <w:r>
          <w:rPr>
            <w:rStyle w:val="Hyperlink"/>
          </w:rPr>
          <w:t xml:space="preserve">https://arxiv.org/abs/2402.11750</w:t>
        </w:r>
      </w:hyperlink>
      <w:r>
        <w:t xml:space="preserve">.</w:t>
      </w:r>
    </w:p>
    <w:bookmarkEnd w:id="268"/>
    <w:bookmarkStart w:id="270"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9">
        <w:r>
          <w:rPr>
            <w:rStyle w:val="Hyperlink"/>
          </w:rPr>
          <w:t xml:space="preserve">https://arxiv.org/abs/2602.08294</w:t>
        </w:r>
      </w:hyperlink>
      <w:r>
        <w:t xml:space="preserve">.</w:t>
      </w:r>
    </w:p>
    <w:bookmarkEnd w:id="270"/>
    <w:bookmarkStart w:id="272"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71">
        <w:r>
          <w:rPr>
            <w:rStyle w:val="Hyperlink"/>
          </w:rPr>
          <w:t xml:space="preserve">https://doi.org/10.1145/1571941.1571963</w:t>
        </w:r>
      </w:hyperlink>
      <w:r>
        <w:t xml:space="preserve">.</w:t>
      </w:r>
    </w:p>
    <w:bookmarkEnd w:id="272"/>
    <w:bookmarkStart w:id="274"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73">
        <w:r>
          <w:rPr>
            <w:rStyle w:val="Hyperlink"/>
          </w:rPr>
          <w:t xml:space="preserve">https://arxiv.org/abs/2410.07523</w:t>
        </w:r>
      </w:hyperlink>
      <w:r>
        <w:t xml:space="preserve">.</w:t>
      </w:r>
    </w:p>
    <w:bookmarkEnd w:id="274"/>
    <w:bookmarkStart w:id="276"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75">
        <w:r>
          <w:rPr>
            <w:rStyle w:val="Hyperlink"/>
          </w:rPr>
          <w:t xml:space="preserve">https://arxiv.org/abs/2403.08319</w:t>
        </w:r>
      </w:hyperlink>
      <w:r>
        <w:t xml:space="preserve">.</w:t>
      </w:r>
    </w:p>
    <w:bookmarkEnd w:id="276"/>
    <w:bookmarkStart w:id="278"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7">
        <w:r>
          <w:rPr>
            <w:rStyle w:val="Hyperlink"/>
          </w:rPr>
          <w:t xml:space="preserve">https://arxiv.org/abs/2302.05698</w:t>
        </w:r>
      </w:hyperlink>
      <w:r>
        <w:t xml:space="preserve">.</w:t>
      </w:r>
    </w:p>
    <w:bookmarkEnd w:id="278"/>
    <w:bookmarkStart w:id="280"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9">
        <w:r>
          <w:rPr>
            <w:rStyle w:val="Hyperlink"/>
          </w:rPr>
          <w:t xml:space="preserve">https://arxiv.org/abs/2407.02485</w:t>
        </w:r>
      </w:hyperlink>
      <w:r>
        <w:t xml:space="preserve">.</w:t>
      </w:r>
    </w:p>
    <w:bookmarkEnd w:id="280"/>
    <w:bookmarkStart w:id="282"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81">
        <w:r>
          <w:rPr>
            <w:rStyle w:val="Hyperlink"/>
          </w:rPr>
          <w:t xml:space="preserve">https://arxiv.org/abs/2504.15630</w:t>
        </w:r>
      </w:hyperlink>
      <w:r>
        <w:t xml:space="preserve">.</w:t>
      </w:r>
    </w:p>
    <w:bookmarkEnd w:id="282"/>
    <w:bookmarkStart w:id="284"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83">
        <w:r>
          <w:rPr>
            <w:rStyle w:val="Hyperlink"/>
          </w:rPr>
          <w:t xml:space="preserve">https://arxiv.org/abs/2510.11358</w:t>
        </w:r>
      </w:hyperlink>
      <w:r>
        <w:t xml:space="preserve">.</w:t>
      </w:r>
    </w:p>
    <w:bookmarkEnd w:id="284"/>
    <w:bookmarkStart w:id="286"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85">
        <w:r>
          <w:rPr>
            <w:rStyle w:val="Hyperlink"/>
          </w:rPr>
          <w:t xml:space="preserve">https://arxiv.org/abs/2604.08920</w:t>
        </w:r>
      </w:hyperlink>
      <w:r>
        <w:t xml:space="preserve">.</w:t>
      </w:r>
    </w:p>
    <w:bookmarkEnd w:id="286"/>
    <w:bookmarkStart w:id="288"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7">
        <w:r>
          <w:rPr>
            <w:rStyle w:val="Hyperlink"/>
          </w:rPr>
          <w:t xml:space="preserve">https://arxiv.org/abs/2605.06028</w:t>
        </w:r>
      </w:hyperlink>
      <w:r>
        <w:t xml:space="preserve">.</w:t>
      </w:r>
    </w:p>
    <w:bookmarkEnd w:id="288"/>
    <w:bookmarkStart w:id="289"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9"/>
    <w:bookmarkStart w:id="291"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90">
        <w:r>
          <w:rPr>
            <w:rStyle w:val="Hyperlink"/>
          </w:rPr>
          <w:t xml:space="preserve">https://arxiv.org/abs/2405.18253</w:t>
        </w:r>
      </w:hyperlink>
      <w:r>
        <w:t xml:space="preserve">.</w:t>
      </w:r>
    </w:p>
    <w:bookmarkEnd w:id="291"/>
    <w:bookmarkStart w:id="293"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92">
        <w:r>
          <w:rPr>
            <w:rStyle w:val="Hyperlink"/>
          </w:rPr>
          <w:t xml:space="preserve">https://doi.org/10.1145/3802111</w:t>
        </w:r>
      </w:hyperlink>
      <w:r>
        <w:t xml:space="preserve">.</w:t>
      </w:r>
    </w:p>
    <w:bookmarkEnd w:id="293"/>
    <w:bookmarkStart w:id="295"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94">
        <w:r>
          <w:rPr>
            <w:rStyle w:val="Hyperlink"/>
          </w:rPr>
          <w:t xml:space="preserve">https://doi.org/10.1007/978-3-642-12275-0_32</w:t>
        </w:r>
      </w:hyperlink>
      <w:r>
        <w:t xml:space="preserve">.</w:t>
      </w:r>
    </w:p>
    <w:bookmarkEnd w:id="295"/>
    <w:bookmarkEnd w:id="296"/>
    <w:bookmarkEnd w:id="297"/>
    <w:bookmarkEnd w:id="2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0" Target="http://www.vldb.org/pvldb/vol6/p37-dong.pdf" TargetMode="External" /><Relationship Type="http://schemas.openxmlformats.org/officeDocument/2006/relationships/hyperlink" Id="rId215" Target="https://aclanthology.org/2025.fever-1.2/" TargetMode="External" /><Relationship Type="http://schemas.openxmlformats.org/officeDocument/2006/relationships/hyperlink" Id="rId209" Target="https://aclanthology.org/2026.findings-acl.583/" TargetMode="External" /><Relationship Type="http://schemas.openxmlformats.org/officeDocument/2006/relationships/hyperlink" Id="rId257" Target="https://arxiv.org/abs/1402.4884" TargetMode="External" /><Relationship Type="http://schemas.openxmlformats.org/officeDocument/2006/relationships/hyperlink" Id="rId211" Target="https://arxiv.org/abs/2002.08909" TargetMode="External" /><Relationship Type="http://schemas.openxmlformats.org/officeDocument/2006/relationships/hyperlink" Id="rId261" Target="https://arxiv.org/abs/2301.12652" TargetMode="External" /><Relationship Type="http://schemas.openxmlformats.org/officeDocument/2006/relationships/hyperlink" Id="rId259" Target="https://arxiv.org/abs/2302.00093" TargetMode="External" /><Relationship Type="http://schemas.openxmlformats.org/officeDocument/2006/relationships/hyperlink" Id="rId277" Target="https://arxiv.org/abs/2302.05698" TargetMode="External" /><Relationship Type="http://schemas.openxmlformats.org/officeDocument/2006/relationships/hyperlink" Id="rId217" Target="https://arxiv.org/abs/2304.04576" TargetMode="External" /><Relationship Type="http://schemas.openxmlformats.org/officeDocument/2006/relationships/hyperlink" Id="rId263" Target="https://arxiv.org/abs/2304.09542" TargetMode="External" /><Relationship Type="http://schemas.openxmlformats.org/officeDocument/2006/relationships/hyperlink" Id="rId245" Target="https://arxiv.org/abs/2307.03172" TargetMode="External" /><Relationship Type="http://schemas.openxmlformats.org/officeDocument/2006/relationships/hyperlink" Id="rId186" Target="https://arxiv.org/abs/2401.14887" TargetMode="External" /><Relationship Type="http://schemas.openxmlformats.org/officeDocument/2006/relationships/hyperlink" Id="rId267" Target="https://arxiv.org/abs/2402.11750" TargetMode="External" /><Relationship Type="http://schemas.openxmlformats.org/officeDocument/2006/relationships/hyperlink" Id="rId275" Target="https://arxiv.org/abs/2403.08319" TargetMode="External" /><Relationship Type="http://schemas.openxmlformats.org/officeDocument/2006/relationships/hyperlink" Id="rId290" Target="https://arxiv.org/abs/2405.18253" TargetMode="External" /><Relationship Type="http://schemas.openxmlformats.org/officeDocument/2006/relationships/hyperlink" Id="rId279" Target="https://arxiv.org/abs/2407.02485" TargetMode="External" /><Relationship Type="http://schemas.openxmlformats.org/officeDocument/2006/relationships/hyperlink" Id="rId227" Target="https://arxiv.org/abs/2410.05983" TargetMode="External" /><Relationship Type="http://schemas.openxmlformats.org/officeDocument/2006/relationships/hyperlink" Id="rId273" Target="https://arxiv.org/abs/2410.07523" TargetMode="External" /><Relationship Type="http://schemas.openxmlformats.org/officeDocument/2006/relationships/hyperlink" Id="rId205" Target="https://arxiv.org/abs/2410.20247" TargetMode="External" /><Relationship Type="http://schemas.openxmlformats.org/officeDocument/2006/relationships/hyperlink" Id="rId247" Target="https://arxiv.org/abs/2411.00640" TargetMode="External" /><Relationship Type="http://schemas.openxmlformats.org/officeDocument/2006/relationships/hyperlink" Id="rId172" Target="https://arxiv.org/abs/2411.01533" TargetMode="External" /><Relationship Type="http://schemas.openxmlformats.org/officeDocument/2006/relationships/hyperlink" Id="rId229" Target="https://arxiv.org/abs/2411.06037" TargetMode="External" /><Relationship Type="http://schemas.openxmlformats.org/officeDocument/2006/relationships/hyperlink" Id="rId213" Target="https://arxiv.org/abs/2412.17031" TargetMode="External" /><Relationship Type="http://schemas.openxmlformats.org/officeDocument/2006/relationships/hyperlink" Id="rId188" Target="https://arxiv.org/abs/2503.01478" TargetMode="External" /><Relationship Type="http://schemas.openxmlformats.org/officeDocument/2006/relationships/hyperlink" Id="rId170" Target="https://arxiv.org/abs/2503.01747" TargetMode="External" /><Relationship Type="http://schemas.openxmlformats.org/officeDocument/2006/relationships/hyperlink" Id="rId241" Target="https://arxiv.org/abs/2503.04388" TargetMode="External" /><Relationship Type="http://schemas.openxmlformats.org/officeDocument/2006/relationships/hyperlink" Id="rId199" Target="https://arxiv.org/abs/2503.05491" TargetMode="External" /><Relationship Type="http://schemas.openxmlformats.org/officeDocument/2006/relationships/hyperlink" Id="rId239" Target="https://arxiv.org/abs/2504.07104" TargetMode="External" /><Relationship Type="http://schemas.openxmlformats.org/officeDocument/2006/relationships/hyperlink" Id="rId281" Target="https://arxiv.org/abs/2504.15630" TargetMode="External" /><Relationship Type="http://schemas.openxmlformats.org/officeDocument/2006/relationships/hyperlink" Id="rId178" Target="https://arxiv.org/abs/2507.03279" TargetMode="External" /><Relationship Type="http://schemas.openxmlformats.org/officeDocument/2006/relationships/hyperlink" Id="rId182" Target="https://arxiv.org/abs/2508.21184" TargetMode="External" /><Relationship Type="http://schemas.openxmlformats.org/officeDocument/2006/relationships/hyperlink" Id="rId221" Target="https://arxiv.org/abs/2510.00079" TargetMode="External" /><Relationship Type="http://schemas.openxmlformats.org/officeDocument/2006/relationships/hyperlink" Id="rId192" Target="https://arxiv.org/abs/2510.05381" TargetMode="External" /><Relationship Type="http://schemas.openxmlformats.org/officeDocument/2006/relationships/hyperlink" Id="rId283" Target="https://arxiv.org/abs/2510.11358" TargetMode="External" /><Relationship Type="http://schemas.openxmlformats.org/officeDocument/2006/relationships/hyperlink" Id="rId176" Target="https://arxiv.org/abs/2511.17908" TargetMode="External" /><Relationship Type="http://schemas.openxmlformats.org/officeDocument/2006/relationships/hyperlink" Id="rId223" Target="https://arxiv.org/abs/2512.06464" TargetMode="External" /><Relationship Type="http://schemas.openxmlformats.org/officeDocument/2006/relationships/hyperlink" Id="rId156" Target="https://arxiv.org/abs/2512.23617" TargetMode="External" /><Relationship Type="http://schemas.openxmlformats.org/officeDocument/2006/relationships/hyperlink" Id="rId225" Target="https://arxiv.org/abs/2601.05027" TargetMode="External" /><Relationship Type="http://schemas.openxmlformats.org/officeDocument/2006/relationships/hyperlink" Id="rId197" Target="https://arxiv.org/abs/2601.11273" TargetMode="External" /><Relationship Type="http://schemas.openxmlformats.org/officeDocument/2006/relationships/hyperlink" Id="rId180" Target="https://arxiv.org/abs/2601.16478" TargetMode="External" /><Relationship Type="http://schemas.openxmlformats.org/officeDocument/2006/relationships/hyperlink" Id="rId269" Target="https://arxiv.org/abs/2602.08294" TargetMode="External" /><Relationship Type="http://schemas.openxmlformats.org/officeDocument/2006/relationships/hyperlink" Id="rId251" Target="https://arxiv.org/abs/2604.06621" TargetMode="External" /><Relationship Type="http://schemas.openxmlformats.org/officeDocument/2006/relationships/hyperlink" Id="rId285" Target="https://arxiv.org/abs/2604.08920" TargetMode="External" /><Relationship Type="http://schemas.openxmlformats.org/officeDocument/2006/relationships/hyperlink" Id="rId253" Target="https://arxiv.org/abs/2605.03534" TargetMode="External" /><Relationship Type="http://schemas.openxmlformats.org/officeDocument/2006/relationships/hyperlink" Id="rId243" Target="https://arxiv.org/abs/2605.05716" TargetMode="External" /><Relationship Type="http://schemas.openxmlformats.org/officeDocument/2006/relationships/hyperlink" Id="rId287" Target="https://arxiv.org/abs/2605.06028" TargetMode="External" /><Relationship Type="http://schemas.openxmlformats.org/officeDocument/2006/relationships/hyperlink" Id="rId207" Target="https://arxiv.org/abs/2606.20047" TargetMode="External" /><Relationship Type="http://schemas.openxmlformats.org/officeDocument/2006/relationships/hyperlink" Id="rId201" Target="https://arxiv.org/abs/2608.26762" TargetMode="External" /><Relationship Type="http://schemas.openxmlformats.org/officeDocument/2006/relationships/hyperlink" Id="rId237" Target="https://doi.org/10.1007/978-1-4612-4946-7" TargetMode="External" /><Relationship Type="http://schemas.openxmlformats.org/officeDocument/2006/relationships/hyperlink" Id="rId249" Target="https://doi.org/10.1007/978-3-032-19099-4_23" TargetMode="External" /><Relationship Type="http://schemas.openxmlformats.org/officeDocument/2006/relationships/hyperlink" Id="rId294" Target="https://doi.org/10.1007/978-3-642-12275-0_32" TargetMode="External" /><Relationship Type="http://schemas.openxmlformats.org/officeDocument/2006/relationships/hyperlink" Id="rId203" Target="https://doi.org/10.1007/s10791-008-9045-0" TargetMode="External" /><Relationship Type="http://schemas.openxmlformats.org/officeDocument/2006/relationships/hyperlink" Id="rId231" Target="https://doi.org/10.1016/j.econlet.2024.112146" TargetMode="External" /><Relationship Type="http://schemas.openxmlformats.org/officeDocument/2006/relationships/hyperlink" Id="rId265" Target="https://doi.org/10.1017/CBO9780511666353" TargetMode="External" /><Relationship Type="http://schemas.openxmlformats.org/officeDocument/2006/relationships/hyperlink" Id="rId184" Target="https://doi.org/10.1093/biomet/26.4.404" TargetMode="External" /><Relationship Type="http://schemas.openxmlformats.org/officeDocument/2006/relationships/hyperlink" Id="rId255" Target="https://doi.org/10.1108/eb026647" TargetMode="External" /><Relationship Type="http://schemas.openxmlformats.org/officeDocument/2006/relationships/hyperlink" Id="rId165" Target="https://doi.org/10.1109/ISIT.2014.6875280" TargetMode="External" /><Relationship Type="http://schemas.openxmlformats.org/officeDocument/2006/relationships/hyperlink" Id="rId271" Target="https://doi.org/10.1145/1571941.1571963" TargetMode="External" /><Relationship Type="http://schemas.openxmlformats.org/officeDocument/2006/relationships/hyperlink" Id="rId174" Target="https://doi.org/10.1145/290941.291025" TargetMode="External" /><Relationship Type="http://schemas.openxmlformats.org/officeDocument/2006/relationships/hyperlink" Id="rId233" Target="https://doi.org/10.1145/3397271.3401075" TargetMode="External" /><Relationship Type="http://schemas.openxmlformats.org/officeDocument/2006/relationships/hyperlink" Id="rId292" Target="https://doi.org/10.1145/3802111" TargetMode="External" /><Relationship Type="http://schemas.openxmlformats.org/officeDocument/2006/relationships/hyperlink" Id="rId235" Target="https://doi.org/10.1214/aoms/1177700372" TargetMode="External" /><Relationship Type="http://schemas.openxmlformats.org/officeDocument/2006/relationships/hyperlink" Id="rId194" Target="https://doi.org/10.1214/aoms/1177728174" TargetMode="External" /><Relationship Type="http://schemas.openxmlformats.org/officeDocument/2006/relationships/hyperlink" Id="rId167" Target="https://doi.org/10.1214/aoms/1177729032" TargetMode="External" /><Relationship Type="http://schemas.openxmlformats.org/officeDocument/2006/relationships/hyperlink" Id="rId160" Target="https://doi.org/10.5281/zenodo.20800031" TargetMode="External" /><Relationship Type="http://schemas.openxmlformats.org/officeDocument/2006/relationships/hyperlink" Id="rId158" Target="https://doi.org/10.5281/zenodo.20800175" TargetMode="External" /><Relationship Type="http://schemas.openxmlformats.org/officeDocument/2006/relationships/hyperlink" Id="rId162"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9"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0" Target="http://www.vldb.org/pvldb/vol6/p37-dong.pdf" TargetMode="External" /><Relationship Type="http://schemas.openxmlformats.org/officeDocument/2006/relationships/hyperlink" Id="rId215" Target="https://aclanthology.org/2025.fever-1.2/" TargetMode="External" /><Relationship Type="http://schemas.openxmlformats.org/officeDocument/2006/relationships/hyperlink" Id="rId209" Target="https://aclanthology.org/2026.findings-acl.583/" TargetMode="External" /><Relationship Type="http://schemas.openxmlformats.org/officeDocument/2006/relationships/hyperlink" Id="rId257" Target="https://arxiv.org/abs/1402.4884" TargetMode="External" /><Relationship Type="http://schemas.openxmlformats.org/officeDocument/2006/relationships/hyperlink" Id="rId211" Target="https://arxiv.org/abs/2002.08909" TargetMode="External" /><Relationship Type="http://schemas.openxmlformats.org/officeDocument/2006/relationships/hyperlink" Id="rId261" Target="https://arxiv.org/abs/2301.12652" TargetMode="External" /><Relationship Type="http://schemas.openxmlformats.org/officeDocument/2006/relationships/hyperlink" Id="rId259" Target="https://arxiv.org/abs/2302.00093" TargetMode="External" /><Relationship Type="http://schemas.openxmlformats.org/officeDocument/2006/relationships/hyperlink" Id="rId277" Target="https://arxiv.org/abs/2302.05698" TargetMode="External" /><Relationship Type="http://schemas.openxmlformats.org/officeDocument/2006/relationships/hyperlink" Id="rId217" Target="https://arxiv.org/abs/2304.04576" TargetMode="External" /><Relationship Type="http://schemas.openxmlformats.org/officeDocument/2006/relationships/hyperlink" Id="rId263" Target="https://arxiv.org/abs/2304.09542" TargetMode="External" /><Relationship Type="http://schemas.openxmlformats.org/officeDocument/2006/relationships/hyperlink" Id="rId245" Target="https://arxiv.org/abs/2307.03172" TargetMode="External" /><Relationship Type="http://schemas.openxmlformats.org/officeDocument/2006/relationships/hyperlink" Id="rId186" Target="https://arxiv.org/abs/2401.14887" TargetMode="External" /><Relationship Type="http://schemas.openxmlformats.org/officeDocument/2006/relationships/hyperlink" Id="rId267" Target="https://arxiv.org/abs/2402.11750" TargetMode="External" /><Relationship Type="http://schemas.openxmlformats.org/officeDocument/2006/relationships/hyperlink" Id="rId275" Target="https://arxiv.org/abs/2403.08319" TargetMode="External" /><Relationship Type="http://schemas.openxmlformats.org/officeDocument/2006/relationships/hyperlink" Id="rId290" Target="https://arxiv.org/abs/2405.18253" TargetMode="External" /><Relationship Type="http://schemas.openxmlformats.org/officeDocument/2006/relationships/hyperlink" Id="rId279" Target="https://arxiv.org/abs/2407.02485" TargetMode="External" /><Relationship Type="http://schemas.openxmlformats.org/officeDocument/2006/relationships/hyperlink" Id="rId227" Target="https://arxiv.org/abs/2410.05983" TargetMode="External" /><Relationship Type="http://schemas.openxmlformats.org/officeDocument/2006/relationships/hyperlink" Id="rId273" Target="https://arxiv.org/abs/2410.07523" TargetMode="External" /><Relationship Type="http://schemas.openxmlformats.org/officeDocument/2006/relationships/hyperlink" Id="rId205" Target="https://arxiv.org/abs/2410.20247" TargetMode="External" /><Relationship Type="http://schemas.openxmlformats.org/officeDocument/2006/relationships/hyperlink" Id="rId247" Target="https://arxiv.org/abs/2411.00640" TargetMode="External" /><Relationship Type="http://schemas.openxmlformats.org/officeDocument/2006/relationships/hyperlink" Id="rId172" Target="https://arxiv.org/abs/2411.01533" TargetMode="External" /><Relationship Type="http://schemas.openxmlformats.org/officeDocument/2006/relationships/hyperlink" Id="rId229" Target="https://arxiv.org/abs/2411.06037" TargetMode="External" /><Relationship Type="http://schemas.openxmlformats.org/officeDocument/2006/relationships/hyperlink" Id="rId213" Target="https://arxiv.org/abs/2412.17031" TargetMode="External" /><Relationship Type="http://schemas.openxmlformats.org/officeDocument/2006/relationships/hyperlink" Id="rId188" Target="https://arxiv.org/abs/2503.01478" TargetMode="External" /><Relationship Type="http://schemas.openxmlformats.org/officeDocument/2006/relationships/hyperlink" Id="rId170" Target="https://arxiv.org/abs/2503.01747" TargetMode="External" /><Relationship Type="http://schemas.openxmlformats.org/officeDocument/2006/relationships/hyperlink" Id="rId241" Target="https://arxiv.org/abs/2503.04388" TargetMode="External" /><Relationship Type="http://schemas.openxmlformats.org/officeDocument/2006/relationships/hyperlink" Id="rId199" Target="https://arxiv.org/abs/2503.05491" TargetMode="External" /><Relationship Type="http://schemas.openxmlformats.org/officeDocument/2006/relationships/hyperlink" Id="rId239" Target="https://arxiv.org/abs/2504.07104" TargetMode="External" /><Relationship Type="http://schemas.openxmlformats.org/officeDocument/2006/relationships/hyperlink" Id="rId281" Target="https://arxiv.org/abs/2504.15630" TargetMode="External" /><Relationship Type="http://schemas.openxmlformats.org/officeDocument/2006/relationships/hyperlink" Id="rId178" Target="https://arxiv.org/abs/2507.03279" TargetMode="External" /><Relationship Type="http://schemas.openxmlformats.org/officeDocument/2006/relationships/hyperlink" Id="rId182" Target="https://arxiv.org/abs/2508.21184" TargetMode="External" /><Relationship Type="http://schemas.openxmlformats.org/officeDocument/2006/relationships/hyperlink" Id="rId221" Target="https://arxiv.org/abs/2510.00079" TargetMode="External" /><Relationship Type="http://schemas.openxmlformats.org/officeDocument/2006/relationships/hyperlink" Id="rId192" Target="https://arxiv.org/abs/2510.05381" TargetMode="External" /><Relationship Type="http://schemas.openxmlformats.org/officeDocument/2006/relationships/hyperlink" Id="rId283" Target="https://arxiv.org/abs/2510.11358" TargetMode="External" /><Relationship Type="http://schemas.openxmlformats.org/officeDocument/2006/relationships/hyperlink" Id="rId176" Target="https://arxiv.org/abs/2511.17908" TargetMode="External" /><Relationship Type="http://schemas.openxmlformats.org/officeDocument/2006/relationships/hyperlink" Id="rId223" Target="https://arxiv.org/abs/2512.06464" TargetMode="External" /><Relationship Type="http://schemas.openxmlformats.org/officeDocument/2006/relationships/hyperlink" Id="rId156" Target="https://arxiv.org/abs/2512.23617" TargetMode="External" /><Relationship Type="http://schemas.openxmlformats.org/officeDocument/2006/relationships/hyperlink" Id="rId225" Target="https://arxiv.org/abs/2601.05027" TargetMode="External" /><Relationship Type="http://schemas.openxmlformats.org/officeDocument/2006/relationships/hyperlink" Id="rId197" Target="https://arxiv.org/abs/2601.11273" TargetMode="External" /><Relationship Type="http://schemas.openxmlformats.org/officeDocument/2006/relationships/hyperlink" Id="rId180" Target="https://arxiv.org/abs/2601.16478" TargetMode="External" /><Relationship Type="http://schemas.openxmlformats.org/officeDocument/2006/relationships/hyperlink" Id="rId269" Target="https://arxiv.org/abs/2602.08294" TargetMode="External" /><Relationship Type="http://schemas.openxmlformats.org/officeDocument/2006/relationships/hyperlink" Id="rId251" Target="https://arxiv.org/abs/2604.06621" TargetMode="External" /><Relationship Type="http://schemas.openxmlformats.org/officeDocument/2006/relationships/hyperlink" Id="rId285" Target="https://arxiv.org/abs/2604.08920" TargetMode="External" /><Relationship Type="http://schemas.openxmlformats.org/officeDocument/2006/relationships/hyperlink" Id="rId253" Target="https://arxiv.org/abs/2605.03534" TargetMode="External" /><Relationship Type="http://schemas.openxmlformats.org/officeDocument/2006/relationships/hyperlink" Id="rId243" Target="https://arxiv.org/abs/2605.05716" TargetMode="External" /><Relationship Type="http://schemas.openxmlformats.org/officeDocument/2006/relationships/hyperlink" Id="rId287" Target="https://arxiv.org/abs/2605.06028" TargetMode="External" /><Relationship Type="http://schemas.openxmlformats.org/officeDocument/2006/relationships/hyperlink" Id="rId207" Target="https://arxiv.org/abs/2606.20047" TargetMode="External" /><Relationship Type="http://schemas.openxmlformats.org/officeDocument/2006/relationships/hyperlink" Id="rId201" Target="https://arxiv.org/abs/2608.26762" TargetMode="External" /><Relationship Type="http://schemas.openxmlformats.org/officeDocument/2006/relationships/hyperlink" Id="rId237" Target="https://doi.org/10.1007/978-1-4612-4946-7" TargetMode="External" /><Relationship Type="http://schemas.openxmlformats.org/officeDocument/2006/relationships/hyperlink" Id="rId249" Target="https://doi.org/10.1007/978-3-032-19099-4_23" TargetMode="External" /><Relationship Type="http://schemas.openxmlformats.org/officeDocument/2006/relationships/hyperlink" Id="rId294" Target="https://doi.org/10.1007/978-3-642-12275-0_32" TargetMode="External" /><Relationship Type="http://schemas.openxmlformats.org/officeDocument/2006/relationships/hyperlink" Id="rId203" Target="https://doi.org/10.1007/s10791-008-9045-0" TargetMode="External" /><Relationship Type="http://schemas.openxmlformats.org/officeDocument/2006/relationships/hyperlink" Id="rId231" Target="https://doi.org/10.1016/j.econlet.2024.112146" TargetMode="External" /><Relationship Type="http://schemas.openxmlformats.org/officeDocument/2006/relationships/hyperlink" Id="rId265" Target="https://doi.org/10.1017/CBO9780511666353" TargetMode="External" /><Relationship Type="http://schemas.openxmlformats.org/officeDocument/2006/relationships/hyperlink" Id="rId184" Target="https://doi.org/10.1093/biomet/26.4.404" TargetMode="External" /><Relationship Type="http://schemas.openxmlformats.org/officeDocument/2006/relationships/hyperlink" Id="rId255" Target="https://doi.org/10.1108/eb026647" TargetMode="External" /><Relationship Type="http://schemas.openxmlformats.org/officeDocument/2006/relationships/hyperlink" Id="rId165" Target="https://doi.org/10.1109/ISIT.2014.6875280" TargetMode="External" /><Relationship Type="http://schemas.openxmlformats.org/officeDocument/2006/relationships/hyperlink" Id="rId271" Target="https://doi.org/10.1145/1571941.1571963" TargetMode="External" /><Relationship Type="http://schemas.openxmlformats.org/officeDocument/2006/relationships/hyperlink" Id="rId174" Target="https://doi.org/10.1145/290941.291025" TargetMode="External" /><Relationship Type="http://schemas.openxmlformats.org/officeDocument/2006/relationships/hyperlink" Id="rId233" Target="https://doi.org/10.1145/3397271.3401075" TargetMode="External" /><Relationship Type="http://schemas.openxmlformats.org/officeDocument/2006/relationships/hyperlink" Id="rId292" Target="https://doi.org/10.1145/3802111" TargetMode="External" /><Relationship Type="http://schemas.openxmlformats.org/officeDocument/2006/relationships/hyperlink" Id="rId235" Target="https://doi.org/10.1214/aoms/1177700372" TargetMode="External" /><Relationship Type="http://schemas.openxmlformats.org/officeDocument/2006/relationships/hyperlink" Id="rId194" Target="https://doi.org/10.1214/aoms/1177728174" TargetMode="External" /><Relationship Type="http://schemas.openxmlformats.org/officeDocument/2006/relationships/hyperlink" Id="rId167" Target="https://doi.org/10.1214/aoms/1177729032" TargetMode="External" /><Relationship Type="http://schemas.openxmlformats.org/officeDocument/2006/relationships/hyperlink" Id="rId160" Target="https://doi.org/10.5281/zenodo.20800031" TargetMode="External" /><Relationship Type="http://schemas.openxmlformats.org/officeDocument/2006/relationships/hyperlink" Id="rId158" Target="https://doi.org/10.5281/zenodo.20800175" TargetMode="External" /><Relationship Type="http://schemas.openxmlformats.org/officeDocument/2006/relationships/hyperlink" Id="rId162"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9"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2026-09-09T04:18:12Z</dcterms:created>
  <dcterms:modified xsi:type="dcterms:W3CDTF">2026-09-09T04:18:12Z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What goes into a language model’s prompt is usually chosen by scoring each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On six models from four vendors we verify (\geq 90\% confidence, both directions) that two hand-built sources are incomparable. On a designed trap, a lexical score, two dense retrievers and a cross-encoder prefer the wrong source, while a listwise LLM reranker that reads the deciding detail gets it right. Adding a larger source can also hurt: a strict superset verifiably lowers pass rates on eleven of twelve cells, falling as far as 100\% to 0\%; padding and reversed-order controls on one model separate the added signal from its length and position. Treat context selection as a partial order and compare sources by a verified pass-rate test, not a relevance number. Scaling the implied rule to large corpora is the main open problem.</vt:lpwstr>
  </property>
  <property fmtid="{D5CDD505-2E9C-101B-9397-08002B2CF9AE}" pid="3" name="bibliography">
    <vt:lpwstr>blackwell-paper.bib</vt:lpwstr>
  </property>
  <property fmtid="{D5CDD505-2E9C-101B-9397-08002B2CF9AE}" pid="4" name="date">
    <vt:lpwstr/>
  </property>
</Properties>
</file>