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4"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Each of the following is established elsewhere:</w:t>
      </w:r>
    </w:p>
    <w:p>
      <w:pPr>
        <w:numPr>
          <w:ilvl w:val="0"/>
          <w:numId w:val="1001"/>
        </w:numPr>
      </w:pPr>
      <w:r>
        <w:t xml:space="preserve">topical relevance is the wrong target and downstream utility the right</w:t>
      </w:r>
      <w:r>
        <w:t xml:space="preserve"> </w:t>
      </w:r>
      <w:r>
        <w:t xml:space="preserve">one </w:t>
      </w:r>
      <w:r>
        <w:t xml:space="preserve">(H. Zhang et al. 2026)</w:t>
      </w:r>
      <w:r>
        <w:t xml:space="preserve">;</w:t>
      </w:r>
    </w:p>
    <w:p>
      <w:pPr>
        <w:numPr>
          <w:ilvl w:val="0"/>
          <w:numId w:val="1001"/>
        </w:numPr>
      </w:pPr>
      <w:r>
        <w:t xml:space="preserve">the same passage is worth different amounts to different</w:t>
      </w:r>
      <w:r>
        <w:t xml:space="preserve"> </w:t>
      </w:r>
      <w:r>
        <w:t xml:space="preserve">models </w:t>
      </w:r>
      <w:r>
        <w:t xml:space="preserve">(Zhang et al. 2025)</w:t>
      </w:r>
      <w:r>
        <w:t xml:space="preserve">;</w:t>
      </w:r>
    </w:p>
    <w:p>
      <w:pPr>
        <w:numPr>
          <w:ilvl w:val="0"/>
          <w:numId w:val="1001"/>
        </w:numPr>
      </w:pPr>
      <w:r>
        <w:t xml:space="preserve">adding sources can lower accuracy while coverage saturates, shown for data integration over</w:t>
      </w:r>
      <w:r>
        <w:t xml:space="preserve"> </w:t>
      </w:r>
      <w:r>
        <w:t xml:space="preserve">a decade ago </w:t>
      </w:r>
      <w:r>
        <w:t xml:space="preserve">(Dong et al. 2012)</w:t>
      </w:r>
      <w:r>
        <w:t xml:space="preserve">;</w:t>
      </w:r>
    </w:p>
    <w:p>
      <w:pPr>
        <w:numPr>
          <w:ilvl w:val="0"/>
          <w:numId w:val="1001"/>
        </w:numPr>
      </w:pPr>
      <w:r>
        <w:t xml:space="preserve">rerankers are steered by lexical similarity in the wild </w:t>
      </w:r>
      <w:r>
        <w:t xml:space="preserve">(Hagström, Nie, et al. 2025)</w:t>
      </w:r>
      <w:r>
        <w:t xml:space="preserve">;</w:t>
      </w:r>
    </w:p>
    <w:p>
      <w:pPr>
        <w:numPr>
          <w:ilvl w:val="0"/>
          <w:numId w:val="1001"/>
        </w:numPr>
      </w:pPr>
      <w:r>
        <w:t xml:space="preserve">keeping a non-dominated set rather than a top-</w:t>
      </w:r>
      <m:oMath>
        <m:r>
          <m:t>k</m:t>
        </m:r>
      </m:oMath>
      <w:r>
        <w:t xml:space="preserve"> </w:t>
      </w:r>
      <w:r>
        <w:t xml:space="preserve">prefix already exists as an operator over</w:t>
      </w:r>
      <w:r>
        <w:t xml:space="preserve"> </w:t>
      </w:r>
      <w:r>
        <w:t xml:space="preserve">heuristic scores </w:t>
      </w:r>
      <w:r>
        <w:t xml:space="preserve">(Zhu et al. 2026)</w:t>
      </w:r>
      <w:r>
        <w:t xml:space="preserve">;</w:t>
      </w:r>
    </w:p>
    <w:p>
      <w:pPr>
        <w:numPr>
          <w:ilvl w:val="0"/>
          <w:numId w:val="1001"/>
        </w:numPr>
      </w:pPr>
      <w:r>
        <w:t xml:space="preserve">the Blackwell and Le Cam apparatus was brought to inference-time context selection against a</w:t>
      </w:r>
      <w:r>
        <w:t xml:space="preserve"> </w:t>
      </w:r>
      <w:r>
        <w:t xml:space="preserve">frozen decoder concurrently with this work, and we claim no priority over</w:t>
      </w:r>
      <w:r>
        <w:t xml:space="preserve"> </w:t>
      </w:r>
      <w:r>
        <w:t xml:space="preserve">it </w:t>
      </w:r>
      <w:r>
        <w:t xml:space="preserve">(Alpila 2026a)</w:t>
      </w:r>
      <w:r>
        <w:t xml:space="preserve">.</w:t>
      </w:r>
    </w:p>
    <w:p>
      <w:pPr>
        <w:pStyle w:val="FirstParagraph"/>
      </w:pPr>
      <w:r>
        <w:t xml:space="preserve">What is new is the</w:t>
      </w:r>
      <w:r>
        <w:t xml:space="preserve"> </w:t>
      </w:r>
      <w:r>
        <w:rPr>
          <w:i/>
          <w:iCs/>
        </w:rPr>
        <w:t xml:space="preserve">form</w:t>
      </w:r>
      <w:r>
        <w:t xml:space="preserve"> </w:t>
      </w:r>
      <w:r>
        <w:t xml:space="preserve">that ties them together:</w:t>
      </w:r>
    </w:p>
    <w:p>
      <w:pPr>
        <w:numPr>
          <w:ilvl w:val="0"/>
          <w:numId w:val="1002"/>
        </w:numPr>
      </w:pPr>
      <w:r>
        <w:t xml:space="preserve">reading cross-task non-transfer as a partial order over context sources;</w:t>
      </w:r>
    </w:p>
    <w:p>
      <w:pPr>
        <w:numPr>
          <w:ilvl w:val="0"/>
          <w:numId w:val="1002"/>
        </w:numPr>
      </w:pPr>
      <w:r>
        <w:t xml:space="preserve">proving that no single per-source score, relevance or utility, can be faithful to that order</w:t>
      </w:r>
      <w:r>
        <w:t xml:space="preserve"> </w:t>
      </w:r>
      <w:r>
        <w:t xml:space="preserve">across tasks once two sources are incomparable. Utility re-measured per task by running the</w:t>
      </w:r>
      <w:r>
        <w:t xml:space="preserve"> </w:t>
      </w:r>
      <w:r>
        <w:t xml:space="preserve">model is therefore not a shortcut around the theorem but the probe it calls for;</w:t>
      </w:r>
    </w:p>
    <w:p>
      <w:pPr>
        <w:numPr>
          <w:ilvl w:val="0"/>
          <w:numId w:val="1002"/>
        </w:numPr>
      </w:pPr>
      <w:r>
        <w:t xml:space="preserve">giving a finite-sample test that verifies incomparability and superset harm on a live model,</w:t>
      </w:r>
      <w:r>
        <w:t xml:space="preserve"> </w:t>
      </w:r>
      <w:r>
        <w:t xml:space="preserve">with both sources held correct, the length and position confounds controlled, and the effect of</w:t>
      </w:r>
      <w:r>
        <w:t xml:space="preserve"> </w:t>
      </w:r>
      <w:r>
        <w:t xml:space="preserve">an explicit routing instruction measured rather than assumed away (§2).</w:t>
      </w:r>
    </w:p>
    <w:p>
      <w:pPr>
        <w:pStyle w:val="FirstParagraph"/>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3"/>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3"/>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3"/>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0"/>
    <w:bookmarkStart w:id="13"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§7. The rest is arranged</w:t>
      </w:r>
      <w:r>
        <w:t xml:space="preserve"> </w:t>
      </w:r>
      <w:r>
        <w:t xml:space="preserve">as follows. §2 places the contribution against prior work;</w:t>
      </w:r>
      <w:r>
        <w:t xml:space="preserve"> </w:t>
      </w:r>
      <w:r>
        <w:t xml:space="preserve">§§4–5 build the order and prove the two impossibility</w:t>
      </w:r>
      <w:r>
        <w:t xml:space="preserve"> </w:t>
      </w:r>
      <w:r>
        <w:t xml:space="preserve">results; §6 defines the verification and its confidence accounting;</w:t>
      </w:r>
      <w:r>
        <w:t xml:space="preserve"> </w:t>
      </w:r>
      <w:r>
        <w:t xml:space="preserve">§7 reports the six-model measurement and the controls;</w:t>
      </w:r>
      <w:r>
        <w:t xml:space="preserve"> </w:t>
      </w:r>
      <w:r>
        <w:t xml:space="preserve">§8 discusses scope and §9 concludes. Every proof is in</w:t>
      </w:r>
      <w:r>
        <w:t xml:space="preserve"> </w:t>
      </w:r>
      <w:r>
        <w:t xml:space="preserve">Appendix A, the extended per-cell record in Appendix B, and the</w:t>
      </w:r>
      <w:r>
        <w:t xml:space="preserve"> </w:t>
      </w:r>
      <w:r>
        <w:t xml:space="preserve">protocol in Appendix C.</w:t>
      </w:r>
    </w:p>
    <w:bookmarkStart w:id="11"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1"/>
    <w:p>
      <w:pPr>
        <w:pStyle w:val="BodyText"/>
      </w:pPr>
      <w:bookmarkStart w:id="12" w:name="tab:glossary"/>
      <w:bookmarkEnd w:id="12"/>
    </w:p>
    <w:bookmarkEnd w:id="13"/>
    <w:bookmarkEnd w:id="14"/>
    <w:bookmarkStart w:id="23" w:name="sec:related"/>
    <w:p>
      <w:pPr>
        <w:pStyle w:val="Heading1"/>
      </w:pPr>
      <w:r>
        <w:t xml:space="preserve">Related Work</w:t>
      </w:r>
    </w:p>
    <w:bookmarkStart w:id="16" w:name="sec:related-scalar"/>
    <w:p>
      <w:pPr>
        <w:pStyle w:val="Heading2"/>
      </w:pPr>
      <w:r>
        <w:t xml:space="preserve">Scalar selection and its limits in information retrieval</w:t>
      </w:r>
    </w:p>
    <w:p>
      <w:pPr>
        <w:pStyle w:val="FirstParagraph"/>
      </w:pPr>
      <w:bookmarkStart w:id="15" w:name="sec:related-ir"/>
      <w:bookmarkEnd w:id="15"/>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6"/>
    <w:bookmarkStart w:id="17"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7"/>
    <w:bookmarkStart w:id="20" w:name="sec:related-deficiency"/>
    <w:p>
      <w:pPr>
        <w:pStyle w:val="Heading2"/>
      </w:pPr>
      <w:r>
        <w:t xml:space="preserve">The comparison of experiments in machine learning</w:t>
      </w:r>
    </w:p>
    <w:p>
      <w:pPr>
        <w:pStyle w:val="FirstParagraph"/>
      </w:pPr>
      <w:bookmarkStart w:id="18" w:name="sec:related-llmrep"/>
      <w:bookmarkEnd w:id="18"/>
      <w:bookmarkStart w:id="19" w:name="sec:related-foundations"/>
      <w:bookmarkEnd w:id="19"/>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p>
    <w:bookmarkEnd w:id="20"/>
    <w:bookmarkStart w:id="22"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p>
      <w:pPr>
        <w:pStyle w:val="BodyText"/>
      </w:pPr>
      <w:bookmarkStart w:id="21" w:name="tab:designspace"/>
      <w:bookmarkEnd w:id="21"/>
    </w:p>
    <w:bookmarkEnd w:id="22"/>
    <w:bookmarkEnd w:id="23"/>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4"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4"/>
    <w:bookmarkStart w:id="25"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5"/>
    <w:bookmarkStart w:id="26"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6"/>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2"/>
    <w:bookmarkEnd w:id="43"/>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4"/>
    <w:bookmarkStart w:id="45"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7"/>
    <w:bookmarkEnd w:id="48"/>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bookmarkStart w:id="50"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0"/>
    <w:bookmarkStart w:id="51"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1"/>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9"/>
    <w:bookmarkStart w:id="60"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4"/>
    <w:bookmarkEnd w:id="65"/>
    <w:bookmarkStart w:id="107"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83" w:name="sec:methodology"/>
    <w:p>
      <w:pPr>
        <w:pStyle w:val="Heading2"/>
      </w:pPr>
      <w:r>
        <w:t xml:space="preserve">Materials and Methods</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turn-budget-two-transports."/>
    <w:p>
      <w:pPr>
        <w:pStyle w:val="Heading4"/>
      </w:pPr>
      <w:r>
        <w:t xml:space="preserve">One turn budget, two transports.</w:t>
      </w:r>
    </w:p>
    <w:p>
      <w:pPr>
        <w:pStyle w:val="FirstParagraph"/>
      </w:pPr>
      <w:r>
        <w:t xml:space="preserve">Every model gets a single completion per attempt, from which we extract the candidate code and</w:t>
      </w:r>
      <w:r>
        <w:t xml:space="preserve"> </w:t>
      </w:r>
      <w:r>
        <w:t xml:space="preserve">grade it. The transport is not the same for all six. The Anthropic models are reached through</w:t>
      </w:r>
      <w:r>
        <w:t xml:space="preserve"> </w:t>
      </w:r>
      <w:r>
        <w:rPr>
          <w:rStyle w:val="VerbatimChar"/>
        </w:rPr>
        <w:t xml:space="preserve">claude -p</w:t>
      </w:r>
      <w:r>
        <w:t xml:space="preserve"> </w:t>
      </w:r>
      <w:r>
        <w:t xml:space="preserve">with a one-turn budget and no tools; the other three through an OpenAI-style</w:t>
      </w:r>
      <w:r>
        <w:t xml:space="preserve"> </w:t>
      </w:r>
      <w:r>
        <w:t xml:space="preserve">HTTP call the harness composes itself. What this matches across vendors is the</w:t>
      </w:r>
      <w:r>
        <w:t xml:space="preserve"> </w:t>
      </w:r>
      <w:r>
        <w:rPr>
          <w:i/>
          <w:iCs/>
        </w:rPr>
        <w:t xml:space="preserve">turn budget</w:t>
      </w:r>
      <w:r>
        <w:t xml:space="preserve">:</w:t>
      </w:r>
      <w:r>
        <w:t xml:space="preserve"> </w:t>
      </w:r>
      <w:r>
        <w:t xml:space="preserve">one pass, no agentic exploration, so the model must use what it is given. What it does not match</w:t>
      </w:r>
      <w:r>
        <w:t xml:space="preserve"> </w:t>
      </w:r>
      <w:r>
        <w:t xml:space="preserve">is the request. The command-line path carries that tool’s own system prompt, which the harness</w:t>
      </w:r>
      <w:r>
        <w:t xml:space="preserve"> </w:t>
      </w:r>
      <w:r>
        <w:t xml:space="preserve">neither sets nor observes, while the HTTP path carries only the task prompt. A between-vendor</w:t>
      </w:r>
      <w:r>
        <w:t xml:space="preserve"> </w:t>
      </w:r>
      <w:r>
        <w:t xml:space="preserve">difference in this table is therefore a difference between (model, transport) pairs, and the</w:t>
      </w:r>
      <w:r>
        <w:t xml:space="preserve"> </w:t>
      </w:r>
      <w:r>
        <w:t xml:space="preserve">transport split falls exactly along the Anthropic / non-Anthropic line, so we do not read the</w:t>
      </w:r>
      <w:r>
        <w:t xml:space="preserve"> </w:t>
      </w:r>
      <w:r>
        <w:t xml:space="preserve">cross-vendor</w:t>
      </w:r>
      <w:r>
        <w:t xml:space="preserve"> </w:t>
      </w:r>
      <w:r>
        <w:rPr>
          <w:i/>
          <w:iCs/>
        </w:rPr>
        <w:t xml:space="preserve">magnitudes</w:t>
      </w:r>
      <w:r>
        <w:t xml:space="preserve"> </w:t>
      </w:r>
      <w:r>
        <w:t xml:space="preserve">as properties of the models alone (§8.4).</w:t>
      </w:r>
      <w:r>
        <w:t xml:space="preserve"> </w:t>
      </w:r>
      <w:r>
        <w:t xml:space="preserve">The claims the paper verifies are within-model comparisons between arms, where the transport is</w:t>
      </w:r>
      <w:r>
        <w:t xml:space="preserve"> </w:t>
      </w:r>
      <w:r>
        <w:t xml:space="preserve">held fixed and cancels.</w:t>
      </w:r>
    </w:p>
    <w:bookmarkEnd w:id="75"/>
    <w:bookmarkStart w:id="76"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summarised as a</w:t>
      </w:r>
      <w:r>
        <w:t xml:space="preserve"> </w:t>
      </w:r>
      <w:r>
        <w:t xml:space="preserve">count. Uncertainty is carried by exact Clopper–Pearson intervals rather than a normal</w:t>
      </w:r>
      <w:r>
        <w:t xml:space="preserve"> </w:t>
      </w:r>
      <w:r>
        <w:t xml:space="preserve">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 where the approximation is worst</w:t>
      </w:r>
      <w:r>
        <w:t xml:space="preserve"> </w:t>
      </w:r>
      <w:r>
        <w:t xml:space="preserve">(). Multiplicity is paid explicitly by a union bound whose family is stated</w:t>
      </w:r>
      <w:r>
        <w:t xml:space="preserve"> </w:t>
      </w:r>
      <w:r>
        <w:t xml:space="preserve">with each claim:</w:t>
      </w:r>
      <w:r>
        <w:t xml:space="preserve"> </w:t>
      </w:r>
      <m:oMath>
        <m:r>
          <m:t>2</m:t>
        </m:r>
        <m:r>
          <m:rPr>
            <m:sty m:val="p"/>
          </m:rPr>
          <m:t>|</m:t>
        </m:r>
        <m:r>
          <m:rPr>
            <m:scr m:val="script"/>
            <m:sty m:val="p"/>
          </m:rPr>
          <m:t>D</m:t>
        </m:r>
        <m:r>
          <m:rPr>
            <m:sty m:val="p"/>
          </m:rPr>
          <m:t>|</m:t>
        </m:r>
      </m:oMath>
      <w:r>
        <w:t xml:space="preserve"> </w:t>
      </w:r>
      <w:r>
        <w:t xml:space="preserve">intervals for an incomparability verification</w:t>
      </w:r>
      <w:r>
        <w:t xml:space="preserve"> </w:t>
      </w:r>
      <w:r>
        <w:t xml:space="preserve">(Proposition 3), two endpoints for a harm contrast</w:t>
      </w:r>
      <w:r>
        <w:t xml:space="preserve"> </w:t>
      </w:r>
      <w:r>
        <w:t xml:space="preserve">(Proposition 4). No result is reported as significant without naming the</w:t>
      </w:r>
      <w:r>
        <w:t xml:space="preserve"> </w:t>
      </w:r>
      <w:r>
        <w:t xml:space="preserve">family it was corrected in, and §6.5 states which conjunctions are controlled</w:t>
      </w:r>
      <w:r>
        <w:t xml:space="preserve"> </w:t>
      </w:r>
      <w:r>
        <w:t xml:space="preserve">jointly and which only marginally. We report no</w:t>
      </w:r>
      <w:r>
        <w:t xml:space="preserve"> </w:t>
      </w:r>
      <m:oMath>
        <m:r>
          <m:t>p</m:t>
        </m:r>
      </m:oMath>
      <w:r>
        <w:t xml:space="preserve">-values and fit no model to the data.</w:t>
      </w:r>
    </w:p>
    <w:bookmarkEnd w:id="76"/>
    <w:bookmarkStart w:id="77"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Appendix C gives the decoding configuration, the retry and</w:t>
      </w:r>
      <w:r>
        <w:t xml:space="preserve"> </w:t>
      </w:r>
      <w:r>
        <w:t xml:space="preserve">outage policy, and the cells that were re-measured, with why.</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under the</w:t>
      </w:r>
      <w:r>
        <w:t xml:space="preserve"> </w:t>
      </w:r>
      <w:r>
        <w:t xml:space="preserve">per-cell Bernoulli model of Assumption 2, and each family of claims is corrected by a</w:t>
      </w:r>
      <w:r>
        <w:t xml:space="preserve"> </w:t>
      </w:r>
      <w:r>
        <w:t xml:space="preserve">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82"/>
    <w:bookmarkEnd w:id="83"/>
    <w:bookmarkStart w:id="95"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4"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4"/>
    <w:bookmarkEnd w:id="85"/>
    <w:bookmarkStart w:id="87"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6"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6"/>
    <w:bookmarkEnd w:id="87"/>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ten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two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and DeepSeek’s</w:t>
      </w:r>
      <w:r>
        <w:t xml:space="preserve"> </w:t>
      </w:r>
      <w:r>
        <w:rPr>
          <w:rStyle w:val="VerbatimChar"/>
        </w:rPr>
        <w:t xml:space="preserve">api_argorder</w:t>
      </w:r>
      <w:r>
        <w:t xml:space="preserve">; the mildest verified collapse is DeepSeek’s</w:t>
      </w:r>
      <w:r>
        <w:t xml:space="preserve"> </w:t>
      </w:r>
      <w:r>
        <w:rPr>
          <w:rStyle w:val="VerbatimChar"/>
        </w:rPr>
        <w:t xml:space="preserve">api_argorder</w:t>
      </w:r>
      <w:r>
        <w:t xml:space="preserve"> </w:t>
      </w:r>
      <w:r>
        <w:t xml:space="preserve">at</w:t>
      </w:r>
      <w:r>
        <w:t xml:space="preserve"> </w:t>
      </w:r>
      <m:oMath>
        <m:r>
          <m:t>68</m:t>
        </m:r>
        <m:r>
          <m:rPr>
            <m:sty m:val="p"/>
          </m:rPr>
          <m:t>%</m:t>
        </m:r>
        <m:r>
          <m:rPr>
            <m:sty m:val="p"/>
          </m:rPr>
          <m:t>→</m:t>
        </m:r>
        <m:r>
          <m:t>5</m:t>
        </m:r>
        <m:r>
          <m:rPr>
            <m:sty m:val="p"/>
          </m:rPr>
          <m:t>%</m:t>
        </m:r>
      </m:oMath>
      <w:r>
        <w:t xml:space="preserve"> </w:t>
      </w:r>
      <w:r>
        <w:t xml:space="preserve">with upper bound</w:t>
      </w:r>
      <w:r>
        <w:t xml:space="preserve"> </w:t>
      </w:r>
      <m:oMath>
        <m:r>
          <m:rPr>
            <m:sty m:val="p"/>
          </m:rPr>
          <m:t>−</m:t>
        </m:r>
        <m:r>
          <m:t>0.38</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0.33</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0"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8"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The dashed edge marks the verified</w:t>
      </w:r>
      <w:r>
        <w:t xml:space="preserve"> </w:t>
      </w:r>
      <w:r>
        <w:t xml:space="preserve">incomparable pair; the dotted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8"/>
    <w:bookmarkStart w:id="89"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eleven of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ten clear, and every model keeps at least one. The one cell that</w:t>
      </w:r>
      <w:r>
        <w:t xml:space="preserve"> </w:t>
      </w:r>
      <w:r>
        <w:t xml:space="preserve">never clears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omitted</w:t>
      </w:r>
      <w:r>
        <w:t xml:space="preserve"> </w:t>
      </w:r>
      <w:r>
        <w:rPr>
          <w:rStyle w:val="VerbatimChar"/>
        </w:rPr>
        <w:t xml:space="preserve">import</w:t>
      </w:r>
      <w:r>
        <w:t xml:space="preserve"> </w:t>
      </w:r>
      <w:r>
        <w:t xml:space="preserve">rather than by the contract (§7.5.1). Values are those of</w:t>
      </w:r>
      <w:r>
        <w:t xml:space="preserve"> </w:t>
      </w:r>
      <w:r>
        <w:t xml:space="preserve">Table 5, recomputed from the released per-cell counts.</w:t>
      </w:r>
    </w:p>
    <w:bookmarkEnd w:id="89"/>
    <w:bookmarkEnd w:id="90"/>
    <w:bookmarkStart w:id="91"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directly, by a 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that puts</w:t>
      </w:r>
      <w:r>
        <w:t xml:space="preserve"> </w:t>
      </w:r>
      <m:oMath>
        <m:sSub>
          <m:e>
            <m:r>
              <m:t>W</m:t>
            </m:r>
          </m:e>
          <m:sub>
            <m:r>
              <m:t>1</m:t>
            </m:r>
          </m:sub>
        </m:sSub>
      </m:oMath>
      <w:r>
        <w:t xml:space="preserve"> </w:t>
      </w:r>
      <w:r>
        <w:t xml:space="preserve">first, measured in the same</w:t>
      </w:r>
      <w:r>
        <w:t xml:space="preserve"> </w:t>
      </w:r>
      <w:r>
        <w:t xml:space="preserve">single-shot regime and at the same</w:t>
      </w:r>
      <w:r>
        <w:t xml:space="preserve"> </w:t>
      </w:r>
      <m:oMath>
        <m:r>
          <m:t>n</m:t>
        </m:r>
        <m:r>
          <m:rPr>
            <m:sty m:val="p"/>
          </m:rPr>
          <m:t>=</m:t>
        </m:r>
        <m:r>
          <m:t>40</m:t>
        </m:r>
      </m:oMath>
      <w:r>
        <w:t xml:space="preserve"> </w:t>
      </w:r>
      <w:r>
        <w:t xml:space="preserve">as the main table</w:t>
      </w:r>
      <w:r>
        <w:t xml:space="preserve"> </w:t>
      </w:r>
      <w:r>
        <w:t xml:space="preserve">(</w:t>
      </w:r>
      <w:r>
        <w:rPr>
          <w:rStyle w:val="VerbatimChar"/>
        </w:rPr>
        <w:t xml:space="preserve">blackwell_order_ss_n40</w:t>
      </w:r>
      <w:r>
        <w:t xml:space="preserve">,</w:t>
      </w:r>
      <w:r>
        <w:t xml:space="preserve"> </w:t>
      </w:r>
      <m:oMath>
        <m:r>
          <m:t>400</m:t>
        </m:r>
      </m:oMath>
      <w:r>
        <w:t xml:space="preserve"> </w:t>
      </w:r>
      <w:r>
        <w:t xml:space="preserve">calls). On the hardened</w:t>
      </w:r>
      <w:r>
        <w:t xml:space="preserve"> </w:t>
      </w:r>
      <w:r>
        <w:rPr>
          <w:rStyle w:val="VerbatimChar"/>
        </w:rPr>
        <w:t xml:space="preserve">api_argorder</w:t>
      </w:r>
      <w:r>
        <w:t xml:space="preserve"> </w:t>
      </w:r>
      <w:r>
        <w:t xml:space="preserve">cell the</w:t>
      </w:r>
      <w:r>
        <w:t xml:space="preserve"> </w:t>
      </w:r>
      <w:r>
        <w:t xml:space="preserve">two orderings are indistinguishable:</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while both</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score</w:t>
      </w:r>
      <w:r>
        <w:t xml:space="preserve"> </w:t>
      </w:r>
      <m:oMath>
        <m:r>
          <m:t>2.5</m:t>
        </m:r>
        <m:r>
          <m:rPr>
            <m:sty m:val="p"/>
          </m:rPr>
          <m:t>%</m:t>
        </m:r>
      </m:oMath>
      <w:r>
        <w:t xml:space="preserve">, each verified harmful at</w:t>
      </w:r>
      <w:r>
        <w:t xml:space="preserve"> </w:t>
      </w:r>
      <m:oMath>
        <m:r>
          <m:rPr>
            <m:sty m:val="p"/>
          </m:rPr>
          <m:t>−</m:t>
        </m:r>
        <m:r>
          <m:t>0.77</m:t>
        </m:r>
      </m:oMath>
      <w:r>
        <w:t xml:space="preserve">. On</w:t>
      </w:r>
      <w:r>
        <w:t xml:space="preserve"> </w:t>
      </w:r>
      <w:r>
        <w:rPr>
          <w:rStyle w:val="VerbatimChar"/>
        </w:rPr>
        <w:t xml:space="preserve">api_post_ok</w:t>
      </w:r>
      <w:r>
        <w:t xml:space="preserve"> </w:t>
      </w:r>
      <w:r>
        <w:t xml:space="preserve">reversal makes matters worse rather than better,</w:t>
      </w:r>
      <w:r>
        <w:t xml:space="preserve"> </w:t>
      </w:r>
      <m:oMath>
        <m:r>
          <m:t>50</m:t>
        </m:r>
        <m:r>
          <m:rPr>
            <m:sty m:val="p"/>
          </m:rPr>
          <m:t>%</m:t>
        </m:r>
        <m:r>
          <m:rPr>
            <m:sty m:val="p"/>
          </m:rPr>
          <m:t>→</m:t>
        </m:r>
        <m:r>
          <m:t>25</m:t>
        </m:r>
        <m:r>
          <m:rPr>
            <m:sty m:val="p"/>
          </m:rPr>
          <m:t>%</m:t>
        </m:r>
      </m:oMath>
      <w:r>
        <w:t xml:space="preserve"> </w:t>
      </w:r>
      <w:r>
        <w:t xml:space="preserve">with</w:t>
      </w:r>
      <w:r>
        <w:t xml:space="preserve"> </w:t>
      </w:r>
      <m:oMath>
        <m:sSub>
          <m:e>
            <m:r>
              <m:t>W</m:t>
            </m:r>
          </m:e>
          <m:sub>
            <m:r>
              <m:t>2</m:t>
            </m:r>
          </m:sub>
        </m:sSub>
      </m:oMath>
      <w:r>
        <w:t xml:space="preserve"> </w:t>
      </w:r>
      <w:r>
        <w:t xml:space="preserve">first and</w:t>
      </w:r>
      <w:r>
        <w:t xml:space="preserve"> </w:t>
      </w:r>
      <m:oMath>
        <m:r>
          <m:t>50</m:t>
        </m:r>
        <m:r>
          <m:rPr>
            <m:sty m:val="p"/>
          </m:rPr>
          <m:t>%</m:t>
        </m:r>
        <m:r>
          <m:rPr>
            <m:sty m:val="p"/>
          </m:rPr>
          <m:t>→</m:t>
        </m:r>
        <m:r>
          <m:t>0</m:t>
        </m:r>
        <m:r>
          <m:rPr>
            <m:sty m:val="p"/>
          </m:rPr>
          <m:t>%</m:t>
        </m:r>
      </m:oMath>
      <w:r>
        <w:t xml:space="preserve"> </w:t>
      </w:r>
      <w:r>
        <w:t xml:space="preserve">with</w:t>
      </w:r>
      <w:r>
        <w:t xml:space="preserve"> </w:t>
      </w:r>
      <m:oMath>
        <m:sSub>
          <m:e>
            <m:r>
              <m:t>W</m:t>
            </m:r>
          </m:e>
          <m:sub>
            <m:r>
              <m:t>1</m:t>
            </m:r>
          </m:sub>
        </m:sSub>
      </m:oMath>
      <w:r>
        <w:t xml:space="preserve"> </w:t>
      </w:r>
      <w:r>
        <w:t xml:space="preserve">first. Moving the added block out of the primacy slot therefore</w:t>
      </w:r>
      <w:r>
        <w:t xml:space="preserve"> </w:t>
      </w:r>
      <w:r>
        <w:t xml:space="preserve">recovers nothing, and on one cell costs more, so the collapse is not a primacy or recency</w:t>
      </w:r>
      <w:r>
        <w:t xml:space="preserve"> </w:t>
      </w:r>
      <w:r>
        <w:t xml:space="preserve">artifact. Two things this does not settle: it is one model, and it bounds the</w:t>
      </w:r>
      <w:r>
        <w:t xml:space="preserve"> </w:t>
      </w:r>
      <w:r>
        <w:rPr>
          <w:i/>
          <w:iCs/>
        </w:rPr>
        <w:t xml:space="preserve">existence</w:t>
      </w:r>
      <w:r>
        <w:t xml:space="preserve"> </w:t>
      </w:r>
      <w:r>
        <w:t xml:space="preserve">of a positional explanation rather than the contribution of position to the size of the harm.</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2"/>
    <w:bookmarkEnd w:id="93"/>
    <w:bookmarkStart w:id="94"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4"/>
    <w:bookmarkEnd w:id="95"/>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45</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7"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6"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6"/>
    <w:bookmarkEnd w:id="97"/>
    <w:bookmarkStart w:id="100"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9"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8"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8"/>
    <w:bookmarkEnd w:id="99"/>
    <w:bookmarkEnd w:id="100"/>
    <w:bookmarkEnd w:id="101"/>
    <w:bookmarkStart w:id="106"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2"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54.4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47.4</w:t>
            </w:r>
          </w:p>
        </w:tc>
        <w:tc>
          <w:tcPr/>
          <w:p>
            <w:pPr>
              <w:pStyle w:val="Compact"/>
              <w:jc w:val="center"/>
            </w:pPr>
            <w:r>
              <w:rPr>
                <w:b/>
                <w:bCs/>
              </w:rPr>
              <w:t xml:space="preserve">93.3</w:t>
            </w:r>
          </w:p>
        </w:tc>
      </w:tr>
    </w:tbl>
    <w:bookmarkEnd w:id="102"/>
    <w:p>
      <w:pPr>
        <w:pStyle w:val="BodyText"/>
      </w:pPr>
      <w:bookmarkStart w:id="103" w:name="tab:policies"/>
      <w:bookmarkEnd w:id="103"/>
    </w:p>
    <w:bookmarkStart w:id="104"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7,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and is an oracle over the pair, not a router fixed in</w:t>
      </w:r>
      <w:r>
        <w:t xml:space="preserve"> </w:t>
      </w:r>
      <w:r>
        <w:t xml:space="preserve">advance and then evaluated.</w:t>
      </w:r>
    </w:p>
    <w:bookmarkEnd w:id="104"/>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105"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5"/>
    <w:bookmarkEnd w:id="106"/>
    <w:bookmarkEnd w:id="107"/>
    <w:bookmarkStart w:id="122"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0" w:name="sec:disc-bridge"/>
    <w:p>
      <w:pPr>
        <w:pStyle w:val="Heading2"/>
      </w:pPr>
      <w:r>
        <w:t xml:space="preserve">Scope of the claims</w:t>
      </w:r>
    </w:p>
    <w:p>
      <w:pPr>
        <w:pStyle w:val="FirstParagraph"/>
      </w:pPr>
      <w:bookmarkStart w:id="108" w:name="sec:disc-deficiency"/>
      <w:bookmarkEnd w:id="108"/>
      <w:bookmarkStart w:id="109" w:name="sec:disc-certificate"/>
      <w:bookmarkEnd w:id="109"/>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0"/>
    <w:bookmarkStart w:id="111"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1"/>
    <w:bookmarkStart w:id="112"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45</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2"/>
    <w:bookmarkStart w:id="121"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3"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3"/>
    <w:bookmarkStart w:id="114"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4"/>
    <w:bookmarkStart w:id="115"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5"/>
    <w:bookmarkStart w:id="116"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6"/>
    <w:bookmarkStart w:id="117"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7"/>
    <w:bookmarkStart w:id="118"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on single-shot 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8"/>
    <w:bookmarkStart w:id="119"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9"/>
    <w:bookmarkStart w:id="120"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0"/>
    <w:bookmarkEnd w:id="121"/>
    <w:bookmarkEnd w:id="122"/>
    <w:bookmarkStart w:id="123"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3"/>
    <w:bookmarkStart w:id="124"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24"/>
    <w:bookmarkStart w:id="125"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5"/>
    <w:bookmarkStart w:id="126"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6"/>
    <w:bookmarkStart w:id="127" w:name="informed-consent-statement"/>
    <w:p>
      <w:pPr>
        <w:pStyle w:val="Heading1"/>
      </w:pPr>
      <w:r>
        <w:t xml:space="preserve">Informed Consent Statement</w:t>
      </w:r>
    </w:p>
    <w:p>
      <w:pPr>
        <w:pStyle w:val="FirstParagraph"/>
      </w:pPr>
      <w:r>
        <w:t xml:space="preserve">Not applicable.</w:t>
      </w:r>
    </w:p>
    <w:bookmarkEnd w:id="127"/>
    <w:bookmarkStart w:id="128"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3">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8"/>
    <w:bookmarkStart w:id="129"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9"/>
    <w:bookmarkStart w:id="130"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30"/>
    <w:bookmarkStart w:id="131" w:name="conflicts-of-interest"/>
    <w:p>
      <w:pPr>
        <w:pStyle w:val="Heading1"/>
      </w:pPr>
      <w:r>
        <w:t xml:space="preserve">Conflicts of Interest</w:t>
      </w:r>
    </w:p>
    <w:p>
      <w:pPr>
        <w:pStyle w:val="FirstParagraph"/>
      </w:pPr>
      <w:r>
        <w:t xml:space="preserve">The authors declare no conflict of interest.</w:t>
      </w:r>
    </w:p>
    <w:bookmarkEnd w:id="131"/>
    <w:bookmarkStart w:id="132"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2"/>
    <w:bookmarkStart w:id="144" w:name="app:proofs"/>
    <w:p>
      <w:pPr>
        <w:pStyle w:val="Heading1"/>
      </w:pPr>
      <w:r>
        <w:t xml:space="preserve">Deferred proofs and technical material</w:t>
      </w:r>
    </w:p>
    <w:bookmarkStart w:id="133"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3"/>
    <w:bookmarkStart w:id="134"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4"/>
    <w:bookmarkStart w:id="135"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5"/>
    <w:bookmarkStart w:id="136"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6"/>
    <w:bookmarkStart w:id="137"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7"/>
    <w:bookmarkStart w:id="138"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8"/>
    <w:bookmarkStart w:id="139"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9"/>
    <w:bookmarkStart w:id="140"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0"/>
    <w:bookmarkStart w:id="142" w:name="relation-to-llm-evaluation-statistics"/>
    <w:p>
      <w:pPr>
        <w:pStyle w:val="Heading2"/>
      </w:pPr>
      <w:r>
        <w:t xml:space="preserve">Relation to LLM-evaluation statistics</w:t>
      </w:r>
    </w:p>
    <w:bookmarkStart w:id="141"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1"/>
    <w:bookmarkEnd w:id="142"/>
    <w:bookmarkStart w:id="143"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3"/>
    <w:bookmarkEnd w:id="144"/>
    <w:bookmarkStart w:id="150" w:name="app:record"/>
    <w:p>
      <w:pPr>
        <w:pStyle w:val="Heading1"/>
      </w:pPr>
      <w:r>
        <w:t xml:space="preserve">Extended experimental record</w:t>
      </w:r>
    </w:p>
    <w:bookmarkStart w:id="149"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5"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5"/>
    <w:bookmarkStart w:id="146"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6"/>
    <w:bookmarkStart w:id="147"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7"/>
    <w:bookmarkStart w:id="148"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45</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8"/>
    <w:bookmarkEnd w:id="149"/>
    <w:bookmarkEnd w:id="150"/>
    <w:bookmarkStart w:id="290"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1"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1"/>
    <w:bookmarkStart w:id="152"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Four arm-only re-measurements were originally produced by ad-hoc scripts that were not kept, so</w:t>
      </w:r>
      <w:r>
        <w:t xml:space="preserve"> </w:t>
      </w:r>
      <w:r>
        <w:t xml:space="preserve">their regime could be asserted but not recovered from a run log. All four have since been</w:t>
      </w:r>
      <w:r>
        <w:t xml:space="preserve"> </w:t>
      </w:r>
      <w:r>
        <w:t xml:space="preserve">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w:t>
      </w:r>
      <w:r>
        <w:t xml:space="preserve"> </w:t>
      </w:r>
      <w:r>
        <w:t xml:space="preserve">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This manuscript reports the</w:t>
      </w:r>
      <w:r>
        <w:t xml:space="preserve"> </w:t>
      </w:r>
      <w:r>
        <w:t xml:space="preserve">re-measurements throughout, so every cited run now has a log naming its regime;</w:t>
      </w:r>
      <w:r>
        <w:t xml:space="preserve"> </w:t>
      </w:r>
      <w:r>
        <w:rPr>
          <w:rStyle w:val="VerbatimChar"/>
        </w:rPr>
        <w:t xml:space="preserve">harness/diag/check_regimes.py</w:t>
      </w:r>
      <w:r>
        <w:t xml:space="preserve"> </w:t>
      </w:r>
      <w:r>
        <w:t xml:space="preserve">lists them with the evidence for each. The between-run</w:t>
      </w:r>
      <w:r>
        <w:t xml:space="preserve"> </w:t>
      </w:r>
      <w:r>
        <w:t xml:space="preserve">movement on the Opus arm is itself a data point for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2"/>
    <w:bookmarkStart w:id="153"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blackwell_opus_ss_W1plus_v2</w:t>
      </w:r>
      <w:r>
        <w:t xml:space="preserve"> </w:t>
      </w:r>
      <w:r>
        <w:t xml:space="preserve">and the clean single-cell re-measurements</w:t>
      </w:r>
      <w:r>
        <w:t xml:space="preserve"> </w:t>
      </w:r>
      <w:r>
        <w:rPr>
          <w:rStyle w:val="VerbatimChar"/>
        </w:rPr>
        <w:t xml:space="preserve">blackwell_opus_ss_W2_trap_v2</w:t>
      </w:r>
      <w:r>
        <w:t xml:space="preserve"> </w:t>
      </w:r>
      <w:r>
        <w:t xml:space="preserve">and</w:t>
      </w:r>
      <w:r>
        <w:t xml:space="preserve"> </w:t>
      </w:r>
      <w:r>
        <w:rPr>
          <w:rStyle w:val="VerbatimChar"/>
        </w:rPr>
        <w:t xml:space="preserve">blackwell_haiku_ss_W1_enc_v2</w:t>
      </w:r>
      <w:r>
        <w:t xml:space="preserve">, all produced by</w:t>
      </w:r>
      <w:r>
        <w:t xml:space="preserve"> </w:t>
      </w:r>
      <w:r>
        <w:rPr>
          <w:rStyle w:val="VerbatimChar"/>
        </w:rPr>
        <w:t xml:space="preserve">harness/diag/rerun_arm.py</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blackwell_order_ss_n40</w:t>
      </w:r>
      <w:r>
        <w:t xml:space="preserve"> </w:t>
      </w:r>
      <w:r>
        <w:t xml:space="preserve">(order control, reversed concatenation, single-shot,</w:t>
      </w:r>
      <w:r>
        <w:t xml:space="preserve"> </w:t>
      </w:r>
      <m:oMath>
        <m:r>
          <m:t>400</m:t>
        </m:r>
      </m:oMath>
      <w:r>
        <w:t xml:space="preserve"> </w:t>
      </w:r>
      <w:r>
        <w:t xml:space="preserve">calls),</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blackwell_xml_arm_v2</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3"/>
    <w:bookmarkStart w:id="289" w:name="compute-and-cost."/>
    <w:p>
      <w:pPr>
        <w:pStyle w:val="Heading4"/>
      </w:pPr>
      <w:r>
        <w:t xml:space="preserve">Compute and cost.</w:t>
      </w:r>
    </w:p>
    <w:p>
      <w:pPr>
        <w:pStyle w:val="FirstParagraph"/>
      </w:pPr>
      <w:r>
        <w:t xml:space="preserve">Total measured Anthropic spend was approximately $147: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8" w:name="refs"/>
    <w:bookmarkStart w:id="155"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4">
        <w:r>
          <w:rPr>
            <w:rStyle w:val="Hyperlink"/>
          </w:rPr>
          <w:t xml:space="preserve">https://arxiv.org/abs/2512.23617</w:t>
        </w:r>
      </w:hyperlink>
      <w:r>
        <w:t xml:space="preserve">.</w:t>
      </w:r>
    </w:p>
    <w:bookmarkEnd w:id="155"/>
    <w:bookmarkStart w:id="157"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6">
        <w:r>
          <w:rPr>
            <w:rStyle w:val="Hyperlink"/>
          </w:rPr>
          <w:t xml:space="preserve">https://doi.org/10.5281/zenodo.20800175</w:t>
        </w:r>
      </w:hyperlink>
      <w:r>
        <w:t xml:space="preserve">.</w:t>
      </w:r>
    </w:p>
    <w:bookmarkEnd w:id="157"/>
    <w:bookmarkStart w:id="159"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8">
        <w:r>
          <w:rPr>
            <w:rStyle w:val="Hyperlink"/>
          </w:rPr>
          <w:t xml:space="preserve">https://doi.org/10.5281/zenodo.20800031</w:t>
        </w:r>
      </w:hyperlink>
      <w:r>
        <w:t xml:space="preserve">.</w:t>
      </w:r>
    </w:p>
    <w:bookmarkEnd w:id="159"/>
    <w:bookmarkStart w:id="161"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0">
        <w:r>
          <w:rPr>
            <w:rStyle w:val="Hyperlink"/>
          </w:rPr>
          <w:t xml:space="preserve">https://doi.org/10.5281/zenodo.20800209</w:t>
        </w:r>
      </w:hyperlink>
      <w:r>
        <w:t xml:space="preserve">.</w:t>
      </w:r>
    </w:p>
    <w:bookmarkEnd w:id="161"/>
    <w:bookmarkStart w:id="162"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2"/>
    <w:bookmarkStart w:id="164"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3">
        <w:r>
          <w:rPr>
            <w:rStyle w:val="Hyperlink"/>
          </w:rPr>
          <w:t xml:space="preserve">https://doi.org/10.1109/ISIT.2014.6875280</w:t>
        </w:r>
      </w:hyperlink>
      <w:r>
        <w:t xml:space="preserve">.</w:t>
      </w:r>
    </w:p>
    <w:bookmarkEnd w:id="164"/>
    <w:bookmarkStart w:id="166"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5">
        <w:r>
          <w:rPr>
            <w:rStyle w:val="Hyperlink"/>
          </w:rPr>
          <w:t xml:space="preserve">https://doi.org/10.1214/aoms/1177729032</w:t>
        </w:r>
      </w:hyperlink>
      <w:r>
        <w:t xml:space="preserve">.</w:t>
      </w:r>
    </w:p>
    <w:bookmarkEnd w:id="166"/>
    <w:bookmarkStart w:id="167"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7"/>
    <w:bookmarkStart w:id="169"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8">
        <w:r>
          <w:rPr>
            <w:rStyle w:val="Hyperlink"/>
          </w:rPr>
          <w:t xml:space="preserve">https://arxiv.org/abs/2503.01747</w:t>
        </w:r>
      </w:hyperlink>
      <w:r>
        <w:t xml:space="preserve">.</w:t>
      </w:r>
    </w:p>
    <w:bookmarkEnd w:id="169"/>
    <w:bookmarkStart w:id="171"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0">
        <w:r>
          <w:rPr>
            <w:rStyle w:val="Hyperlink"/>
          </w:rPr>
          <w:t xml:space="preserve">https://arxiv.org/abs/2411.01533</w:t>
        </w:r>
      </w:hyperlink>
      <w:r>
        <w:t xml:space="preserve">.</w:t>
      </w:r>
    </w:p>
    <w:bookmarkEnd w:id="171"/>
    <w:bookmarkStart w:id="173"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2">
        <w:r>
          <w:rPr>
            <w:rStyle w:val="Hyperlink"/>
          </w:rPr>
          <w:t xml:space="preserve">https://doi.org/10.1145/290941.291025</w:t>
        </w:r>
      </w:hyperlink>
      <w:r>
        <w:t xml:space="preserve">.</w:t>
      </w:r>
    </w:p>
    <w:bookmarkEnd w:id="173"/>
    <w:bookmarkStart w:id="175"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4">
        <w:r>
          <w:rPr>
            <w:rStyle w:val="Hyperlink"/>
          </w:rPr>
          <w:t xml:space="preserve">https://arxiv.org/abs/2511.17908</w:t>
        </w:r>
      </w:hyperlink>
      <w:r>
        <w:t xml:space="preserve">.</w:t>
      </w:r>
    </w:p>
    <w:bookmarkEnd w:id="175"/>
    <w:bookmarkStart w:id="177"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6">
        <w:r>
          <w:rPr>
            <w:rStyle w:val="Hyperlink"/>
          </w:rPr>
          <w:t xml:space="preserve">https://arxiv.org/abs/2507.03279</w:t>
        </w:r>
      </w:hyperlink>
      <w:r>
        <w:t xml:space="preserve">.</w:t>
      </w:r>
    </w:p>
    <w:bookmarkEnd w:id="177"/>
    <w:bookmarkStart w:id="179"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8">
        <w:r>
          <w:rPr>
            <w:rStyle w:val="Hyperlink"/>
          </w:rPr>
          <w:t xml:space="preserve">https://arxiv.org/abs/2601.16478</w:t>
        </w:r>
      </w:hyperlink>
      <w:r>
        <w:t xml:space="preserve">.</w:t>
      </w:r>
    </w:p>
    <w:bookmarkEnd w:id="179"/>
    <w:bookmarkStart w:id="181"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0">
        <w:r>
          <w:rPr>
            <w:rStyle w:val="Hyperlink"/>
          </w:rPr>
          <w:t xml:space="preserve">https://arxiv.org/abs/2508.21184</w:t>
        </w:r>
      </w:hyperlink>
      <w:r>
        <w:t xml:space="preserve">.</w:t>
      </w:r>
    </w:p>
    <w:bookmarkEnd w:id="181"/>
    <w:bookmarkStart w:id="183"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2">
        <w:r>
          <w:rPr>
            <w:rStyle w:val="Hyperlink"/>
          </w:rPr>
          <w:t xml:space="preserve">https://doi.org/10.1093/biomet/26.4.404</w:t>
        </w:r>
      </w:hyperlink>
      <w:r>
        <w:t xml:space="preserve">.</w:t>
      </w:r>
    </w:p>
    <w:bookmarkEnd w:id="183"/>
    <w:bookmarkStart w:id="185"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4">
        <w:r>
          <w:rPr>
            <w:rStyle w:val="Hyperlink"/>
          </w:rPr>
          <w:t xml:space="preserve">https://arxiv.org/abs/2401.14887</w:t>
        </w:r>
      </w:hyperlink>
      <w:r>
        <w:t xml:space="preserve">.</w:t>
      </w:r>
    </w:p>
    <w:bookmarkEnd w:id="185"/>
    <w:bookmarkStart w:id="187"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6">
        <w:r>
          <w:rPr>
            <w:rStyle w:val="Hyperlink"/>
          </w:rPr>
          <w:t xml:space="preserve">https://arxiv.org/abs/2503.01478</w:t>
        </w:r>
      </w:hyperlink>
      <w:r>
        <w:t xml:space="preserve">.</w:t>
      </w:r>
    </w:p>
    <w:bookmarkEnd w:id="187"/>
    <w:bookmarkStart w:id="189"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8">
        <w:r>
          <w:rPr>
            <w:rStyle w:val="Hyperlink"/>
          </w:rPr>
          <w:t xml:space="preserve">http://www.vldb.org/pvldb/vol6/p37-dong.pdf</w:t>
        </w:r>
      </w:hyperlink>
      <w:r>
        <w:t xml:space="preserve">.</w:t>
      </w:r>
    </w:p>
    <w:bookmarkEnd w:id="189"/>
    <w:bookmarkStart w:id="191"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0">
        <w:r>
          <w:rPr>
            <w:rStyle w:val="Hyperlink"/>
          </w:rPr>
          <w:t xml:space="preserve">https://arxiv.org/abs/2510.05381</w:t>
        </w:r>
      </w:hyperlink>
      <w:r>
        <w:t xml:space="preserve">.</w:t>
      </w:r>
    </w:p>
    <w:bookmarkEnd w:id="191"/>
    <w:bookmarkStart w:id="193"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2">
        <w:r>
          <w:rPr>
            <w:rStyle w:val="Hyperlink"/>
          </w:rPr>
          <w:t xml:space="preserve">https://doi.org/10.1214/aoms/1177728174</w:t>
        </w:r>
      </w:hyperlink>
      <w:r>
        <w:t xml:space="preserve">.</w:t>
      </w:r>
    </w:p>
    <w:bookmarkEnd w:id="193"/>
    <w:bookmarkStart w:id="194"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4"/>
    <w:bookmarkStart w:id="196"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5">
        <w:r>
          <w:rPr>
            <w:rStyle w:val="Hyperlink"/>
          </w:rPr>
          <w:t xml:space="preserve">https://arxiv.org/abs/2601.11273</w:t>
        </w:r>
      </w:hyperlink>
      <w:r>
        <w:t xml:space="preserve">.</w:t>
      </w:r>
    </w:p>
    <w:bookmarkEnd w:id="196"/>
    <w:bookmarkStart w:id="198"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7">
        <w:r>
          <w:rPr>
            <w:rStyle w:val="Hyperlink"/>
          </w:rPr>
          <w:t xml:space="preserve">https://arxiv.org/abs/2503.05491</w:t>
        </w:r>
      </w:hyperlink>
      <w:r>
        <w:t xml:space="preserve">.</w:t>
      </w:r>
    </w:p>
    <w:bookmarkEnd w:id="198"/>
    <w:bookmarkStart w:id="200"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9">
        <w:r>
          <w:rPr>
            <w:rStyle w:val="Hyperlink"/>
          </w:rPr>
          <w:t xml:space="preserve">https://arxiv.org/abs/2608.26762</w:t>
        </w:r>
      </w:hyperlink>
      <w:r>
        <w:t xml:space="preserve">.</w:t>
      </w:r>
    </w:p>
    <w:bookmarkEnd w:id="200"/>
    <w:bookmarkStart w:id="202"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1">
        <w:r>
          <w:rPr>
            <w:rStyle w:val="Hyperlink"/>
          </w:rPr>
          <w:t xml:space="preserve">https://doi.org/10.1007/s10791-008-9045-0</w:t>
        </w:r>
      </w:hyperlink>
      <w:r>
        <w:t xml:space="preserve">.</w:t>
      </w:r>
    </w:p>
    <w:bookmarkEnd w:id="202"/>
    <w:bookmarkStart w:id="204"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3">
        <w:r>
          <w:rPr>
            <w:rStyle w:val="Hyperlink"/>
          </w:rPr>
          <w:t xml:space="preserve">https://arxiv.org/abs/2410.20247</w:t>
        </w:r>
      </w:hyperlink>
      <w:r>
        <w:t xml:space="preserve">.</w:t>
      </w:r>
    </w:p>
    <w:bookmarkEnd w:id="204"/>
    <w:bookmarkStart w:id="206"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5">
        <w:r>
          <w:rPr>
            <w:rStyle w:val="Hyperlink"/>
          </w:rPr>
          <w:t xml:space="preserve">https://arxiv.org/abs/2606.20047</w:t>
        </w:r>
      </w:hyperlink>
      <w:r>
        <w:t xml:space="preserve">.</w:t>
      </w:r>
    </w:p>
    <w:bookmarkEnd w:id="206"/>
    <w:bookmarkStart w:id="208"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7">
        <w:r>
          <w:rPr>
            <w:rStyle w:val="Hyperlink"/>
          </w:rPr>
          <w:t xml:space="preserve">https://aclanthology.org/2026.findings-acl.583/</w:t>
        </w:r>
      </w:hyperlink>
      <w:r>
        <w:t xml:space="preserve">.</w:t>
      </w:r>
    </w:p>
    <w:bookmarkEnd w:id="208"/>
    <w:bookmarkStart w:id="210"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9">
        <w:r>
          <w:rPr>
            <w:rStyle w:val="Hyperlink"/>
          </w:rPr>
          <w:t xml:space="preserve">https://arxiv.org/abs/2412.17031</w:t>
        </w:r>
      </w:hyperlink>
      <w:r>
        <w:t xml:space="preserve">.</w:t>
      </w:r>
    </w:p>
    <w:bookmarkEnd w:id="210"/>
    <w:bookmarkStart w:id="212"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1">
        <w:r>
          <w:rPr>
            <w:rStyle w:val="Hyperlink"/>
          </w:rPr>
          <w:t xml:space="preserve">https://aclanthology.org/2025.fever-1.2/</w:t>
        </w:r>
      </w:hyperlink>
      <w:r>
        <w:t xml:space="preserve">.</w:t>
      </w:r>
    </w:p>
    <w:bookmarkEnd w:id="212"/>
    <w:bookmarkStart w:id="214"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3">
        <w:r>
          <w:rPr>
            <w:rStyle w:val="Hyperlink"/>
          </w:rPr>
          <w:t xml:space="preserve">https://arxiv.org/abs/2304.04576</w:t>
        </w:r>
      </w:hyperlink>
      <w:r>
        <w:t xml:space="preserve">.</w:t>
      </w:r>
    </w:p>
    <w:bookmarkEnd w:id="214"/>
    <w:bookmarkStart w:id="216"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5">
        <w:r>
          <w:rPr>
            <w:rStyle w:val="Hyperlink"/>
          </w:rPr>
          <w:t xml:space="preserve">https://www.trychroma.com/research/context-rot</w:t>
        </w:r>
      </w:hyperlink>
      <w:r>
        <w:t xml:space="preserve">.</w:t>
      </w:r>
    </w:p>
    <w:bookmarkEnd w:id="216"/>
    <w:bookmarkStart w:id="218"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7">
        <w:r>
          <w:rPr>
            <w:rStyle w:val="Hyperlink"/>
          </w:rPr>
          <w:t xml:space="preserve">https://arxiv.org/abs/2510.00079</w:t>
        </w:r>
      </w:hyperlink>
      <w:r>
        <w:t xml:space="preserve">.</w:t>
      </w:r>
    </w:p>
    <w:bookmarkEnd w:id="218"/>
    <w:bookmarkStart w:id="220"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9">
        <w:r>
          <w:rPr>
            <w:rStyle w:val="Hyperlink"/>
          </w:rPr>
          <w:t xml:space="preserve">https://arxiv.org/abs/2512.06464</w:t>
        </w:r>
      </w:hyperlink>
      <w:r>
        <w:t xml:space="preserve">.</w:t>
      </w:r>
    </w:p>
    <w:bookmarkEnd w:id="220"/>
    <w:bookmarkStart w:id="222"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1">
        <w:r>
          <w:rPr>
            <w:rStyle w:val="Hyperlink"/>
          </w:rPr>
          <w:t xml:space="preserve">https://arxiv.org/abs/2601.05027</w:t>
        </w:r>
      </w:hyperlink>
      <w:r>
        <w:t xml:space="preserve">.</w:t>
      </w:r>
    </w:p>
    <w:bookmarkEnd w:id="222"/>
    <w:bookmarkStart w:id="224"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3">
        <w:r>
          <w:rPr>
            <w:rStyle w:val="Hyperlink"/>
          </w:rPr>
          <w:t xml:space="preserve">https://arxiv.org/abs/2410.05983</w:t>
        </w:r>
      </w:hyperlink>
      <w:r>
        <w:t xml:space="preserve">.</w:t>
      </w:r>
    </w:p>
    <w:bookmarkEnd w:id="224"/>
    <w:bookmarkStart w:id="226"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5">
        <w:r>
          <w:rPr>
            <w:rStyle w:val="Hyperlink"/>
          </w:rPr>
          <w:t xml:space="preserve">https://arxiv.org/abs/2411.06037</w:t>
        </w:r>
      </w:hyperlink>
      <w:r>
        <w:t xml:space="preserve">.</w:t>
      </w:r>
    </w:p>
    <w:bookmarkEnd w:id="226"/>
    <w:bookmarkStart w:id="228"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7">
        <w:r>
          <w:rPr>
            <w:rStyle w:val="Hyperlink"/>
          </w:rPr>
          <w:t xml:space="preserve">https://doi.org/10.1016/j.econlet.2024.112146</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5">
        <w:r>
          <w:rPr>
            <w:rStyle w:val="Hyperlink"/>
          </w:rPr>
          <w:t xml:space="preserve">https://arxiv.org/abs/2304.09542</w:t>
        </w:r>
      </w:hyperlink>
      <w:r>
        <w:t xml:space="preserve">.</w:t>
      </w:r>
    </w:p>
    <w:bookmarkEnd w:id="256"/>
    <w:bookmarkStart w:id="258"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7">
        <w:r>
          <w:rPr>
            <w:rStyle w:val="Hyperlink"/>
          </w:rPr>
          <w:t xml:space="preserve">https://doi.org/10.1017/CBO9780511666353</w:t>
        </w:r>
      </w:hyperlink>
      <w:r>
        <w:t xml:space="preserve">.</w:t>
      </w:r>
    </w:p>
    <w:bookmarkEnd w:id="258"/>
    <w:bookmarkStart w:id="260"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9">
        <w:r>
          <w:rPr>
            <w:rStyle w:val="Hyperlink"/>
          </w:rPr>
          <w:t xml:space="preserve">https://arxiv.org/abs/2402.11750</w:t>
        </w:r>
      </w:hyperlink>
      <w:r>
        <w:t xml:space="preserve">.</w:t>
      </w:r>
    </w:p>
    <w:bookmarkEnd w:id="260"/>
    <w:bookmarkStart w:id="262"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1">
        <w:r>
          <w:rPr>
            <w:rStyle w:val="Hyperlink"/>
          </w:rPr>
          <w:t xml:space="preserve">https://arxiv.org/abs/2602.08294</w:t>
        </w:r>
      </w:hyperlink>
      <w:r>
        <w:t xml:space="preserve">.</w:t>
      </w:r>
    </w:p>
    <w:bookmarkEnd w:id="262"/>
    <w:bookmarkStart w:id="264"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3">
        <w:r>
          <w:rPr>
            <w:rStyle w:val="Hyperlink"/>
          </w:rPr>
          <w:t xml:space="preserve">https://doi.org/10.1145/1571941.1571963</w:t>
        </w:r>
      </w:hyperlink>
      <w:r>
        <w:t xml:space="preserve">.</w:t>
      </w:r>
    </w:p>
    <w:bookmarkEnd w:id="264"/>
    <w:bookmarkStart w:id="26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5">
        <w:r>
          <w:rPr>
            <w:rStyle w:val="Hyperlink"/>
          </w:rPr>
          <w:t xml:space="preserve">https://arxiv.org/abs/2410.07523</w:t>
        </w:r>
      </w:hyperlink>
      <w:r>
        <w:t xml:space="preserve">.</w:t>
      </w:r>
    </w:p>
    <w:bookmarkEnd w:id="266"/>
    <w:bookmarkStart w:id="26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7">
        <w:r>
          <w:rPr>
            <w:rStyle w:val="Hyperlink"/>
          </w:rPr>
          <w:t xml:space="preserve">https://arxiv.org/abs/2403.08319</w:t>
        </w:r>
      </w:hyperlink>
      <w:r>
        <w:t xml:space="preserve">.</w:t>
      </w:r>
    </w:p>
    <w:bookmarkEnd w:id="268"/>
    <w:bookmarkStart w:id="27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9">
        <w:r>
          <w:rPr>
            <w:rStyle w:val="Hyperlink"/>
          </w:rPr>
          <w:t xml:space="preserve">https://arxiv.org/abs/2302.05698</w:t>
        </w:r>
      </w:hyperlink>
      <w:r>
        <w:t xml:space="preserve">.</w:t>
      </w:r>
    </w:p>
    <w:bookmarkEnd w:id="270"/>
    <w:bookmarkStart w:id="27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1">
        <w:r>
          <w:rPr>
            <w:rStyle w:val="Hyperlink"/>
          </w:rPr>
          <w:t xml:space="preserve">https://arxiv.org/abs/2407.02485</w:t>
        </w:r>
      </w:hyperlink>
      <w:r>
        <w:t xml:space="preserve">.</w:t>
      </w:r>
    </w:p>
    <w:bookmarkEnd w:id="272"/>
    <w:bookmarkStart w:id="27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3">
        <w:r>
          <w:rPr>
            <w:rStyle w:val="Hyperlink"/>
          </w:rPr>
          <w:t xml:space="preserve">https://arxiv.org/abs/2504.15630</w:t>
        </w:r>
      </w:hyperlink>
      <w:r>
        <w:t xml:space="preserve">.</w:t>
      </w:r>
    </w:p>
    <w:bookmarkEnd w:id="274"/>
    <w:bookmarkStart w:id="27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5">
        <w:r>
          <w:rPr>
            <w:rStyle w:val="Hyperlink"/>
          </w:rPr>
          <w:t xml:space="preserve">https://arxiv.org/abs/2510.11358</w:t>
        </w:r>
      </w:hyperlink>
      <w:r>
        <w:t xml:space="preserve">.</w:t>
      </w:r>
    </w:p>
    <w:bookmarkEnd w:id="276"/>
    <w:bookmarkStart w:id="27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7">
        <w:r>
          <w:rPr>
            <w:rStyle w:val="Hyperlink"/>
          </w:rPr>
          <w:t xml:space="preserve">https://arxiv.org/abs/2604.08920</w:t>
        </w:r>
      </w:hyperlink>
      <w:r>
        <w:t xml:space="preserve">.</w:t>
      </w:r>
    </w:p>
    <w:bookmarkEnd w:id="278"/>
    <w:bookmarkStart w:id="28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9">
        <w:r>
          <w:rPr>
            <w:rStyle w:val="Hyperlink"/>
          </w:rPr>
          <w:t xml:space="preserve">https://arxiv.org/abs/2605.06028</w:t>
        </w:r>
      </w:hyperlink>
      <w:r>
        <w:t xml:space="preserve">.</w:t>
      </w:r>
    </w:p>
    <w:bookmarkEnd w:id="280"/>
    <w:bookmarkStart w:id="28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1"/>
    <w:bookmarkStart w:id="28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2">
        <w:r>
          <w:rPr>
            <w:rStyle w:val="Hyperlink"/>
          </w:rPr>
          <w:t xml:space="preserve">https://arxiv.org/abs/2405.18253</w:t>
        </w:r>
      </w:hyperlink>
      <w:r>
        <w:t xml:space="preserve">.</w:t>
      </w:r>
    </w:p>
    <w:bookmarkEnd w:id="283"/>
    <w:bookmarkStart w:id="285"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4">
        <w:r>
          <w:rPr>
            <w:rStyle w:val="Hyperlink"/>
          </w:rPr>
          <w:t xml:space="preserve">https://doi.org/10.1145/3802111</w:t>
        </w:r>
      </w:hyperlink>
      <w:r>
        <w:t xml:space="preserve">.</w:t>
      </w:r>
    </w:p>
    <w:bookmarkEnd w:id="285"/>
    <w:bookmarkStart w:id="287"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6">
        <w:r>
          <w:rPr>
            <w:rStyle w:val="Hyperlink"/>
          </w:rPr>
          <w:t xml:space="preserve">https://doi.org/10.1007/978-3-642-12275-0_32</w:t>
        </w:r>
      </w:hyperlink>
      <w:r>
        <w:t xml:space="preserve">.</w:t>
      </w:r>
    </w:p>
    <w:bookmarkEnd w:id="287"/>
    <w:bookmarkEnd w:id="288"/>
    <w:bookmarkEnd w:id="289"/>
    <w:bookmarkEnd w:id="2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8" Target="http://www.vldb.org/pvldb/vol6/p37-dong.pdf" TargetMode="External" /><Relationship Type="http://schemas.openxmlformats.org/officeDocument/2006/relationships/hyperlink" Id="rId211" Target="https://aclanthology.org/2025.fever-1.2/" TargetMode="External" /><Relationship Type="http://schemas.openxmlformats.org/officeDocument/2006/relationships/hyperlink" Id="rId207"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53" Target="https://arxiv.org/abs/2302.00093" TargetMode="External" /><Relationship Type="http://schemas.openxmlformats.org/officeDocument/2006/relationships/hyperlink" Id="rId269" Target="https://arxiv.org/abs/2302.05698" TargetMode="External" /><Relationship Type="http://schemas.openxmlformats.org/officeDocument/2006/relationships/hyperlink" Id="rId213" Target="https://arxiv.org/abs/2304.04576" TargetMode="External" /><Relationship Type="http://schemas.openxmlformats.org/officeDocument/2006/relationships/hyperlink" Id="rId255"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4" Target="https://arxiv.org/abs/2401.14887" TargetMode="External" /><Relationship Type="http://schemas.openxmlformats.org/officeDocument/2006/relationships/hyperlink" Id="rId259" Target="https://arxiv.org/abs/2402.11750" TargetMode="External" /><Relationship Type="http://schemas.openxmlformats.org/officeDocument/2006/relationships/hyperlink" Id="rId267" Target="https://arxiv.org/abs/2403.08319" TargetMode="External" /><Relationship Type="http://schemas.openxmlformats.org/officeDocument/2006/relationships/hyperlink" Id="rId282" Target="https://arxiv.org/abs/2405.18253" TargetMode="External" /><Relationship Type="http://schemas.openxmlformats.org/officeDocument/2006/relationships/hyperlink" Id="rId271" Target="https://arxiv.org/abs/2407.02485" TargetMode="External" /><Relationship Type="http://schemas.openxmlformats.org/officeDocument/2006/relationships/hyperlink" Id="rId223" Target="https://arxiv.org/abs/2410.05983" TargetMode="External" /><Relationship Type="http://schemas.openxmlformats.org/officeDocument/2006/relationships/hyperlink" Id="rId265" Target="https://arxiv.org/abs/2410.07523" TargetMode="External" /><Relationship Type="http://schemas.openxmlformats.org/officeDocument/2006/relationships/hyperlink" Id="rId203"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70" Target="https://arxiv.org/abs/2411.01533" TargetMode="External" /><Relationship Type="http://schemas.openxmlformats.org/officeDocument/2006/relationships/hyperlink" Id="rId225" Target="https://arxiv.org/abs/2411.06037" TargetMode="External" /><Relationship Type="http://schemas.openxmlformats.org/officeDocument/2006/relationships/hyperlink" Id="rId209" Target="https://arxiv.org/abs/2412.17031" TargetMode="External" /><Relationship Type="http://schemas.openxmlformats.org/officeDocument/2006/relationships/hyperlink" Id="rId186" Target="https://arxiv.org/abs/2503.01478" TargetMode="External" /><Relationship Type="http://schemas.openxmlformats.org/officeDocument/2006/relationships/hyperlink" Id="rId168"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7"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3" Target="https://arxiv.org/abs/2504.15630" TargetMode="External" /><Relationship Type="http://schemas.openxmlformats.org/officeDocument/2006/relationships/hyperlink" Id="rId176" Target="https://arxiv.org/abs/2507.03279" TargetMode="External" /><Relationship Type="http://schemas.openxmlformats.org/officeDocument/2006/relationships/hyperlink" Id="rId180" Target="https://arxiv.org/abs/2508.21184" TargetMode="External" /><Relationship Type="http://schemas.openxmlformats.org/officeDocument/2006/relationships/hyperlink" Id="rId217" Target="https://arxiv.org/abs/2510.00079" TargetMode="External" /><Relationship Type="http://schemas.openxmlformats.org/officeDocument/2006/relationships/hyperlink" Id="rId190" Target="https://arxiv.org/abs/2510.05381" TargetMode="External" /><Relationship Type="http://schemas.openxmlformats.org/officeDocument/2006/relationships/hyperlink" Id="rId275" Target="https://arxiv.org/abs/2510.11358" TargetMode="External" /><Relationship Type="http://schemas.openxmlformats.org/officeDocument/2006/relationships/hyperlink" Id="rId174" Target="https://arxiv.org/abs/2511.17908" TargetMode="External" /><Relationship Type="http://schemas.openxmlformats.org/officeDocument/2006/relationships/hyperlink" Id="rId219" Target="https://arxiv.org/abs/2512.06464" TargetMode="External" /><Relationship Type="http://schemas.openxmlformats.org/officeDocument/2006/relationships/hyperlink" Id="rId154" Target="https://arxiv.org/abs/2512.23617" TargetMode="External" /><Relationship Type="http://schemas.openxmlformats.org/officeDocument/2006/relationships/hyperlink" Id="rId221" Target="https://arxiv.org/abs/2601.05027" TargetMode="External" /><Relationship Type="http://schemas.openxmlformats.org/officeDocument/2006/relationships/hyperlink" Id="rId195" Target="https://arxiv.org/abs/2601.11273" TargetMode="External" /><Relationship Type="http://schemas.openxmlformats.org/officeDocument/2006/relationships/hyperlink" Id="rId178" Target="https://arxiv.org/abs/2601.16478" TargetMode="External" /><Relationship Type="http://schemas.openxmlformats.org/officeDocument/2006/relationships/hyperlink" Id="rId261"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7"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79" Target="https://arxiv.org/abs/2605.06028" TargetMode="External" /><Relationship Type="http://schemas.openxmlformats.org/officeDocument/2006/relationships/hyperlink" Id="rId205" Target="https://arxiv.org/abs/2606.20047" TargetMode="External" /><Relationship Type="http://schemas.openxmlformats.org/officeDocument/2006/relationships/hyperlink" Id="rId199"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6" Target="https://doi.org/10.1007/978-3-642-12275-0_32" TargetMode="External" /><Relationship Type="http://schemas.openxmlformats.org/officeDocument/2006/relationships/hyperlink" Id="rId201" Target="https://doi.org/10.1007/s10791-008-9045-0" TargetMode="External" /><Relationship Type="http://schemas.openxmlformats.org/officeDocument/2006/relationships/hyperlink" Id="rId227" Target="https://doi.org/10.1016/j.econlet.2024.112146" TargetMode="External" /><Relationship Type="http://schemas.openxmlformats.org/officeDocument/2006/relationships/hyperlink" Id="rId257" Target="https://doi.org/10.1017/CBO9780511666353" TargetMode="External" /><Relationship Type="http://schemas.openxmlformats.org/officeDocument/2006/relationships/hyperlink" Id="rId182"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63" Target="https://doi.org/10.1109/ISIT.2014.6875280" TargetMode="External" /><Relationship Type="http://schemas.openxmlformats.org/officeDocument/2006/relationships/hyperlink" Id="rId263" Target="https://doi.org/10.1145/1571941.1571963" TargetMode="External" /><Relationship Type="http://schemas.openxmlformats.org/officeDocument/2006/relationships/hyperlink" Id="rId172" Target="https://doi.org/10.1145/290941.291025" TargetMode="External" /><Relationship Type="http://schemas.openxmlformats.org/officeDocument/2006/relationships/hyperlink" Id="rId284"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92" Target="https://doi.org/10.1214/aoms/1177728174" TargetMode="External" /><Relationship Type="http://schemas.openxmlformats.org/officeDocument/2006/relationships/hyperlink" Id="rId165" Target="https://doi.org/10.1214/aoms/1177729032" TargetMode="External" /><Relationship Type="http://schemas.openxmlformats.org/officeDocument/2006/relationships/hyperlink" Id="rId158" Target="https://doi.org/10.5281/zenodo.20800031" TargetMode="External" /><Relationship Type="http://schemas.openxmlformats.org/officeDocument/2006/relationships/hyperlink" Id="rId156" Target="https://doi.org/10.5281/zenodo.20800175" TargetMode="External" /><Relationship Type="http://schemas.openxmlformats.org/officeDocument/2006/relationships/hyperlink" Id="rId160"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5"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8" Target="http://www.vldb.org/pvldb/vol6/p37-dong.pdf" TargetMode="External" /><Relationship Type="http://schemas.openxmlformats.org/officeDocument/2006/relationships/hyperlink" Id="rId211" Target="https://aclanthology.org/2025.fever-1.2/" TargetMode="External" /><Relationship Type="http://schemas.openxmlformats.org/officeDocument/2006/relationships/hyperlink" Id="rId207"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53" Target="https://arxiv.org/abs/2302.00093" TargetMode="External" /><Relationship Type="http://schemas.openxmlformats.org/officeDocument/2006/relationships/hyperlink" Id="rId269" Target="https://arxiv.org/abs/2302.05698" TargetMode="External" /><Relationship Type="http://schemas.openxmlformats.org/officeDocument/2006/relationships/hyperlink" Id="rId213" Target="https://arxiv.org/abs/2304.04576" TargetMode="External" /><Relationship Type="http://schemas.openxmlformats.org/officeDocument/2006/relationships/hyperlink" Id="rId255"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4" Target="https://arxiv.org/abs/2401.14887" TargetMode="External" /><Relationship Type="http://schemas.openxmlformats.org/officeDocument/2006/relationships/hyperlink" Id="rId259" Target="https://arxiv.org/abs/2402.11750" TargetMode="External" /><Relationship Type="http://schemas.openxmlformats.org/officeDocument/2006/relationships/hyperlink" Id="rId267" Target="https://arxiv.org/abs/2403.08319" TargetMode="External" /><Relationship Type="http://schemas.openxmlformats.org/officeDocument/2006/relationships/hyperlink" Id="rId282" Target="https://arxiv.org/abs/2405.18253" TargetMode="External" /><Relationship Type="http://schemas.openxmlformats.org/officeDocument/2006/relationships/hyperlink" Id="rId271" Target="https://arxiv.org/abs/2407.02485" TargetMode="External" /><Relationship Type="http://schemas.openxmlformats.org/officeDocument/2006/relationships/hyperlink" Id="rId223" Target="https://arxiv.org/abs/2410.05983" TargetMode="External" /><Relationship Type="http://schemas.openxmlformats.org/officeDocument/2006/relationships/hyperlink" Id="rId265" Target="https://arxiv.org/abs/2410.07523" TargetMode="External" /><Relationship Type="http://schemas.openxmlformats.org/officeDocument/2006/relationships/hyperlink" Id="rId203"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70" Target="https://arxiv.org/abs/2411.01533" TargetMode="External" /><Relationship Type="http://schemas.openxmlformats.org/officeDocument/2006/relationships/hyperlink" Id="rId225" Target="https://arxiv.org/abs/2411.06037" TargetMode="External" /><Relationship Type="http://schemas.openxmlformats.org/officeDocument/2006/relationships/hyperlink" Id="rId209" Target="https://arxiv.org/abs/2412.17031" TargetMode="External" /><Relationship Type="http://schemas.openxmlformats.org/officeDocument/2006/relationships/hyperlink" Id="rId186" Target="https://arxiv.org/abs/2503.01478" TargetMode="External" /><Relationship Type="http://schemas.openxmlformats.org/officeDocument/2006/relationships/hyperlink" Id="rId168"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7"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3" Target="https://arxiv.org/abs/2504.15630" TargetMode="External" /><Relationship Type="http://schemas.openxmlformats.org/officeDocument/2006/relationships/hyperlink" Id="rId176" Target="https://arxiv.org/abs/2507.03279" TargetMode="External" /><Relationship Type="http://schemas.openxmlformats.org/officeDocument/2006/relationships/hyperlink" Id="rId180" Target="https://arxiv.org/abs/2508.21184" TargetMode="External" /><Relationship Type="http://schemas.openxmlformats.org/officeDocument/2006/relationships/hyperlink" Id="rId217" Target="https://arxiv.org/abs/2510.00079" TargetMode="External" /><Relationship Type="http://schemas.openxmlformats.org/officeDocument/2006/relationships/hyperlink" Id="rId190" Target="https://arxiv.org/abs/2510.05381" TargetMode="External" /><Relationship Type="http://schemas.openxmlformats.org/officeDocument/2006/relationships/hyperlink" Id="rId275" Target="https://arxiv.org/abs/2510.11358" TargetMode="External" /><Relationship Type="http://schemas.openxmlformats.org/officeDocument/2006/relationships/hyperlink" Id="rId174" Target="https://arxiv.org/abs/2511.17908" TargetMode="External" /><Relationship Type="http://schemas.openxmlformats.org/officeDocument/2006/relationships/hyperlink" Id="rId219" Target="https://arxiv.org/abs/2512.06464" TargetMode="External" /><Relationship Type="http://schemas.openxmlformats.org/officeDocument/2006/relationships/hyperlink" Id="rId154" Target="https://arxiv.org/abs/2512.23617" TargetMode="External" /><Relationship Type="http://schemas.openxmlformats.org/officeDocument/2006/relationships/hyperlink" Id="rId221" Target="https://arxiv.org/abs/2601.05027" TargetMode="External" /><Relationship Type="http://schemas.openxmlformats.org/officeDocument/2006/relationships/hyperlink" Id="rId195" Target="https://arxiv.org/abs/2601.11273" TargetMode="External" /><Relationship Type="http://schemas.openxmlformats.org/officeDocument/2006/relationships/hyperlink" Id="rId178" Target="https://arxiv.org/abs/2601.16478" TargetMode="External" /><Relationship Type="http://schemas.openxmlformats.org/officeDocument/2006/relationships/hyperlink" Id="rId261"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7"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79" Target="https://arxiv.org/abs/2605.06028" TargetMode="External" /><Relationship Type="http://schemas.openxmlformats.org/officeDocument/2006/relationships/hyperlink" Id="rId205" Target="https://arxiv.org/abs/2606.20047" TargetMode="External" /><Relationship Type="http://schemas.openxmlformats.org/officeDocument/2006/relationships/hyperlink" Id="rId199"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6" Target="https://doi.org/10.1007/978-3-642-12275-0_32" TargetMode="External" /><Relationship Type="http://schemas.openxmlformats.org/officeDocument/2006/relationships/hyperlink" Id="rId201" Target="https://doi.org/10.1007/s10791-008-9045-0" TargetMode="External" /><Relationship Type="http://schemas.openxmlformats.org/officeDocument/2006/relationships/hyperlink" Id="rId227" Target="https://doi.org/10.1016/j.econlet.2024.112146" TargetMode="External" /><Relationship Type="http://schemas.openxmlformats.org/officeDocument/2006/relationships/hyperlink" Id="rId257" Target="https://doi.org/10.1017/CBO9780511666353" TargetMode="External" /><Relationship Type="http://schemas.openxmlformats.org/officeDocument/2006/relationships/hyperlink" Id="rId182"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63" Target="https://doi.org/10.1109/ISIT.2014.6875280" TargetMode="External" /><Relationship Type="http://schemas.openxmlformats.org/officeDocument/2006/relationships/hyperlink" Id="rId263" Target="https://doi.org/10.1145/1571941.1571963" TargetMode="External" /><Relationship Type="http://schemas.openxmlformats.org/officeDocument/2006/relationships/hyperlink" Id="rId172" Target="https://doi.org/10.1145/290941.291025" TargetMode="External" /><Relationship Type="http://schemas.openxmlformats.org/officeDocument/2006/relationships/hyperlink" Id="rId284"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92" Target="https://doi.org/10.1214/aoms/1177728174" TargetMode="External" /><Relationship Type="http://schemas.openxmlformats.org/officeDocument/2006/relationships/hyperlink" Id="rId165" Target="https://doi.org/10.1214/aoms/1177729032" TargetMode="External" /><Relationship Type="http://schemas.openxmlformats.org/officeDocument/2006/relationships/hyperlink" Id="rId158" Target="https://doi.org/10.5281/zenodo.20800031" TargetMode="External" /><Relationship Type="http://schemas.openxmlformats.org/officeDocument/2006/relationships/hyperlink" Id="rId156" Target="https://doi.org/10.5281/zenodo.20800175" TargetMode="External" /><Relationship Type="http://schemas.openxmlformats.org/officeDocument/2006/relationships/hyperlink" Id="rId160"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5"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2026-09-09T10:08:36Z</dcterms:created>
  <dcterms:modified xsi:type="dcterms:W3CDTF">2026-09-09T10:08:36Z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