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it is not specific</w:t>
      </w:r>
      <w:r>
        <w:t xml:space="preserve"> </w:t>
      </w:r>
      <w:r>
        <w:t xml:space="preserve">to one model or one vendor’s decoder.</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neither an equal-length off-topic block nor the reversed order reproduces the collapse</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0"/>
    <w:bookmarkStart w:id="11"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1"/>
    <w:bookmarkStart w:id="13"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2"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2"/>
    <w:bookmarkEnd w:id="13"/>
    <w:bookmarkEnd w:id="14"/>
    <w:bookmarkStart w:id="23" w:name="sec:related"/>
    <w:p>
      <w:pPr>
        <w:pStyle w:val="Heading1"/>
      </w:pPr>
      <w:r>
        <w:t xml:space="preserve">Related Work</w:t>
      </w:r>
    </w:p>
    <w:bookmarkStart w:id="15"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5"/>
    <w:bookmarkStart w:id="17" w:name="sec:related-scalar"/>
    <w:p>
      <w:pPr>
        <w:pStyle w:val="Heading2"/>
      </w:pPr>
      <w:r>
        <w:t xml:space="preserve">Scalar selection and its limits in information retrieval</w:t>
      </w:r>
    </w:p>
    <w:p>
      <w:pPr>
        <w:pStyle w:val="FirstParagraph"/>
      </w:pPr>
      <w:bookmarkStart w:id="16" w:name="sec:related-ir"/>
      <w:bookmarkEnd w:id="16"/>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7"/>
    <w:bookmarkStart w:id="18"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8"/>
    <w:bookmarkStart w:id="21" w:name="sec:related-deficiency"/>
    <w:p>
      <w:pPr>
        <w:pStyle w:val="Heading2"/>
      </w:pPr>
      <w:r>
        <w:t xml:space="preserve">The comparison of experiments in machine learning</w:t>
      </w:r>
    </w:p>
    <w:p>
      <w:pPr>
        <w:pStyle w:val="FirstParagraph"/>
      </w:pPr>
      <w:bookmarkStart w:id="19" w:name="sec:related-llmrep"/>
      <w:bookmarkEnd w:id="19"/>
      <w:bookmarkStart w:id="20" w:name="sec:related-foundations"/>
      <w:bookmarkEnd w:id="20"/>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1"/>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3"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1"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6"/>
    <w:bookmarkStart w:id="77"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7"/>
    <w:bookmarkStart w:id="78"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8"/>
    <w:bookmarkStart w:id="79"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0"/>
    <w:bookmarkEnd w:id="81"/>
    <w:bookmarkStart w:id="9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2"/>
    <w:bookmarkEnd w:id="83"/>
    <w:bookmarkStart w:id="85"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4"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4"/>
    <w:bookmarkEnd w:id="85"/>
    <w:bookmarkStart w:id="9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7"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6"/>
    <w:bookmarkEnd w:id="87"/>
    <w:bookmarkStart w:id="88"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8"/>
    <w:bookmarkStart w:id="89"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 earlier</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 on</w:t>
      </w:r>
      <w:r>
        <w:t xml:space="preserve"> </w:t>
      </w:r>
      <w:r>
        <w:rPr>
          <w:rStyle w:val="VerbatimChar"/>
        </w:rPr>
        <w:t xml:space="preserve">api_post_ok</w:t>
      </w:r>
      <w:r>
        <w:t xml:space="preserve">, whose</w:t>
      </w:r>
      <w:r>
        <w:t xml:space="preserve"> </w:t>
      </w:r>
      <w:r>
        <w:rPr>
          <w:rStyle w:val="VerbatimChar"/>
        </w:rPr>
        <w:t xml:space="preserve">none</w:t>
      </w:r>
      <w:r>
        <w:t xml:space="preserve"> </w:t>
      </w:r>
      <w:r>
        <w:t xml:space="preserve">arm is</w:t>
      </w:r>
      <w:r>
        <w:t xml:space="preserve"> </w:t>
      </w:r>
      <m:oMath>
        <m:r>
          <m:t>0</m:t>
        </m:r>
        <m:r>
          <m:rPr>
            <m:sty m:val="p"/>
          </m:rPr>
          <m:t>/</m:t>
        </m:r>
        <m:r>
          <m:t>80</m:t>
        </m:r>
      </m:oMath>
      <w:r>
        <w:t xml:space="preserve"> </w:t>
      </w:r>
      <w:r>
        <w:t xml:space="preserve">in that run,</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and the reversed superset</w:t>
      </w:r>
      <w:r>
        <w:t xml:space="preserve"> </w:t>
      </w:r>
      <m:oMath>
        <m:r>
          <m:t>1</m:t>
        </m:r>
        <m:r>
          <m:rPr>
            <m:sty m:val="p"/>
          </m:rPr>
          <m:t>%</m:t>
        </m:r>
      </m:oMath>
      <w:r>
        <w:t xml:space="preserve">, a</w:t>
      </w:r>
      <w:r>
        <w:t xml:space="preserve"> </w:t>
      </w:r>
      <w:r>
        <w:t xml:space="preserve">contrast whose upper bound is</w:t>
      </w:r>
      <w:r>
        <w:t xml:space="preserve"> </w:t>
      </w:r>
      <m:oMath>
        <m:r>
          <m:rPr>
            <m:sty m:val="p"/>
          </m:rPr>
          <m:t>−</m:t>
        </m:r>
        <m:r>
          <m:t>0.83</m:t>
        </m:r>
      </m:oMath>
      <w:r>
        <w:t xml:space="preserve">. Neither ordering restores the single-source arm, so within</w:t>
      </w:r>
      <w:r>
        <w:t xml:space="preserve"> </w:t>
      </w:r>
      <w:r>
        <w:t xml:space="preserve">that run the collapse is not a pure primacy or recency effect. Two limits on how far this</w:t>
      </w:r>
      <w:r>
        <w:t xml:space="preserve"> </w:t>
      </w:r>
      <w:r>
        <w:t xml:space="preserve">carries. The run is agentic while the main table is single-shot, so we report it as an auxiliary</w:t>
      </w:r>
      <w:r>
        <w:t xml:space="preserve"> </w:t>
      </w:r>
      <w:r>
        <w:t xml:space="preserve">control rather than as part of the six-model record. And its</w:t>
      </w:r>
      <w:r>
        <w:t xml:space="preserve"> </w:t>
      </w:r>
      <w:r>
        <w:rPr>
          <w:rStyle w:val="VerbatimChar"/>
        </w:rPr>
        <w:t xml:space="preserve">api_argorder</w:t>
      </w:r>
      <w:r>
        <w:t xml:space="preserve"> </w:t>
      </w:r>
      <w:r>
        <w:t xml:space="preserve">arm used an</w:t>
      </w:r>
      <w:r>
        <w:t xml:space="preserve"> </w:t>
      </w:r>
      <w:r>
        <w:t xml:space="preserve">earlier, leakier version of that task, with a</w:t>
      </w:r>
      <w:r>
        <w:t xml:space="preserve"> </w:t>
      </w:r>
      <m:oMath>
        <m:r>
          <m:t>40</m:t>
        </m:r>
        <m:r>
          <m:rPr>
            <m:sty m:val="p"/>
          </m:rPr>
          <m:t>%</m:t>
        </m:r>
      </m:oMath>
      <w:r>
        <w:t xml:space="preserve"> </w:t>
      </w:r>
      <w:r>
        <w:rPr>
          <w:rStyle w:val="VerbatimChar"/>
        </w:rPr>
        <w:t xml:space="preserve">none</w:t>
      </w:r>
      <w:r>
        <w:t xml:space="preserve"> </w:t>
      </w:r>
      <w:r>
        <w:t xml:space="preserve">baseline against the</w:t>
      </w:r>
      <w:r>
        <w:t xml:space="preserve"> </w:t>
      </w:r>
      <m:oMath>
        <m:r>
          <m:t>1</m:t>
        </m:r>
      </m:oMath>
      <w:r>
        <w:t xml:space="preserve">–</w:t>
      </w:r>
      <m:oMath>
        <m:r>
          <m:t>2</m:t>
        </m:r>
        <m:r>
          <m:rPr>
            <m:sty m:val="p"/>
          </m:rPr>
          <m:t>%</m:t>
        </m:r>
      </m:oMath>
      <w:r>
        <w:t xml:space="preserve"> </w:t>
      </w:r>
      <w:r>
        <w:t xml:space="preserve">of the hardened version used everywhere else, so we do not read its reversed-order figure as</w:t>
      </w:r>
      <w:r>
        <w:t xml:space="preserve"> </w:t>
      </w:r>
      <w:r>
        <w:t xml:space="preserve">comparable and do not rely on it here. What the control establishes is that position does not</w:t>
      </w:r>
      <w:r>
        <w:t xml:space="preserve"> </w:t>
      </w:r>
      <w:r>
        <w:rPr>
          <w:i/>
          <w:iCs/>
        </w:rPr>
        <w:t xml:space="preserve">explain</w:t>
      </w:r>
      <w:r>
        <w:t xml:space="preserve"> </w:t>
      </w:r>
      <w:r>
        <w:t xml:space="preserve">the collapse; it does not bound how much position contributes to its size.</w:t>
      </w:r>
    </w:p>
    <w:bookmarkEnd w:id="89"/>
    <w:bookmarkStart w:id="9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0"/>
    <w:bookmarkEnd w:id="91"/>
    <w:bookmarkStart w:id="9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2"/>
    <w:bookmarkEnd w:id="93"/>
    <w:bookmarkStart w:id="99"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4"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4"/>
    <w:bookmarkEnd w:id="95"/>
    <w:bookmarkStart w:id="98"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7"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6"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6"/>
    <w:bookmarkEnd w:id="97"/>
    <w:bookmarkEnd w:id="98"/>
    <w:bookmarkEnd w:id="99"/>
    <w:bookmarkStart w:id="102"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0"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0"/>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1"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1"/>
    <w:bookmarkEnd w:id="102"/>
    <w:bookmarkEnd w:id="103"/>
    <w:bookmarkStart w:id="118"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6" w:name="sec:disc-bridge"/>
    <w:p>
      <w:pPr>
        <w:pStyle w:val="Heading2"/>
      </w:pPr>
      <w:r>
        <w:t xml:space="preserve">Scope of the claims</w:t>
      </w:r>
    </w:p>
    <w:p>
      <w:pPr>
        <w:pStyle w:val="FirstParagraph"/>
      </w:pPr>
      <w:bookmarkStart w:id="104" w:name="sec:disc-deficiency"/>
      <w:bookmarkEnd w:id="104"/>
      <w:bookmarkStart w:id="105" w:name="sec:disc-certificate"/>
      <w:bookmarkEnd w:id="105"/>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6"/>
    <w:bookmarkStart w:id="10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7"/>
    <w:bookmarkStart w:id="10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8"/>
    <w:bookmarkStart w:id="117"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9"/>
    <w:bookmarkStart w:id="11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0"/>
    <w:bookmarkStart w:id="11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1"/>
    <w:bookmarkStart w:id="11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2"/>
    <w:bookmarkStart w:id="113"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3"/>
    <w:bookmarkStart w:id="114"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and its</w:t>
      </w:r>
      <w:r>
        <w:t xml:space="preserve"> </w:t>
      </w:r>
      <w:r>
        <w:rPr>
          <w:rStyle w:val="VerbatimChar"/>
        </w:rPr>
        <w:t xml:space="preserve">api_argorder</w:t>
      </w:r>
      <w:r>
        <w:t xml:space="preserve"> </w:t>
      </w:r>
      <w:r>
        <w:t xml:space="preserve">cell used</w:t>
      </w:r>
      <w:r>
        <w:t xml:space="preserve"> </w:t>
      </w:r>
      <w:r>
        <w:t xml:space="preserve">an earlier variant of that task with a</w:t>
      </w:r>
      <w:r>
        <w:t xml:space="preserve"> </w:t>
      </w:r>
      <m:oMath>
        <m:r>
          <m:t>40</m:t>
        </m:r>
        <m:r>
          <m:rPr>
            <m:sty m:val="p"/>
          </m:rPr>
          <m:t>%</m:t>
        </m:r>
      </m:oMath>
      <w:r>
        <w:t xml:space="preserve"> </w:t>
      </w:r>
      <w:r>
        <w:rPr>
          <w:rStyle w:val="VerbatimChar"/>
        </w:rPr>
        <w:t xml:space="preserve">none</w:t>
      </w:r>
      <w:r>
        <w:t xml:space="preserve"> </w:t>
      </w:r>
      <w:r>
        <w:t xml:space="preserve">baseline; it is therefore not</w:t>
      </w:r>
      <w:r>
        <w:t xml:space="preserve"> </w:t>
      </w:r>
      <w:r>
        <w:t xml:space="preserve">comparable with the single-shot main table and we report only its clean</w:t>
      </w:r>
      <w:r>
        <w:t xml:space="preserve"> </w:t>
      </w:r>
      <w:r>
        <w:rPr>
          <w:rStyle w:val="VerbatimChar"/>
        </w:rPr>
        <w:t xml:space="preserve">api_post_ok</w:t>
      </w:r>
      <w:r>
        <w:t xml:space="preserve"> </w:t>
      </w:r>
      <w:r>
        <w:t xml:space="preserve">arm,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4"/>
    <w:bookmarkStart w:id="115"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5"/>
    <w:bookmarkStart w:id="116"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6"/>
    <w:bookmarkEnd w:id="117"/>
    <w:bookmarkEnd w:id="118"/>
    <w:bookmarkStart w:id="119"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9"/>
    <w:bookmarkStart w:id="120"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0"/>
    <w:bookmarkStart w:id="121"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1"/>
    <w:bookmarkStart w:id="122"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2"/>
    <w:bookmarkStart w:id="123" w:name="informed-consent-statement"/>
    <w:p>
      <w:pPr>
        <w:pStyle w:val="Heading1"/>
      </w:pPr>
      <w:r>
        <w:t xml:space="preserve">Informed Consent Statement</w:t>
      </w:r>
    </w:p>
    <w:p>
      <w:pPr>
        <w:pStyle w:val="FirstParagraph"/>
      </w:pPr>
      <w:r>
        <w:t xml:space="preserve">Not applicable.</w:t>
      </w:r>
    </w:p>
    <w:bookmarkEnd w:id="123"/>
    <w:bookmarkStart w:id="124"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4"/>
    <w:bookmarkStart w:id="125"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5"/>
    <w:bookmarkStart w:id="126"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1"/>
    <w:bookmarkStart w:id="132"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2"/>
    <w:bookmarkStart w:id="133"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3"/>
    <w:bookmarkStart w:id="134"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4"/>
    <w:bookmarkStart w:id="135"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5"/>
    <w:bookmarkStart w:id="136"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6" w:name="app:record"/>
    <w:p>
      <w:pPr>
        <w:pStyle w:val="Heading1"/>
      </w:pPr>
      <w:r>
        <w:t xml:space="preserve">Extended experimental record</w:t>
      </w:r>
    </w:p>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4"/>
    <w:bookmarkEnd w:id="145"/>
    <w:bookmarkEnd w:id="146"/>
    <w:bookmarkStart w:id="28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One reproducibility gap is worth stating rather than leaving to be discovered. Four cited result</w:t>
      </w:r>
      <w:r>
        <w:t xml:space="preserve"> </w:t>
      </w:r>
      <w:r>
        <w:t xml:space="preserve">files are arm-only re-measurements produced by ad-hoc scripts that were not kept in the</w:t>
      </w:r>
      <w:r>
        <w:t xml:space="preserve"> </w:t>
      </w:r>
      <w:r>
        <w:t xml:space="preserve">repository: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the Haiku</w:t>
      </w:r>
      <w:r>
        <w:t xml:space="preserve"> </w:t>
      </w:r>
      <m:oMath>
        <m:sSub>
          <m:e>
            <m:r>
              <m:t>W</m:t>
            </m:r>
          </m:e>
          <m:sub>
            <m:r>
              <m:t>1</m:t>
            </m:r>
          </m:sub>
        </m:sSub>
      </m:oMath>
      <w:r>
        <w:t xml:space="preserve">/</w:t>
      </w:r>
      <w:r>
        <w:rPr>
          <w:rStyle w:val="VerbatimChar"/>
        </w:rPr>
        <w:t xml:space="preserve">enc_amount</w:t>
      </w:r>
      <w:r>
        <w:t xml:space="preserve"> </w:t>
      </w:r>
      <w:r>
        <w:t xml:space="preserve">cell and the structured-context arm. Their raw records and counts are</w:t>
      </w:r>
      <w:r>
        <w:t xml:space="preserve"> </w:t>
      </w:r>
      <w:r>
        <w:t xml:space="preserve">released and every number we report is computed from them, but their regime is asserted here</w:t>
      </w:r>
      <w:r>
        <w:t xml:space="preserve"> </w:t>
      </w:r>
      <w:r>
        <w:t xml:space="preserve">rather than recoverable from a run log, so a reader can check the numbers and not the invocation.</w:t>
      </w:r>
      <w:r>
        <w:t xml:space="preserve"> </w:t>
      </w:r>
      <w:r>
        <w:rPr>
          <w:rStyle w:val="VerbatimChar"/>
        </w:rPr>
        <w:t xml:space="preserve">harness/diag/check_regimes.py</w:t>
      </w:r>
      <w:r>
        <w:t xml:space="preserve"> </w:t>
      </w:r>
      <w:r>
        <w:t xml:space="preserve">lists the regime of every cited run with the evidence for</w:t>
      </w:r>
      <w:r>
        <w:t xml:space="preserve"> </w:t>
      </w:r>
      <w:r>
        <w:t xml:space="preserve">each, and flags exactly these four.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blackwell_argorder_n80</w:t>
      </w:r>
      <w:r>
        <w:t xml:space="preserve"> </w:t>
      </w:r>
      <w:r>
        <w:t xml:space="preserve">(an agentic</w:t>
      </w:r>
      <w:r>
        <w:t xml:space="preserve"> </w:t>
      </w:r>
      <m:oMath>
        <m:r>
          <m:t>n</m:t>
        </m:r>
        <m:r>
          <m:rPr>
            <m:sty m:val="p"/>
          </m:rPr>
          <m:t>=</m:t>
        </m:r>
        <m:r>
          <m:t>80</m:t>
        </m:r>
      </m:oMath>
      <w:r>
        <w:t xml:space="preserve"> </w:t>
      </w:r>
      <w:r>
        <w:t xml:space="preserve">confirmation of the</w:t>
      </w:r>
      <w:r>
        <w:t xml:space="preserve"> </w:t>
      </w:r>
      <w:r>
        <w:rPr>
          <w:rStyle w:val="VerbatimChar"/>
        </w:rPr>
        <w:t xml:space="preserve">api_argorder</w:t>
      </w:r>
      <w:r>
        <w:t xml:space="preserve"> </w:t>
      </w:r>
      <w:r>
        <w:t xml:space="preserve">collapse on the hardened task,</w:t>
      </w:r>
      <w:r>
        <w:t xml:space="preserve"> </w:t>
      </w:r>
      <m:oMath>
        <m:r>
          <m:t>100</m:t>
        </m:r>
        <m:r>
          <m:rPr>
            <m:sty m:val="p"/>
          </m:rPr>
          <m:t>%</m:t>
        </m:r>
        <m:r>
          <m:rPr>
            <m:sty m:val="p"/>
          </m:rPr>
          <m:t>→</m:t>
        </m:r>
        <m:r>
          <m:t>1</m:t>
        </m:r>
        <m:r>
          <m:rPr>
            <m:sty m:val="p"/>
          </m:rPr>
          <m:t>%</m:t>
        </m:r>
      </m:oMath>
      <w:r>
        <w:t xml:space="preserve"> </w:t>
      </w:r>
      <w:r>
        <w:t xml:space="preserve">with upper bound</w:t>
      </w:r>
      <w:r>
        <w:t xml:space="preserve"> </w:t>
      </w:r>
      <m:oMath>
        <m:r>
          <m:rPr>
            <m:sty m:val="p"/>
          </m:rPr>
          <m:t>−</m:t>
        </m:r>
        <m:r>
          <m:t>0.90</m:t>
        </m:r>
      </m:oMath>
      <w:r>
        <w:t xml:space="preserve">;</w:t>
      </w:r>
      <w:r>
        <w:t xml:space="preserve"> </w:t>
      </w:r>
      <w:r>
        <w:t xml:space="preserve">reported here for completeness, since the manuscript uses the single-shot</w:t>
      </w:r>
      <w:r>
        <w:t xml:space="preserve"> </w:t>
      </w:r>
      <m:oMath>
        <m:r>
          <m:t>n</m:t>
        </m:r>
        <m:r>
          <m:rPr>
            <m:sty m:val="p"/>
          </m:rPr>
          <m:t>=</m:t>
        </m:r>
        <m:r>
          <m:t>40</m:t>
        </m:r>
      </m:oMath>
      <w:r>
        <w:t xml:space="preserve"> </w:t>
      </w:r>
      <w:r>
        <w:t xml:space="preserve">measurement of</w:t>
      </w:r>
      <w:r>
        <w:t xml:space="preserve"> </w:t>
      </w:r>
      <w:r>
        <w:t xml:space="preserve">that cell instead),</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85"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4"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5">
        <w:r>
          <w:rPr>
            <w:rStyle w:val="Hyperlink"/>
          </w:rPr>
          <w:t xml:space="preserve">https://arxiv.org/abs/2412.17031</w:t>
        </w:r>
      </w:hyperlink>
      <w:r>
        <w:t xml:space="preserve">.</w:t>
      </w:r>
    </w:p>
    <w:bookmarkEnd w:id="206"/>
    <w:bookmarkStart w:id="20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7">
        <w:r>
          <w:rPr>
            <w:rStyle w:val="Hyperlink"/>
          </w:rPr>
          <w:t xml:space="preserve">https://aclanthology.org/2025.fever-1.2/</w:t>
        </w:r>
      </w:hyperlink>
      <w:r>
        <w:t xml:space="preserve">.</w:t>
      </w:r>
    </w:p>
    <w:bookmarkEnd w:id="208"/>
    <w:bookmarkStart w:id="21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9">
        <w:r>
          <w:rPr>
            <w:rStyle w:val="Hyperlink"/>
          </w:rPr>
          <w:t xml:space="preserve">https://arxiv.org/abs/2304.04576</w:t>
        </w:r>
      </w:hyperlink>
      <w:r>
        <w:t xml:space="preserve">.</w:t>
      </w:r>
    </w:p>
    <w:bookmarkEnd w:id="210"/>
    <w:bookmarkStart w:id="21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1">
        <w:r>
          <w:rPr>
            <w:rStyle w:val="Hyperlink"/>
          </w:rPr>
          <w:t xml:space="preserve">https://www.trychroma.com/research/context-rot</w:t>
        </w:r>
      </w:hyperlink>
      <w:r>
        <w:t xml:space="preserve">.</w:t>
      </w:r>
    </w:p>
    <w:bookmarkEnd w:id="212"/>
    <w:bookmarkStart w:id="21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3">
        <w:r>
          <w:rPr>
            <w:rStyle w:val="Hyperlink"/>
          </w:rPr>
          <w:t xml:space="preserve">https://arxiv.org/abs/2510.00079</w:t>
        </w:r>
      </w:hyperlink>
      <w:r>
        <w:t xml:space="preserve">.</w:t>
      </w:r>
    </w:p>
    <w:bookmarkEnd w:id="214"/>
    <w:bookmarkStart w:id="21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5">
        <w:r>
          <w:rPr>
            <w:rStyle w:val="Hyperlink"/>
          </w:rPr>
          <w:t xml:space="preserve">https://arxiv.org/abs/2512.06464</w:t>
        </w:r>
      </w:hyperlink>
      <w:r>
        <w:t xml:space="preserve">.</w:t>
      </w:r>
    </w:p>
    <w:bookmarkEnd w:id="216"/>
    <w:bookmarkStart w:id="21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7">
        <w:r>
          <w:rPr>
            <w:rStyle w:val="Hyperlink"/>
          </w:rPr>
          <w:t xml:space="preserve">https://arxiv.org/abs/2601.05027</w:t>
        </w:r>
      </w:hyperlink>
      <w:r>
        <w:t xml:space="preserve">.</w:t>
      </w:r>
    </w:p>
    <w:bookmarkEnd w:id="218"/>
    <w:bookmarkStart w:id="22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9">
        <w:r>
          <w:rPr>
            <w:rStyle w:val="Hyperlink"/>
          </w:rPr>
          <w:t xml:space="preserve">https://arxiv.org/abs/2410.05983</w:t>
        </w:r>
      </w:hyperlink>
      <w:r>
        <w:t xml:space="preserve">.</w:t>
      </w:r>
    </w:p>
    <w:bookmarkEnd w:id="220"/>
    <w:bookmarkStart w:id="22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1">
        <w:r>
          <w:rPr>
            <w:rStyle w:val="Hyperlink"/>
          </w:rPr>
          <w:t xml:space="preserve">https://arxiv.org/abs/2411.06037</w:t>
        </w:r>
      </w:hyperlink>
      <w:r>
        <w:t xml:space="preserve">.</w:t>
      </w:r>
    </w:p>
    <w:bookmarkEnd w:id="222"/>
    <w:bookmarkStart w:id="22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3">
        <w:r>
          <w:rPr>
            <w:rStyle w:val="Hyperlink"/>
          </w:rPr>
          <w:t xml:space="preserve">https://doi.org/10.1016/j.econlet.2024.112146</w:t>
        </w:r>
      </w:hyperlink>
      <w:r>
        <w:t xml:space="preserve">.</w:t>
      </w:r>
    </w:p>
    <w:bookmarkEnd w:id="224"/>
    <w:bookmarkStart w:id="22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5">
        <w:r>
          <w:rPr>
            <w:rStyle w:val="Hyperlink"/>
          </w:rPr>
          <w:t xml:space="preserve">https://doi.org/10.1214/aoms/1177700372</w:t>
        </w:r>
      </w:hyperlink>
      <w:r>
        <w:t xml:space="preserve">.</w:t>
      </w:r>
    </w:p>
    <w:bookmarkEnd w:id="226"/>
    <w:bookmarkStart w:id="22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7">
        <w:r>
          <w:rPr>
            <w:rStyle w:val="Hyperlink"/>
          </w:rPr>
          <w:t xml:space="preserve">https://doi.org/10.1007/978-1-4612-4946-7</w:t>
        </w:r>
      </w:hyperlink>
      <w:r>
        <w:t xml:space="preserve">.</w:t>
      </w:r>
    </w:p>
    <w:bookmarkEnd w:id="228"/>
    <w:bookmarkStart w:id="23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9">
        <w:r>
          <w:rPr>
            <w:rStyle w:val="Hyperlink"/>
          </w:rPr>
          <w:t xml:space="preserve">https://arxiv.org/abs/2504.07104</w:t>
        </w:r>
      </w:hyperlink>
      <w:r>
        <w:t xml:space="preserve">.</w:t>
      </w:r>
    </w:p>
    <w:bookmarkEnd w:id="230"/>
    <w:bookmarkStart w:id="23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1">
        <w:r>
          <w:rPr>
            <w:rStyle w:val="Hyperlink"/>
          </w:rPr>
          <w:t xml:space="preserve">https://arxiv.org/abs/2503.04388</w:t>
        </w:r>
      </w:hyperlink>
      <w:r>
        <w:t xml:space="preserve">.</w:t>
      </w:r>
    </w:p>
    <w:bookmarkEnd w:id="232"/>
    <w:bookmarkStart w:id="23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3">
        <w:r>
          <w:rPr>
            <w:rStyle w:val="Hyperlink"/>
          </w:rPr>
          <w:t xml:space="preserve">https://arxiv.org/abs/2605.05716</w:t>
        </w:r>
      </w:hyperlink>
      <w:r>
        <w:t xml:space="preserve">.</w:t>
      </w:r>
    </w:p>
    <w:bookmarkEnd w:id="234"/>
    <w:bookmarkStart w:id="23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5">
        <w:r>
          <w:rPr>
            <w:rStyle w:val="Hyperlink"/>
          </w:rPr>
          <w:t xml:space="preserve">https://arxiv.org/abs/2307.03172</w:t>
        </w:r>
      </w:hyperlink>
      <w:r>
        <w:t xml:space="preserve">.</w:t>
      </w:r>
    </w:p>
    <w:bookmarkEnd w:id="236"/>
    <w:bookmarkStart w:id="23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7">
        <w:r>
          <w:rPr>
            <w:rStyle w:val="Hyperlink"/>
          </w:rPr>
          <w:t xml:space="preserve">https://arxiv.org/abs/2411.00640</w:t>
        </w:r>
      </w:hyperlink>
      <w:r>
        <w:t xml:space="preserve">.</w:t>
      </w:r>
    </w:p>
    <w:bookmarkEnd w:id="238"/>
    <w:bookmarkStart w:id="24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9">
        <w:r>
          <w:rPr>
            <w:rStyle w:val="Hyperlink"/>
          </w:rPr>
          <w:t xml:space="preserve">https://doi.org/10.1007/978-3-032-19099-4_23</w:t>
        </w:r>
      </w:hyperlink>
      <w:r>
        <w:t xml:space="preserve">.</w:t>
      </w:r>
    </w:p>
    <w:bookmarkEnd w:id="240"/>
    <w:bookmarkStart w:id="24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1">
        <w:r>
          <w:rPr>
            <w:rStyle w:val="Hyperlink"/>
          </w:rPr>
          <w:t xml:space="preserve">https://arxiv.org/abs/2604.06621</w:t>
        </w:r>
      </w:hyperlink>
      <w:r>
        <w:t xml:space="preserve">.</w:t>
      </w:r>
    </w:p>
    <w:bookmarkEnd w:id="242"/>
    <w:bookmarkStart w:id="24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3">
        <w:r>
          <w:rPr>
            <w:rStyle w:val="Hyperlink"/>
          </w:rPr>
          <w:t xml:space="preserve">https://arxiv.org/abs/2605.03534</w:t>
        </w:r>
      </w:hyperlink>
      <w:r>
        <w:t xml:space="preserve">.</w:t>
      </w:r>
    </w:p>
    <w:bookmarkEnd w:id="244"/>
    <w:bookmarkStart w:id="24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5">
        <w:r>
          <w:rPr>
            <w:rStyle w:val="Hyperlink"/>
          </w:rPr>
          <w:t xml:space="preserve">https://doi.org/10.1108/eb026647</w:t>
        </w:r>
      </w:hyperlink>
      <w:r>
        <w:t xml:space="preserve">.</w:t>
      </w:r>
    </w:p>
    <w:bookmarkEnd w:id="246"/>
    <w:bookmarkStart w:id="24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7">
        <w:r>
          <w:rPr>
            <w:rStyle w:val="Hyperlink"/>
          </w:rPr>
          <w:t xml:space="preserve">https://arxiv.org/abs/1402.4884</w:t>
        </w:r>
      </w:hyperlink>
      <w:r>
        <w:t xml:space="preserve">.</w:t>
      </w:r>
    </w:p>
    <w:bookmarkEnd w:id="248"/>
    <w:bookmarkStart w:id="25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9">
        <w:r>
          <w:rPr>
            <w:rStyle w:val="Hyperlink"/>
          </w:rPr>
          <w:t xml:space="preserve">https://arxiv.org/abs/2302.00093</w:t>
        </w:r>
      </w:hyperlink>
      <w:r>
        <w:t xml:space="preserve">.</w:t>
      </w:r>
    </w:p>
    <w:bookmarkEnd w:id="250"/>
    <w:bookmarkStart w:id="252"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1">
        <w:r>
          <w:rPr>
            <w:rStyle w:val="Hyperlink"/>
          </w:rPr>
          <w:t xml:space="preserve">https://arxiv.org/abs/2304.09542</w:t>
        </w:r>
      </w:hyperlink>
      <w:r>
        <w:t xml:space="preserve">.</w:t>
      </w:r>
    </w:p>
    <w:bookmarkEnd w:id="252"/>
    <w:bookmarkStart w:id="25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3">
        <w:r>
          <w:rPr>
            <w:rStyle w:val="Hyperlink"/>
          </w:rPr>
          <w:t xml:space="preserve">https://doi.org/10.1017/CBO9780511666353</w:t>
        </w:r>
      </w:hyperlink>
      <w:r>
        <w:t xml:space="preserve">.</w:t>
      </w:r>
    </w:p>
    <w:bookmarkEnd w:id="254"/>
    <w:bookmarkStart w:id="25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5">
        <w:r>
          <w:rPr>
            <w:rStyle w:val="Hyperlink"/>
          </w:rPr>
          <w:t xml:space="preserve">https://arxiv.org/abs/2402.11750</w:t>
        </w:r>
      </w:hyperlink>
      <w:r>
        <w:t xml:space="preserve">.</w:t>
      </w:r>
    </w:p>
    <w:bookmarkEnd w:id="256"/>
    <w:bookmarkStart w:id="258"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7">
        <w:r>
          <w:rPr>
            <w:rStyle w:val="Hyperlink"/>
          </w:rPr>
          <w:t xml:space="preserve">https://arxiv.org/abs/2602.08294</w:t>
        </w:r>
      </w:hyperlink>
      <w:r>
        <w:t xml:space="preserve">.</w:t>
      </w:r>
    </w:p>
    <w:bookmarkEnd w:id="258"/>
    <w:bookmarkStart w:id="260"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9">
        <w:r>
          <w:rPr>
            <w:rStyle w:val="Hyperlink"/>
          </w:rPr>
          <w:t xml:space="preserve">https://doi.org/10.1145/1571941.1571963</w:t>
        </w:r>
      </w:hyperlink>
      <w:r>
        <w:t xml:space="preserve">.</w:t>
      </w:r>
    </w:p>
    <w:bookmarkEnd w:id="260"/>
    <w:bookmarkStart w:id="26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1">
        <w:r>
          <w:rPr>
            <w:rStyle w:val="Hyperlink"/>
          </w:rPr>
          <w:t xml:space="preserve">https://arxiv.org/abs/2410.07523</w:t>
        </w:r>
      </w:hyperlink>
      <w:r>
        <w:t xml:space="preserve">.</w:t>
      </w:r>
    </w:p>
    <w:bookmarkEnd w:id="262"/>
    <w:bookmarkStart w:id="264"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3">
        <w:r>
          <w:rPr>
            <w:rStyle w:val="Hyperlink"/>
          </w:rPr>
          <w:t xml:space="preserve">https://arxiv.org/abs/2403.08319</w:t>
        </w:r>
      </w:hyperlink>
      <w:r>
        <w:t xml:space="preserve">.</w:t>
      </w:r>
    </w:p>
    <w:bookmarkEnd w:id="264"/>
    <w:bookmarkStart w:id="26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5">
        <w:r>
          <w:rPr>
            <w:rStyle w:val="Hyperlink"/>
          </w:rPr>
          <w:t xml:space="preserve">https://arxiv.org/abs/2302.05698</w:t>
        </w:r>
      </w:hyperlink>
      <w:r>
        <w:t xml:space="preserve">.</w:t>
      </w:r>
    </w:p>
    <w:bookmarkEnd w:id="266"/>
    <w:bookmarkStart w:id="26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7">
        <w:r>
          <w:rPr>
            <w:rStyle w:val="Hyperlink"/>
          </w:rPr>
          <w:t xml:space="preserve">https://arxiv.org/abs/2407.02485</w:t>
        </w:r>
      </w:hyperlink>
      <w:r>
        <w:t xml:space="preserve">.</w:t>
      </w:r>
    </w:p>
    <w:bookmarkEnd w:id="268"/>
    <w:bookmarkStart w:id="27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9">
        <w:r>
          <w:rPr>
            <w:rStyle w:val="Hyperlink"/>
          </w:rPr>
          <w:t xml:space="preserve">https://arxiv.org/abs/2504.15630</w:t>
        </w:r>
      </w:hyperlink>
      <w:r>
        <w:t xml:space="preserve">.</w:t>
      </w:r>
    </w:p>
    <w:bookmarkEnd w:id="270"/>
    <w:bookmarkStart w:id="272"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1">
        <w:r>
          <w:rPr>
            <w:rStyle w:val="Hyperlink"/>
          </w:rPr>
          <w:t xml:space="preserve">https://arxiv.org/abs/2510.11358</w:t>
        </w:r>
      </w:hyperlink>
      <w:r>
        <w:t xml:space="preserve">.</w:t>
      </w:r>
    </w:p>
    <w:bookmarkEnd w:id="272"/>
    <w:bookmarkStart w:id="274"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3">
        <w:r>
          <w:rPr>
            <w:rStyle w:val="Hyperlink"/>
          </w:rPr>
          <w:t xml:space="preserve">https://arxiv.org/abs/2604.08920</w:t>
        </w:r>
      </w:hyperlink>
      <w:r>
        <w:t xml:space="preserve">.</w:t>
      </w:r>
    </w:p>
    <w:bookmarkEnd w:id="274"/>
    <w:bookmarkStart w:id="276"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5">
        <w:r>
          <w:rPr>
            <w:rStyle w:val="Hyperlink"/>
          </w:rPr>
          <w:t xml:space="preserve">https://arxiv.org/abs/2605.06028</w:t>
        </w:r>
      </w:hyperlink>
      <w:r>
        <w:t xml:space="preserve">.</w:t>
      </w:r>
    </w:p>
    <w:bookmarkEnd w:id="276"/>
    <w:bookmarkStart w:id="27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7"/>
    <w:bookmarkStart w:id="27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8">
        <w:r>
          <w:rPr>
            <w:rStyle w:val="Hyperlink"/>
          </w:rPr>
          <w:t xml:space="preserve">https://arxiv.org/abs/2405.18253</w:t>
        </w:r>
      </w:hyperlink>
      <w:r>
        <w:t xml:space="preserve">.</w:t>
      </w:r>
    </w:p>
    <w:bookmarkEnd w:id="279"/>
    <w:bookmarkStart w:id="281"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0">
        <w:r>
          <w:rPr>
            <w:rStyle w:val="Hyperlink"/>
          </w:rPr>
          <w:t xml:space="preserve">https://doi.org/10.1145/3802111</w:t>
        </w:r>
      </w:hyperlink>
      <w:r>
        <w:t xml:space="preserve">.</w:t>
      </w:r>
    </w:p>
    <w:bookmarkEnd w:id="281"/>
    <w:bookmarkStart w:id="283"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2">
        <w:r>
          <w:rPr>
            <w:rStyle w:val="Hyperlink"/>
          </w:rPr>
          <w:t xml:space="preserve">https://doi.org/10.1007/978-3-642-12275-0_32</w:t>
        </w:r>
      </w:hyperlink>
      <w:r>
        <w:t xml:space="preserve">.</w:t>
      </w:r>
    </w:p>
    <w:bookmarkEnd w:id="283"/>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2026-09-09T08:23:15Z</dcterms:created>
  <dcterms:modified xsi:type="dcterms:W3CDTF">2026-09-09T08:23:15Z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