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Context selection as a partial order:</w:t>
      </w:r>
      <w:r>
        <w:br/>
      </w:r>
      <w:r>
        <w:t xml:space="preserve">A Blackwell framework and verified LLM evidence</w:t>
      </w:r>
    </w:p>
    <w:p>
      <w:pPr>
        <w:pStyle w:val="Author"/>
      </w:pPr>
      <w:r>
        <w:t xml:space="preserve">Andriy Bilous 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Vasyl Lytvyn 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,</w:t>
      </w:r>
      <w:r>
        <w:br/>
      </w:r>
      <w:r>
        <w:t xml:space="preserve">Petro Pukach </w:t>
      </w:r>
      <m:oMath>
        <m:sSup>
          <m:e>
            <m:r>
              <m:t>​</m:t>
            </m:r>
          </m:e>
          <m:sup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Zoriana Rybchak 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br/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 Department of Information Systems and Networks,</w:t>
      </w:r>
      <w:r>
        <w:br/>
      </w:r>
      <w:r>
        <w:t xml:space="preserve">Institute of Computer Science and Information Technologies,</w:t>
      </w:r>
      <w:r>
        <w:br/>
      </w:r>
      <w:r>
        <w:t xml:space="preserve">Lviv Polytechnic National University, S. Bandery St. 12, 79013 Lviv, Ukraine;</w:t>
      </w:r>
      <w:r>
        <w:br/>
      </w:r>
      <w:r>
        <w:rPr>
          <w:rStyle w:val="VerbatimChar"/>
        </w:rPr>
        <w:t xml:space="preserve">andriy.bilous@uitware.com</w:t>
      </w:r>
      <w:r>
        <w:t xml:space="preserve"> </w:t>
      </w:r>
      <w:r>
        <w:t xml:space="preserve">(A.B.);</w:t>
      </w:r>
      <w:r>
        <w:t xml:space="preserve"> </w:t>
      </w:r>
      <w:r>
        <w:rPr>
          <w:rStyle w:val="VerbatimChar"/>
        </w:rPr>
        <w:t xml:space="preserve">vasyl.v.lytvyn@lpnu.ua</w:t>
      </w:r>
      <w:r>
        <w:t xml:space="preserve"> </w:t>
      </w:r>
      <w:r>
        <w:t xml:space="preserve">(V.L.);</w:t>
      </w:r>
      <w:r>
        <w:br/>
      </w:r>
      <w:r>
        <w:rPr>
          <w:rStyle w:val="VerbatimChar"/>
        </w:rPr>
        <w:t xml:space="preserve">zoriana.l.rybchak@lpnu.ua</w:t>
      </w:r>
      <w:r>
        <w:t xml:space="preserve"> </w:t>
      </w:r>
      <w:r>
        <w:t xml:space="preserve">(Z.R.)</w:t>
      </w:r>
      <w:r>
        <w:br/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 Institute of Applied Mathematics and Fundamental Sciences,</w:t>
      </w:r>
      <w:r>
        <w:br/>
      </w:r>
      <w:r>
        <w:t xml:space="preserve">Lviv Polytechnic National University, S. Bandery St. 12, 79013 Lviv, Ukraine</w:t>
      </w:r>
      <w:r>
        <w:br/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 Correspondence:</w:t>
      </w:r>
      <w:r>
        <w:t xml:space="preserve"> </w:t>
      </w:r>
      <w:r>
        <w:rPr>
          <w:rStyle w:val="VerbatimChar"/>
        </w:rPr>
        <w:t xml:space="preserve">petro.y.pukach@lpnu.ua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Prompt context is usually chosen by scoring each source with one number and keeping the top few.</w:t>
      </w:r>
      <w:r>
        <w:t xml:space="preserve"> </w:t>
      </w:r>
      <w:r>
        <w:t xml:space="preserve">We study the limits of task-independent scalar rankings for context</w:t>
      </w:r>
      <w:r>
        <w:t xml:space="preserve"> </w:t>
      </w:r>
      <w:r>
        <w:t xml:space="preserve">sources. Two sources can be</w:t>
      </w:r>
      <w:r>
        <w:t xml:space="preserve"> </w:t>
      </w:r>
      <w:r>
        <w:rPr>
          <w:i/>
          <w:iCs/>
        </w:rPr>
        <w:t xml:space="preserve">incomparable</w:t>
      </w:r>
      <w:r>
        <w:t xml:space="preserve"> </w:t>
      </w:r>
      <w:r>
        <w:t xml:space="preserve">in Blackwell’s sense; we prove that when they</w:t>
      </w:r>
      <w:r>
        <w:t xml:space="preserve"> </w:t>
      </w:r>
      <w:r>
        <w:t xml:space="preserve">are, no single per-source score ranks them correctly for every task. That concerns the ideal user</w:t>
      </w:r>
      <w:r>
        <w:t xml:space="preserve"> </w:t>
      </w:r>
      <w:r>
        <w:t xml:space="preserve">of a source; what a fixed model does with one is separate, and we measure it. Running each source</w:t>
      </w:r>
      <w:r>
        <w:t xml:space="preserve"> </w:t>
      </w:r>
      <w:r>
        <w:t xml:space="preserve">through a battery of pass/fail tasks and comparing pass rates with exact confidence intervals, on</w:t>
      </w:r>
      <w:r>
        <w:t xml:space="preserve"> </w:t>
      </w:r>
      <w:r>
        <w:t xml:space="preserve">six models from four vendors we verify 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 both directions that two hand-built</w:t>
      </w:r>
      <w:r>
        <w:t xml:space="preserve"> </w:t>
      </w:r>
      <w:r>
        <w:t xml:space="preserve">sources cross in realized pass rate. On a designed trap a lexical</w:t>
      </w:r>
      <w:r>
        <w:t xml:space="preserve"> </w:t>
      </w:r>
      <w:r>
        <w:t xml:space="preserve">score, two dense retrievers and a cross-encoder prefer the wrong source, while a listwise LLM</w:t>
      </w:r>
      <w:r>
        <w:t xml:space="preserve"> </w:t>
      </w:r>
      <w:r>
        <w:t xml:space="preserve">reranker reading the deciding detail does not. A strict superset of a sufficient source also</w:t>
      </w:r>
      <w:r>
        <w:t xml:space="preserve"> </w:t>
      </w:r>
      <w:r>
        <w:t xml:space="preserve">lowers pass rates, verifiably on eleven of twelve cells and as far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; a</w:t>
      </w:r>
      <w:r>
        <w:t xml:space="preserve"> </w:t>
      </w:r>
      <w:r>
        <w:t xml:space="preserve">character-matched padding arm and a reversed-order arm leave that collapse unexplained. Results</w:t>
      </w:r>
      <w:r>
        <w:t xml:space="preserve"> </w:t>
      </w:r>
      <w:r>
        <w:t xml:space="preserve">hold for the evaluated snapshots, prompts and decoders on a hand-built battery; scaling the</w:t>
      </w:r>
      <w:r>
        <w:t xml:space="preserve"> </w:t>
      </w:r>
      <w:r>
        <w:t xml:space="preserve">implied rule to large corpora remains open.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context selection; Blackwell order; comparison of experiments;</w:t>
      </w:r>
      <w:r>
        <w:t xml:space="preserve"> </w:t>
      </w:r>
      <w:r>
        <w:t xml:space="preserve">incomparability; partial order; retrieval-augmented generation; large language models;</w:t>
      </w:r>
      <w:r>
        <w:t xml:space="preserve"> </w:t>
      </w:r>
      <w:r>
        <w:t xml:space="preserve">distribution-free verification; anti-monotonicity; prompt engineering</w:t>
      </w:r>
    </w:p>
    <w:bookmarkStart w:id="14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Suppose a coding assistant is handed one of two short notes about a software module. The first</w:t>
      </w:r>
      <w:r>
        <w:t xml:space="preserve"> </w:t>
      </w:r>
      <w:r>
        <w:t xml:space="preserve">note says how to</w:t>
      </w:r>
      <w:r>
        <w:t xml:space="preserve"> </w:t>
      </w:r>
      <w:r>
        <w:rPr>
          <w:i/>
          <w:iCs/>
        </w:rPr>
        <w:t xml:space="preserve">call</w:t>
      </w:r>
      <w:r>
        <w:t xml:space="preserve"> </w:t>
      </w:r>
      <w:r>
        <w:t xml:space="preserve">its main function: the order of the arguments, a keyword that is</w:t>
      </w:r>
      <w:r>
        <w:t xml:space="preserve"> </w:t>
      </w:r>
      <w:r>
        <w:t xml:space="preserve">mandatory, and the error it raises on failure. The second note says how the module</w:t>
      </w:r>
      <w:r>
        <w:t xml:space="preserve"> </w:t>
      </w:r>
      <w:r>
        <w:rPr>
          <w:i/>
          <w:iCs/>
        </w:rPr>
        <w:t xml:space="preserve">encodes</w:t>
      </w:r>
      <w:r>
        <w:t xml:space="preserve"> </w:t>
      </w:r>
      <w:r>
        <w:t xml:space="preserve">numbers: a digit format ending in a checksum. For a task that calls the function the first note is</w:t>
      </w:r>
      <w:r>
        <w:t xml:space="preserve"> </w:t>
      </w:r>
      <w:r>
        <w:t xml:space="preserve">decisive and the second is useless; for a task that encodes a number it is the reverse; and</w:t>
      </w:r>
      <w:r>
        <w:t xml:space="preserve"> </w:t>
      </w:r>
      <w:r>
        <w:t xml:space="preserve">neither note can be reconstructed from the other. This everyday situation is the entire paper in</w:t>
      </w:r>
      <w:r>
        <w:t xml:space="preserve"> </w:t>
      </w:r>
      <w:r>
        <w:t xml:space="preserve">miniature. It has a precise name, the two notes are</w:t>
      </w:r>
      <w:r>
        <w:t xml:space="preserve"> </w:t>
      </w:r>
      <w:r>
        <w:rPr>
          <w:i/>
          <w:iCs/>
        </w:rPr>
        <w:t xml:space="preserve">incomparable</w:t>
      </w:r>
      <w:r>
        <w:t xml:space="preserve"> </w:t>
      </w:r>
      <w:r>
        <w:t xml:space="preserve">in the sense of Blackwell’s</w:t>
      </w:r>
      <w:r>
        <w:t xml:space="preserve"> </w:t>
      </w:r>
      <w:r>
        <w:t xml:space="preserve">comparison of experiments </w:t>
      </w:r>
      <w:r>
        <w:t xml:space="preserve">(Blackwell 1953)</w:t>
      </w:r>
      <w:r>
        <w:t xml:space="preserve">, and a precise consequence: no single relevance</w:t>
      </w:r>
      <w:r>
        <w:t xml:space="preserve"> </w:t>
      </w:r>
      <w:r>
        <w:t xml:space="preserve">score can rank the two notes so that the ranking is right for every task, because a score must crown</w:t>
      </w:r>
      <w:r>
        <w:t xml:space="preserve"> </w:t>
      </w:r>
      <w:r>
        <w:t xml:space="preserve">one winner and here neither note wins outright. The body makes this exact, gives a statistical test</w:t>
      </w:r>
      <w:r>
        <w:t xml:space="preserve"> </w:t>
      </w:r>
      <w:r>
        <w:t xml:space="preserve">that</w:t>
      </w:r>
      <w:r>
        <w:t xml:space="preserve"> </w:t>
      </w:r>
      <w:r>
        <w:rPr>
          <w:i/>
          <w:iCs/>
        </w:rPr>
        <w:t xml:space="preserve">verifies</w:t>
      </w:r>
      <w:r>
        <w:t xml:space="preserve"> </w:t>
      </w:r>
      <w:r>
        <w:t xml:space="preserve">it from ordinary pass/fail runs on a live model, and finds that six production</w:t>
      </w:r>
      <w:r>
        <w:t xml:space="preserve"> </w:t>
      </w:r>
      <w:r>
        <w:t xml:space="preserve">language models across four vendors all exhibit it. A reader who keeps these two notes in mind can</w:t>
      </w:r>
      <w:r>
        <w:t xml:space="preserve"> </w:t>
      </w:r>
      <w:r>
        <w:t xml:space="preserve">read every symbol below as a statement about the first note versus the second (in the body they are</w:t>
      </w:r>
      <w:r>
        <w:t xml:space="preserve"> </w:t>
      </w:r>
      <w:r>
        <w:t xml:space="preserve">the sources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).</w:t>
      </w:r>
    </w:p>
    <w:p>
      <w:pPr>
        <w:pStyle w:val="BodyText"/>
      </w:pPr>
      <w:r>
        <w:t xml:space="preserve">Production language-model systems spend much of their budget deciding</w:t>
      </w:r>
      <w:r>
        <w:t xml:space="preserve"> </w:t>
      </w:r>
      <w:r>
        <w:rPr>
          <w:i/>
          <w:iCs/>
        </w:rPr>
        <w:t xml:space="preserve">what context to place in the prompt</w:t>
      </w:r>
      <w:r>
        <w:t xml:space="preserve">. Retrieval-augmented generation ranks</w:t>
      </w:r>
      <w:r>
        <w:t xml:space="preserve"> </w:t>
      </w:r>
      <w:r>
        <w:t xml:space="preserve">passages, in-context learning selects demonstrations, and agentic coding tools</w:t>
      </w:r>
      <w:r>
        <w:t xml:space="preserve"> </w:t>
      </w:r>
      <w:r>
        <w:t xml:space="preserve">choose which files and conventions to surface. Across all of these, the</w:t>
      </w:r>
      <w:r>
        <w:t xml:space="preserve"> </w:t>
      </w:r>
      <w:r>
        <w:t xml:space="preserve">operative tool is a</w:t>
      </w:r>
      <w:r>
        <w:t xml:space="preserve"> </w:t>
      </w:r>
      <w:r>
        <w:rPr>
          <w:b/>
          <w:bCs/>
        </w:rPr>
        <w:t xml:space="preserve">scalar score</w:t>
      </w:r>
      <w:r>
        <w:t xml:space="preserve">, lexical or embedding relevance,</w:t>
      </w:r>
      <w:r>
        <w:t xml:space="preserve"> </w:t>
      </w:r>
      <w:r>
        <w:t xml:space="preserve">mutual information,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 </w:t>
      </w:r>
      <w:r>
        <w:t xml:space="preserve">(Ethayarajh et al. 2022)</w:t>
      </w:r>
      <w:r>
        <w:t xml:space="preserve">,</w:t>
      </w:r>
      <w:r>
        <w:t xml:space="preserve"> </w:t>
      </w:r>
      <w:r>
        <w:t xml:space="preserve">expected information gain, used to impose a total order and retain the top</w:t>
      </w:r>
      <w:r>
        <w:t xml:space="preserve"> </w:t>
      </w:r>
      <w:r>
        <w:t xml:space="preserve">candidates. The scalar is convenient: it sorts, thresholds, and composes. We</w:t>
      </w:r>
      <w:r>
        <w:t xml:space="preserve"> </w:t>
      </w:r>
      <w:r>
        <w:t xml:space="preserve">argue it is also the wrong abstraction, and that a classical apparatus from</w:t>
      </w:r>
      <w:r>
        <w:t xml:space="preserve"> </w:t>
      </w:r>
      <w:r>
        <w:t xml:space="preserve">statistical decision theory says precisely why.</w:t>
      </w:r>
    </w:p>
    <w:bookmarkStart w:id="9" w:name="what-is-and-is-not-new."/>
    <w:p>
      <w:pPr>
        <w:pStyle w:val="Heading4"/>
      </w:pPr>
      <w:r>
        <w:t xml:space="preserve">What is and is not new.</w:t>
      </w:r>
    </w:p>
    <w:p>
      <w:pPr>
        <w:pStyle w:val="FirstParagraph"/>
      </w:pPr>
      <w:r>
        <w:t xml:space="preserve">The mathematics is classical: the garbling order, the Blackwell–Sherman–Stein equivalence,</w:t>
      </w:r>
      <w:r>
        <w:t xml:space="preserve"> </w:t>
      </w:r>
      <w:r>
        <w:t xml:space="preserve">Le Cam’s deficiency. Several of the</w:t>
      </w:r>
      <w:r>
        <w:t xml:space="preserve"> </w:t>
      </w:r>
      <w:r>
        <w:rPr>
          <w:i/>
          <w:iCs/>
        </w:rPr>
        <w:t xml:space="preserve">phenomena</w:t>
      </w:r>
      <w:r>
        <w:t xml:space="preserve"> </w:t>
      </w:r>
      <w:r>
        <w:t xml:space="preserve">are also known, each in its own literature,</w:t>
      </w:r>
      <w:r>
        <w:t xml:space="preserve"> </w:t>
      </w:r>
      <w:r>
        <w:t xml:space="preserve">and we say so up front. Each of the following is established elsewhere:</w:t>
      </w:r>
    </w:p>
    <w:p>
      <w:pPr>
        <w:numPr>
          <w:ilvl w:val="0"/>
          <w:numId w:val="1001"/>
        </w:numPr>
      </w:pPr>
      <w:r>
        <w:t xml:space="preserve">topical relevance is the wrong target and downstream utility the right</w:t>
      </w:r>
      <w:r>
        <w:t xml:space="preserve"> </w:t>
      </w:r>
      <w:r>
        <w:t xml:space="preserve">one </w:t>
      </w:r>
      <w:r>
        <w:t xml:space="preserve">(H. Zhang et al. 2026)</w:t>
      </w:r>
      <w:r>
        <w:t xml:space="preserve">;</w:t>
      </w:r>
    </w:p>
    <w:p>
      <w:pPr>
        <w:numPr>
          <w:ilvl w:val="0"/>
          <w:numId w:val="1001"/>
        </w:numPr>
      </w:pPr>
      <w:r>
        <w:t xml:space="preserve">the same passage is worth different amounts to different</w:t>
      </w:r>
      <w:r>
        <w:t xml:space="preserve"> </w:t>
      </w:r>
      <w:r>
        <w:t xml:space="preserve">models </w:t>
      </w:r>
      <w:r>
        <w:t xml:space="preserve">(Zhang et al. 2025)</w:t>
      </w:r>
      <w:r>
        <w:t xml:space="preserve">;</w:t>
      </w:r>
    </w:p>
    <w:p>
      <w:pPr>
        <w:numPr>
          <w:ilvl w:val="0"/>
          <w:numId w:val="1001"/>
        </w:numPr>
      </w:pPr>
      <w:r>
        <w:t xml:space="preserve">adding sources can lower accuracy while coverage saturates, shown for data integration over</w:t>
      </w:r>
      <w:r>
        <w:t xml:space="preserve"> </w:t>
      </w:r>
      <w:r>
        <w:t xml:space="preserve">a decade ago </w:t>
      </w:r>
      <w:r>
        <w:t xml:space="preserve">(Dong et al. 2012)</w:t>
      </w:r>
      <w:r>
        <w:t xml:space="preserve">;</w:t>
      </w:r>
    </w:p>
    <w:p>
      <w:pPr>
        <w:numPr>
          <w:ilvl w:val="0"/>
          <w:numId w:val="1001"/>
        </w:numPr>
      </w:pPr>
      <w:r>
        <w:t xml:space="preserve">rerankers are steered by lexical similarity in the wild </w:t>
      </w:r>
      <w:r>
        <w:t xml:space="preserve">(Hagström, Nie, et al. 2025)</w:t>
      </w:r>
      <w:r>
        <w:t xml:space="preserve">;</w:t>
      </w:r>
    </w:p>
    <w:p>
      <w:pPr>
        <w:numPr>
          <w:ilvl w:val="0"/>
          <w:numId w:val="1001"/>
        </w:numPr>
      </w:pPr>
      <w:r>
        <w:t xml:space="preserve">keeping a non-dominated set rather than a top-</w:t>
      </w:r>
      <m:oMath>
        <m:r>
          <m:t>k</m:t>
        </m:r>
      </m:oMath>
      <w:r>
        <w:t xml:space="preserve"> </w:t>
      </w:r>
      <w:r>
        <w:t xml:space="preserve">prefix already exists as an operator over</w:t>
      </w:r>
      <w:r>
        <w:t xml:space="preserve"> </w:t>
      </w:r>
      <w:r>
        <w:t xml:space="preserve">heuristic scores </w:t>
      </w:r>
      <w:r>
        <w:t xml:space="preserve">(Zhu et al. 2026)</w:t>
      </w:r>
      <w:r>
        <w:t xml:space="preserve">;</w:t>
      </w:r>
    </w:p>
    <w:p>
      <w:pPr>
        <w:numPr>
          <w:ilvl w:val="0"/>
          <w:numId w:val="1001"/>
        </w:numPr>
      </w:pPr>
      <w:r>
        <w:t xml:space="preserve">the Blackwell and Le Cam apparatus was brought to inference-time context selection against a</w:t>
      </w:r>
      <w:r>
        <w:t xml:space="preserve"> </w:t>
      </w:r>
      <w:r>
        <w:t xml:space="preserve">frozen decoder concurrently with this work, and we claim no priority over</w:t>
      </w:r>
      <w:r>
        <w:t xml:space="preserve"> </w:t>
      </w:r>
      <w:r>
        <w:t xml:space="preserve">it </w:t>
      </w:r>
      <w:r>
        <w:t xml:space="preserve">(Alpila 2026a)</w:t>
      </w:r>
      <w:r>
        <w:t xml:space="preserve">.</w:t>
      </w:r>
    </w:p>
    <w:p>
      <w:pPr>
        <w:pStyle w:val="FirstParagraph"/>
      </w:pPr>
      <w:r>
        <w:t xml:space="preserve">What is new is the</w:t>
      </w:r>
      <w:r>
        <w:t xml:space="preserve"> </w:t>
      </w:r>
      <w:r>
        <w:rPr>
          <w:i/>
          <w:iCs/>
        </w:rPr>
        <w:t xml:space="preserve">form</w:t>
      </w:r>
      <w:r>
        <w:t xml:space="preserve"> </w:t>
      </w:r>
      <w:r>
        <w:t xml:space="preserve">that ties them together:</w:t>
      </w:r>
    </w:p>
    <w:p>
      <w:pPr>
        <w:numPr>
          <w:ilvl w:val="0"/>
          <w:numId w:val="1002"/>
        </w:numPr>
      </w:pPr>
      <w:r>
        <w:t xml:space="preserve">reading cross-task non-transfer as a partial order over context sources;</w:t>
      </w:r>
    </w:p>
    <w:p>
      <w:pPr>
        <w:numPr>
          <w:ilvl w:val="0"/>
          <w:numId w:val="1002"/>
        </w:numPr>
      </w:pPr>
      <w:r>
        <w:t xml:space="preserve">proving that no single per-source score, relevance or utility, can be faithful to that order</w:t>
      </w:r>
      <w:r>
        <w:t xml:space="preserve"> </w:t>
      </w:r>
      <w:r>
        <w:t xml:space="preserve">across tasks once two sources are incomparable. Utility re-measured per task by running the</w:t>
      </w:r>
      <w:r>
        <w:t xml:space="preserve"> </w:t>
      </w:r>
      <w:r>
        <w:t xml:space="preserve">model is therefore not a shortcut around the theorem but the probe it calls for;</w:t>
      </w:r>
    </w:p>
    <w:p>
      <w:pPr>
        <w:numPr>
          <w:ilvl w:val="0"/>
          <w:numId w:val="1002"/>
        </w:numPr>
      </w:pPr>
      <w:r>
        <w:t xml:space="preserve">giving a finite-sample test that verifies incomparability and superset harm on a live model,</w:t>
      </w:r>
      <w:r>
        <w:t xml:space="preserve"> </w:t>
      </w:r>
      <w:r>
        <w:t xml:space="preserve">with both sources held correct, the length and position confounds controlled, and the effect of</w:t>
      </w:r>
      <w:r>
        <w:t xml:space="preserve"> </w:t>
      </w:r>
      <w:r>
        <w:t xml:space="preserve">an explicit routing instruction measured rather than assumed away (§2).</w:t>
      </w:r>
    </w:p>
    <w:p>
      <w:pPr>
        <w:pStyle w:val="FirstParagraph"/>
      </w:pPr>
      <w:r>
        <w:t xml:space="preserve">One gap needs care. Blackwell’s theorem is about the</w:t>
      </w:r>
      <w:r>
        <w:t xml:space="preserve"> </w:t>
      </w:r>
      <w:r>
        <w:rPr>
          <w:i/>
          <w:iCs/>
        </w:rPr>
        <w:t xml:space="preserve">best possible</w:t>
      </w:r>
      <w:r>
        <w:t xml:space="preserve"> </w:t>
      </w:r>
      <w:r>
        <w:t xml:space="preserve">use</w:t>
      </w:r>
      <w:r>
        <w:t xml:space="preserve"> </w:t>
      </w:r>
      <w:r>
        <w:t xml:space="preserve">of a source, but every number we measure comes from one fixed model: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the pass rate of a single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that is not optimal. So</w:t>
      </w:r>
      <w:r>
        <w:t xml:space="preserve"> </w:t>
      </w:r>
      <w:r>
        <w:t xml:space="preserve">we state the order twice, once for the ideal user and once for the fixed model, and prove a one-way</w:t>
      </w:r>
      <w:r>
        <w:t xml:space="preserve"> </w:t>
      </w:r>
      <w:r>
        <w:t xml:space="preserve">bridge from what we measure to what the theorem is about (§4); and we call our</w:t>
      </w:r>
      <w:r>
        <w:t xml:space="preserve"> </w:t>
      </w:r>
      <w:r>
        <w:t xml:space="preserve">estimator a</w:t>
      </w:r>
      <w:r>
        <w:t xml:space="preserve"> </w:t>
      </w:r>
      <w:r>
        <w:rPr>
          <w:i/>
          <w:iCs/>
        </w:rPr>
        <w:t xml:space="preserve">value-deficiency surrogate</w:t>
      </w:r>
      <w:r>
        <w:t xml:space="preserve">, not a Le Cam deficiency (§6).</w:t>
      </w:r>
    </w:p>
    <w:bookmarkEnd w:id="9"/>
    <w:bookmarkStart w:id="10" w:name="contributions."/>
    <w:p>
      <w:pPr>
        <w:pStyle w:val="Heading4"/>
      </w:pPr>
      <w:r>
        <w:t xml:space="preserve">Contributions.</w:t>
      </w:r>
    </w:p>
    <w:p>
      <w:pPr>
        <w:pStyle w:val="FirstParagraph"/>
      </w:pPr>
      <w:r>
        <w:t xml:space="preserve">The paper makes one claim, that the order over context sources is</w:t>
      </w:r>
      <w:r>
        <w:t xml:space="preserve"> </w:t>
      </w:r>
      <w:r>
        <w:rPr>
          <w:i/>
          <w:iCs/>
        </w:rPr>
        <w:t xml:space="preserve">partial</w:t>
      </w:r>
      <w:r>
        <w:t xml:space="preserve"> </w:t>
      </w:r>
      <w:r>
        <w:t xml:space="preserve">rather than total, and contributes the three pieces that claim needs: what follows</w:t>
      </w:r>
      <w:r>
        <w:t xml:space="preserve"> </w:t>
      </w:r>
      <w:r>
        <w:t xml:space="preserve">from it, the instrument that makes it testable, and the evidence that it holds.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Theory: the order is partial, and no single per-source score survives it</w:t>
      </w:r>
      <w:r>
        <w:t xml:space="preserve"> </w:t>
      </w:r>
      <w:r>
        <w:t xml:space="preserve">(§4, §5). We formalize context sources as statistical</w:t>
      </w:r>
      <w:r>
        <w:t xml:space="preserve"> </w:t>
      </w:r>
      <w:r>
        <w:t xml:space="preserve">experiments on the task’s latent requirement, instantiate the Blackwell garbling order with its</w:t>
      </w:r>
      <w:r>
        <w:t xml:space="preserve"> </w:t>
      </w:r>
      <w:r>
        <w:t xml:space="preserve">for-all-tasks dominance guarantee via the Blackwell–Sherman–Stein theorem, define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the experiments probe, and prove a one-way bridging lemma between</w:t>
      </w:r>
      <w:r>
        <w:t xml:space="preserve"> </w:t>
      </w:r>
      <w:r>
        <w:t xml:space="preserve">them. Bringing this apparatus to inference-time context is not by itself ours: concurrent work</w:t>
      </w:r>
      <w:r>
        <w:t xml:space="preserve"> </w:t>
      </w:r>
      <w:r>
        <w:t xml:space="preserve">reaches the same classical objects from the admission side (§2.3). What</w:t>
      </w:r>
      <w:r>
        <w:t xml:space="preserve"> </w:t>
      </w:r>
      <w:r>
        <w:t xml:space="preserve">is ours is the consequence of taking</w:t>
      </w:r>
      <w:r>
        <w:t xml:space="preserve"> </w:t>
      </w:r>
      <w:r>
        <w:rPr>
          <w:i/>
          <w:iCs/>
        </w:rPr>
        <w:t xml:space="preserve">incomparability</w:t>
      </w:r>
      <w:r>
        <w:t xml:space="preserve"> </w:t>
      </w:r>
      <w:r>
        <w:t xml:space="preserve">rather than deficiency-minimization</w:t>
      </w:r>
      <w:r>
        <w:t xml:space="preserve"> </w:t>
      </w:r>
      <w:r>
        <w:t xml:space="preserve">as the object. Blackwell-incomparable sources cannot be ranked by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single per-source</w:t>
      </w:r>
      <w:r>
        <w:t xml:space="preserve"> </w:t>
      </w:r>
      <w:r>
        <w:t xml:space="preserve">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 relevance or utility, for all tasks (Theorem 2), with</w:t>
      </w:r>
      <w:r>
        <w:t xml:space="preserve"> </w:t>
      </w:r>
      <w:r>
        <w:t xml:space="preserve">the query-conditioned topical case isolated separately (Proposition 2);</w:t>
      </w:r>
      <w:r>
        <w:t xml:space="preserve"> </w:t>
      </w:r>
      <w:r>
        <w:t xml:space="preserve">Information retrieval has long argued that no single fixed document</w:t>
      </w:r>
      <w:r>
        <w:t xml:space="preserve"> </w:t>
      </w:r>
      <w:r>
        <w:t xml:space="preserve">score is optimal once documents interact (§2.1); we derive the impossibility as</w:t>
      </w:r>
      <w:r>
        <w:t xml:space="preserve"> </w:t>
      </w:r>
      <w:r>
        <w:t xml:space="preserve">a theorem in the Blackwell frame and name the exact structural condition under which it bites.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Verification: a measurable deficiency surrogate with finite-sample</w:t>
      </w:r>
      <w:r>
        <w:rPr>
          <w:b/>
          <w:bCs/>
        </w:rPr>
        <w:t xml:space="preserve"> </w:t>
      </w:r>
      <w:r>
        <w:rPr>
          <w:b/>
          <w:bCs/>
        </w:rPr>
        <w:t xml:space="preserve">guarantees</w:t>
      </w:r>
      <w:r>
        <w:t xml:space="preserve"> </w:t>
      </w:r>
      <w:r>
        <w:t xml:space="preserve">(§6). We define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rPr>
                    <m:sty m:val="p"/>
                  </m:rPr>
                  <m:t>sup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e>
        </m:d>
      </m:oMath>
      <w:r>
        <w:t xml:space="preserve">, a</w:t>
      </w:r>
      <w:r>
        <w:t xml:space="preserve"> </w:t>
      </w:r>
      <w:r>
        <w:t xml:space="preserve">decision-restricted value-deficiency surrogate (named as such, not as a Le Cam</w:t>
      </w:r>
      <w:r>
        <w:t xml:space="preserve"> </w:t>
      </w:r>
      <w:r>
        <w:t xml:space="preserve">deficiency), and a distribution-free uniform verification: exact</w:t>
      </w:r>
      <w:r>
        <w:t xml:space="preserve"> </w:t>
      </w:r>
      <w:r>
        <w:t xml:space="preserve">Clopper–Pearson intervals </w:t>
      </w:r>
      <w:r>
        <w:t xml:space="preserve">(Clopper and Pearson 1934)</w:t>
      </w:r>
      <w:r>
        <w:t xml:space="preserve"> </w:t>
      </w:r>
      <w:r>
        <w:t xml:space="preserve">at Bonferroni</w:t>
      </w:r>
      <w:r>
        <w:t xml:space="preserve"> </w:t>
      </w:r>
      <w:r>
        <w:t xml:space="preserve">level </w:t>
      </w:r>
      <w:r>
        <w:t xml:space="preserve">(Bonferroni 1936)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valid jointly on</w:t>
      </w:r>
      <w:r>
        <w:t xml:space="preserve"> </w:t>
      </w:r>
      <w:r>
        <w:t xml:space="preserve">a single event, so that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verifies a positive value gap at</w:t>
      </w:r>
      <w:r>
        <w:t xml:space="preserve"> </w:t>
      </w:r>
      <w:r>
        <w:t xml:space="preserve">confidence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The selection multiplicity is paid explicitly rather than absorbed</w:t>
      </w:r>
      <w:r>
        <w:t xml:space="preserve"> </w:t>
      </w:r>
      <w:r>
        <w:t xml:space="preserve">into a single-sample sup inequality </w:t>
      </w:r>
      <w:r>
        <w:t xml:space="preserve">(Dvoretzky et al. 1956)</w:t>
      </w:r>
      <w:r>
        <w:t xml:space="preserve">, which does not cover an argmax over</w:t>
      </w:r>
      <w:r>
        <w:t xml:space="preserve"> </w:t>
      </w:r>
      <w:r>
        <w:t xml:space="preserve">distinct cells; the matching interference verification follows. This is the instrument that makes the</w:t>
      </w:r>
      <w:r>
        <w:t xml:space="preserve"> </w:t>
      </w:r>
      <w:r>
        <w:t xml:space="preserve">partial order testable on a real model behind a real verifier.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Evidence: verified incomparability and scalar-ranking failure on</w:t>
      </w:r>
      <w:r>
        <w:rPr>
          <w:b/>
          <w:bCs/>
        </w:rPr>
        <w:t xml:space="preserve"> </w:t>
      </w:r>
      <w:r>
        <w:rPr>
          <w:b/>
          <w:bCs/>
        </w:rPr>
        <w:t xml:space="preserve">live models</w:t>
      </w:r>
      <w:r>
        <w:t xml:space="preserve"> </w:t>
      </w:r>
      <w:r>
        <w:t xml:space="preserve">(§7). Verified empirical incomparability on six models across</w:t>
      </w:r>
      <w:r>
        <w:t xml:space="preserve"> </w:t>
      </w:r>
      <w:r>
        <w:t xml:space="preserve">four vendors; the ranker-spectrum mis-rank on a confound-controlled trap (lexical cosine, dense</w:t>
      </w:r>
      <w:r>
        <w:t xml:space="preserve"> </w:t>
      </w:r>
      <w:r>
        <w:t xml:space="preserve">bi-encoders, and a cross-encoder all fail; an LLM listwise reranker that reads the decisive</w:t>
      </w:r>
      <w:r>
        <w:t xml:space="preserve"> </w:t>
      </w:r>
      <w:r>
        <w:t xml:space="preserve">content escapes, exactly the topicality boundary the theory draws); and verified</w:t>
      </w:r>
      <w:r>
        <w:t xml:space="preserve"> </w:t>
      </w:r>
      <w:r>
        <w:t xml:space="preserve">anti-monotonicity, a strict superset of a sufficient source collapsing PASS, with order,</w:t>
      </w:r>
      <w:r>
        <w:t xml:space="preserve"> </w:t>
      </w:r>
      <w:r>
        <w:t xml:space="preserve">length-padding, and routing-instruction controls, all with the scope limits stated in</w:t>
      </w:r>
      <w:r>
        <w:t xml:space="preserve"> </w:t>
      </w:r>
      <w:r>
        <w:t xml:space="preserve">§8.4.</w:t>
      </w:r>
    </w:p>
    <w:bookmarkEnd w:id="10"/>
    <w:bookmarkStart w:id="13" w:name="Xb6701dcf12d16d79f6bf2e7b4dc1d334ba13c75"/>
    <w:p>
      <w:pPr>
        <w:pStyle w:val="Heading4"/>
      </w:pPr>
      <w:r>
        <w:t xml:space="preserve">How to read the formal terms, and where things are.</w:t>
      </w:r>
    </w:p>
    <w:p>
      <w:pPr>
        <w:pStyle w:val="FirstParagraph"/>
      </w:pPr>
      <w:r>
        <w:t xml:space="preserve">Table 1 gives the engineering reading of each recurring term, and a reader who</w:t>
      </w:r>
      <w:r>
        <w:t xml:space="preserve"> </w:t>
      </w:r>
      <w:r>
        <w:t xml:space="preserve">wants the measured result first can go straight to §7. The rest is arranged</w:t>
      </w:r>
      <w:r>
        <w:t xml:space="preserve"> </w:t>
      </w:r>
      <w:r>
        <w:t xml:space="preserve">as follows. §2 places the contribution against prior work;</w:t>
      </w:r>
      <w:r>
        <w:t xml:space="preserve"> </w:t>
      </w:r>
      <w:r>
        <w:t xml:space="preserve">§§4–5 build the order and prove the two impossibility</w:t>
      </w:r>
      <w:r>
        <w:t xml:space="preserve"> </w:t>
      </w:r>
      <w:r>
        <w:t xml:space="preserve">results; §6 defines the verification and its confidence accounting;</w:t>
      </w:r>
      <w:r>
        <w:t xml:space="preserve"> </w:t>
      </w:r>
      <w:r>
        <w:t xml:space="preserve">§7 reports the six-model measurement and the controls;</w:t>
      </w:r>
      <w:r>
        <w:t xml:space="preserve"> </w:t>
      </w:r>
      <w:r>
        <w:t xml:space="preserve">§8 discusses scope and §9 concludes. Every proof is in</w:t>
      </w:r>
      <w:r>
        <w:t xml:space="preserve"> </w:t>
      </w:r>
      <w:r>
        <w:t xml:space="preserve">Appendix A, the extended per-cell record in Appendix B, and the</w:t>
      </w:r>
      <w:r>
        <w:t xml:space="preserve"> </w:t>
      </w:r>
      <w:r>
        <w:t xml:space="preserve">protocol in Appendix E.</w:t>
      </w:r>
    </w:p>
    <w:bookmarkStart w:id="11" w:name="tab:glossary"/>
    <w:p>
      <w:pPr>
        <w:pStyle w:val="TableCaption"/>
      </w:pPr>
      <w:r>
        <w:t xml:space="preserve">Glossary: the recurring formal terms and their engineering reading.</w:t>
      </w:r>
    </w:p>
    <w:tbl>
      <w:tblPr>
        <w:tblStyle w:val="Table"/>
        <w:tblW w:type="pct" w:w="4700"/>
        <w:tblLayout w:type="fixed"/>
        <w:tblLook w:firstRow="1" w:lastRow="0" w:firstColumn="0" w:lastColumn="0" w:noHBand="0" w:noVBand="0" w:val="0020"/>
        <w:tblCaption w:val="Glossary: the recurring formal terms and their engineering reading."/>
      </w:tblPr>
      <w:tblGrid>
        <w:gridCol w:w="2376"/>
        <w:gridCol w:w="50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Formal 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(an experiment)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candidate context item: a doc, note, or module you could paste into the prompt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Blackwell dominance</w:t>
            </w:r>
            <w:r>
              <w:t xml:space="preserve"> </w:t>
            </w:r>
            <m:oMath>
              <m:r>
                <m:t>W</m:t>
              </m:r>
              <m:sSub>
                <m:e>
                  <m:r>
                    <m:rPr>
                      <m:sty m:val="p"/>
                    </m:rPr>
                    <m:t>≽</m:t>
                  </m:r>
                </m:e>
                <m:sub>
                  <m:r>
                    <m:t>B</m:t>
                  </m:r>
                </m:sub>
              </m:sSub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  <w:r>
              <w:t xml:space="preserve"> </w:t>
            </w:r>
            <w:r>
              <w:t xml:space="preserve">answers everything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answers; keeping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dropping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source is decisive on tasks where the other fails; no single number can rank them once and for 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garbling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a lossy transformation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: everything in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derivable from</w:t>
            </w:r>
            <w:r>
              <w:t xml:space="preserve"> </w:t>
            </w:r>
            <m:oMath>
              <m:r>
                <m:t>W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anti-monotonicity (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pasting more true, on-topic text into a working prompt can break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non-dominated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shortlist you must keep whole, because nothing on it verifiably covers anything else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claim measured with exact finite-sample error bars, still significant after multiple-comparison correction, under the per-cell Bernoulli sampling model of Assumption 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rule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model as it actually behaves on the prompt, not an idealized optimal user of the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surrogate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δ</m:t>
                      </m:r>
                    </m:e>
                  </m:acc>
                </m:e>
                <m:sub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how many PASS points you lose by using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on the task family</w:t>
            </w:r>
          </w:p>
        </w:tc>
      </w:tr>
    </w:tbl>
    <w:bookmarkEnd w:id="11"/>
    <w:p>
      <w:pPr>
        <w:pStyle w:val="BodyText"/>
      </w:pPr>
      <w:bookmarkStart w:id="12" w:name="tab:glossary"/>
      <w:bookmarkEnd w:id="12"/>
    </w:p>
    <w:bookmarkEnd w:id="13"/>
    <w:bookmarkEnd w:id="14"/>
    <w:bookmarkStart w:id="22" w:name="sec:related"/>
    <w:p>
      <w:pPr>
        <w:pStyle w:val="Heading1"/>
      </w:pPr>
      <w:r>
        <w:t xml:space="preserve">Related Work</w:t>
      </w:r>
    </w:p>
    <w:bookmarkStart w:id="16" w:name="sec:related-scalar"/>
    <w:p>
      <w:pPr>
        <w:pStyle w:val="Heading2"/>
      </w:pPr>
      <w:r>
        <w:t xml:space="preserve">Scalar selection and its limits in information retrieval</w:t>
      </w:r>
    </w:p>
    <w:p>
      <w:pPr>
        <w:pStyle w:val="FirstParagraph"/>
      </w:pPr>
      <w:bookmarkStart w:id="15" w:name="sec:related-ir"/>
      <w:bookmarkEnd w:id="15"/>
    </w:p>
    <w:p>
      <w:pPr>
        <w:pStyle w:val="BodyText"/>
      </w:pPr>
      <w:r>
        <w:t xml:space="preserve">Context and demonstration selection is dominated by</w:t>
      </w:r>
      <w:r>
        <w:t xml:space="preserve"> </w:t>
      </w:r>
      <w:r>
        <w:rPr>
          <w:i/>
          <w:iCs/>
        </w:rPr>
        <w:t xml:space="preserve">scalar</w:t>
      </w:r>
      <w:r>
        <w:t xml:space="preserve"> </w:t>
      </w:r>
      <w:r>
        <w:t xml:space="preserve">criteria, each inducing a total</w:t>
      </w:r>
      <w:r>
        <w:t xml:space="preserve"> </w:t>
      </w:r>
      <w:r>
        <w:t xml:space="preserve">order and a top-</w:t>
      </w:r>
      <m:oMath>
        <m:r>
          <m:t>k</m:t>
        </m:r>
      </m:oMath>
      <w:r>
        <w:t xml:space="preserve"> </w:t>
      </w:r>
      <w:r>
        <w:t xml:space="preserve">prefix: topical relevance, lexical or learned </w:t>
      </w:r>
      <w:r>
        <w:t xml:space="preserve">(Yu et al. 2024)</w:t>
      </w:r>
      <w:r>
        <w:t xml:space="preserve">;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 </w:t>
      </w:r>
      <w:r>
        <w:t xml:space="preserve">(Ethayarajh et al. 2022; Yuan et al. 2025)</w:t>
      </w:r>
      <w:r>
        <w:t xml:space="preserve">; expected information gain and Bayesian</w:t>
      </w:r>
      <w:r>
        <w:t xml:space="preserve"> </w:t>
      </w:r>
      <w:r>
        <w:t xml:space="preserve">experimental design </w:t>
      </w:r>
      <w:r>
        <w:t xml:space="preserve">(Choudhury et al. 2025; Chan et al. 2025)</w:t>
      </w:r>
      <w:r>
        <w:t xml:space="preserve">; game-theoretic and influence-based valuation</w:t>
      </w:r>
      <w:r>
        <w:t xml:space="preserve"> </w:t>
      </w:r>
      <w:r>
        <w:t xml:space="preserve">of demonstrations </w:t>
      </w:r>
      <w:r>
        <w:t xml:space="preserve">(Xie et al. 2024; Vinay et al. 2024)</w:t>
      </w:r>
      <w:r>
        <w:t xml:space="preserve"> </w:t>
      </w:r>
      <w:r>
        <w:t xml:space="preserve">and of retrieved</w:t>
      </w:r>
      <w:r>
        <w:t xml:space="preserve"> </w:t>
      </w:r>
      <w:r>
        <w:t xml:space="preserve">documents </w:t>
      </w:r>
      <w:r>
        <w:t xml:space="preserve">(Nematov et al. 2025)</w:t>
      </w:r>
      <w:r>
        <w:t xml:space="preserve">; perplexity-reduction utility </w:t>
      </w:r>
      <w:r>
        <w:t xml:space="preserve">(Dai et al. 2025)</w:t>
      </w:r>
      <w:r>
        <w:t xml:space="preserve">; and binary</w:t>
      </w:r>
      <w:r>
        <w:t xml:space="preserve"> </w:t>
      </w:r>
      <w:r>
        <w:t xml:space="preserve">sufficient-context detection </w:t>
      </w:r>
      <w:r>
        <w:t xml:space="preserve">(Joren et al. 2024)</w:t>
      </w:r>
      <w:r>
        <w:t xml:space="preserve">. Each collapses the comparison of two</w:t>
      </w:r>
      <w:r>
        <w:t xml:space="preserve"> </w:t>
      </w:r>
      <w:r>
        <w:t xml:space="preserve">sources to one real number and is therefore a scalar of the kind the paper rules out</w:t>
      </w:r>
      <w:r>
        <w:t xml:space="preserve"> </w:t>
      </w:r>
      <w:r>
        <w:t xml:space="preserve">(Theorem 2 for query-independent scores,</w:t>
      </w:r>
      <w:r>
        <w:t xml:space="preserve"> </w:t>
      </w:r>
      <w:r>
        <w:t xml:space="preserve">Proposition 2 for topical query-conditioned ones): not a competitor to</w:t>
      </w:r>
      <w:r>
        <w:t xml:space="preserve"> </w:t>
      </w:r>
      <w:r>
        <w:t xml:space="preserve">out-perform but an instance of the excluded class (we prove Blackwell-monotonicity for the closest</w:t>
      </w:r>
      <w:r>
        <w:t xml:space="preserve"> </w:t>
      </w:r>
      <w:r>
        <w:t xml:space="preserve">neighbour,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in Proposition 1; for mutual</w:t>
      </w:r>
      <w:r>
        <w:t xml:space="preserve"> </w:t>
      </w:r>
      <w:r>
        <w:t xml:space="preserve">information and fixed-prior EIG it is immediate from data processing, and for a fixed decoder’s</w:t>
      </w:r>
      <w:r>
        <w:t xml:space="preserve"> </w:t>
      </w:r>
      <w:r>
        <w:t xml:space="preserve">perplexity-gap we claim nothing, Remark 5). Guarantees do not change the class: conformal context</w:t>
      </w:r>
      <w:r>
        <w:t xml:space="preserve"> </w:t>
      </w:r>
      <w:r>
        <w:t xml:space="preserve">filtering </w:t>
      </w:r>
      <w:r>
        <w:t xml:space="preserve">(Chakraborty et al. 2025)</w:t>
      </w:r>
      <w:r>
        <w:t xml:space="preserve"> </w:t>
      </w:r>
      <w:r>
        <w:t xml:space="preserve">calibrates a distribution-free threshold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scalar score and so inherits the total order it calibrates, whereas what we verify is an order</w:t>
      </w:r>
      <w:r>
        <w:t xml:space="preserve"> </w:t>
      </w:r>
      <w:r>
        <w:t xml:space="preserve">relation between sources; and scorers of equal ranking quality can retain different document</w:t>
      </w:r>
      <w:r>
        <w:t xml:space="preserve"> </w:t>
      </w:r>
      <w:r>
        <w:t xml:space="preserve">sets </w:t>
      </w:r>
      <w:r>
        <w:t xml:space="preserve">(Frohmann et al. 2026)</w:t>
      </w:r>
      <w:r>
        <w:t xml:space="preserve">, a symptom of the same under-determination. The machinery</w:t>
      </w:r>
      <w:r>
        <w:t xml:space="preserve"> </w:t>
      </w:r>
      <w:r>
        <w:t xml:space="preserve">for identifying a non-dominated set from noisy multi-objective samples is in turn classical in the</w:t>
      </w:r>
      <w:r>
        <w:t xml:space="preserve"> </w:t>
      </w:r>
      <w:r>
        <w:t xml:space="preserve">bandit literature:</w:t>
      </w:r>
      <w:r>
        <w:t xml:space="preserve"> </w:t>
      </w:r>
      <w:r>
        <w:t xml:space="preserve">Auer et al. (2016)</w:t>
      </w:r>
      <w:r>
        <w:t xml:space="preserve"> </w:t>
      </w:r>
      <w:r>
        <w:t xml:space="preserve">give confidence-bound algorithms that identify the</w:t>
      </w:r>
      <w:r>
        <w:t xml:space="preserve"> </w:t>
      </w:r>
      <w:r>
        <w:t xml:space="preserve">Pareto front from stochastic samples, with a gap-based sample complexity of the kind our</w:t>
      </w:r>
      <w:r>
        <w:t xml:space="preserve"> </w:t>
      </w:r>
      <w:r>
        <w:t xml:space="preserve">verification pays for directly. What is new here is not the statistical machinery but the object</w:t>
      </w:r>
      <w:r>
        <w:t xml:space="preserve"> </w:t>
      </w:r>
      <w:r>
        <w:t xml:space="preserve">it is run on, (model, verifier, task-battery) triples, and its use as a verification of</w:t>
      </w:r>
      <w:r>
        <w:t xml:space="preserve"> </w:t>
      </w:r>
      <w:r>
        <w:t xml:space="preserve">incomparability between context sources.</w:t>
      </w:r>
    </w:p>
    <w:p>
      <w:pPr>
        <w:pStyle w:val="BodyText"/>
      </w:pPr>
      <w:r>
        <w:t xml:space="preserve">The retrieval community has itself moved from relevance to</w:t>
      </w:r>
      <w:r>
        <w:t xml:space="preserve"> </w:t>
      </w:r>
      <w:r>
        <w:rPr>
          <w:i/>
          <w:iCs/>
        </w:rPr>
        <w:t xml:space="preserve">utility</w:t>
      </w:r>
      <w:r>
        <w:t xml:space="preserve">, the downstream gain a</w:t>
      </w:r>
      <w:r>
        <w:t xml:space="preserve"> </w:t>
      </w:r>
      <w:r>
        <w:t xml:space="preserve">passage brings </w:t>
      </w:r>
      <w:r>
        <w:t xml:space="preserve">(H. Zhang et al. 2026)</w:t>
      </w:r>
      <w:r>
        <w:t xml:space="preserve">, and has found that utility is</w:t>
      </w:r>
      <w:r>
        <w:t xml:space="preserve"> </w:t>
      </w:r>
      <w:r>
        <w:t xml:space="preserve">model-specific </w:t>
      </w:r>
      <w:r>
        <w:t xml:space="preserve">(Zhang et al. 2025)</w:t>
      </w:r>
      <w:r>
        <w:t xml:space="preserve"> </w:t>
      </w:r>
      <w:r>
        <w:t xml:space="preserve">and can depend on which other passages are</w:t>
      </w:r>
      <w:r>
        <w:t xml:space="preserve"> </w:t>
      </w:r>
      <w:r>
        <w:t xml:space="preserve">present </w:t>
      </w:r>
      <w:r>
        <w:t xml:space="preserve">(Jain and Garimella 2025)</w:t>
      </w:r>
      <w:r>
        <w:t xml:space="preserve">. We regard this as the same diagnosis reached from the</w:t>
      </w:r>
      <w:r>
        <w:t xml:space="preserve"> </w:t>
      </w:r>
      <w:r>
        <w:t xml:space="preserve">other side, and the present paper as its formal boundary. Utility re-measured per task by running</w:t>
      </w:r>
      <w:r>
        <w:t xml:space="preserve"> </w:t>
      </w:r>
      <w:r>
        <w:t xml:space="preserve">the model is not a fixed per-source score; it is the probe our estimator is built from, and its cost</w:t>
      </w:r>
      <w:r>
        <w:t xml:space="preserve"> </w:t>
      </w:r>
      <w:r>
        <w:t xml:space="preserve">is the price we make explicit. Utility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by a learned scorer is a number again: fixed across tasks it is</w:t>
      </w:r>
      <w:r>
        <w:t xml:space="preserve"> </w:t>
      </w:r>
      <w:r>
        <w:t xml:space="preserve">covered by Theorem 2; query-conditioned but topical, by</w:t>
      </w:r>
      <w:r>
        <w:t xml:space="preserve"> </w:t>
      </w:r>
      <w:r>
        <w:t xml:space="preserve">Proposition 2 when it meets that proposition’s hypotheses. Reading the</w:t>
      </w:r>
      <w:r>
        <w:t xml:space="preserve"> </w:t>
      </w:r>
      <w:r>
        <w:t xml:space="preserve">decisive coordinate is one way out, which is the listwise boundary; reading public task metadata</w:t>
      </w:r>
      <w:r>
        <w:t xml:space="preserve"> </w:t>
      </w:r>
      <w:r>
        <w:t xml:space="preserve">is another (Remark 6). Three families</w:t>
      </w:r>
      <w:r>
        <w:t xml:space="preserve"> </w:t>
      </w:r>
      <w:r>
        <w:t xml:space="preserve">sit at the boundary. Listwise LLM rerankers </w:t>
      </w:r>
      <w:r>
        <w:t xml:space="preserve">(Sun et al. 2023)</w:t>
      </w:r>
      <w:r>
        <w:t xml:space="preserve"> </w:t>
      </w:r>
      <w:r>
        <w:t xml:space="preserve">and learned set</w:t>
      </w:r>
      <w:r>
        <w:t xml:space="preserve"> </w:t>
      </w:r>
      <w:r>
        <w:t xml:space="preserve">selectors </w:t>
      </w:r>
      <w:r>
        <w:t xml:space="preserve">(Jiang et al. 2026; Fan et al. 2026)</w:t>
      </w:r>
      <w:r>
        <w:t xml:space="preserve"> </w:t>
      </w:r>
      <w:r>
        <w:t xml:space="preserve">are query-conditioned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functions, outside the</w:t>
      </w:r>
      <w:r>
        <w:t xml:space="preserve"> </w:t>
      </w:r>
      <w:r>
        <w:t xml:space="preserve">theorem’s scope, though they carry no dominance guarantee of any kind. Skyline</w:t>
      </w:r>
      <w:r>
        <w:t xml:space="preserve"> </w:t>
      </w:r>
      <w:r>
        <w:t xml:space="preserve">selection </w:t>
      </w:r>
      <w:r>
        <w:t xml:space="preserve">(Zhu et al. 2026)</w:t>
      </w:r>
      <w:r>
        <w:t xml:space="preserve"> </w:t>
      </w:r>
      <w:r>
        <w:t xml:space="preserve">keeps every non-dominated candidate instead of a top-</w:t>
      </w:r>
      <m:oMath>
        <m:r>
          <m:t>k</m:t>
        </m:r>
      </m:oMath>
      <w:r>
        <w:t xml:space="preserve">, the</w:t>
      </w:r>
      <w:r>
        <w:t xml:space="preserve"> </w:t>
      </w:r>
      <w:r>
        <w:t xml:space="preserve">operator the partial order calls for, but takes dominance over heuristic per-item scores rather</w:t>
      </w:r>
      <w:r>
        <w:t xml:space="preserve"> </w:t>
      </w:r>
      <w:r>
        <w:t xml:space="preserve">than over task value. Diversity-aware selection, from MMR </w:t>
      </w:r>
      <w:r>
        <w:t xml:space="preserve">(Carbonell and Goldstein 1998)</w:t>
      </w:r>
      <w:r>
        <w:t xml:space="preserve"> </w:t>
      </w:r>
      <w:r>
        <w:t xml:space="preserve">to</w:t>
      </w:r>
      <w:r>
        <w:t xml:space="preserve"> </w:t>
      </w:r>
      <w:r>
        <w:t xml:space="preserve">DPPs </w:t>
      </w:r>
      <w:r>
        <w:t xml:space="preserve">(Ye et al. 2023)</w:t>
      </w:r>
      <w:r>
        <w:t xml:space="preserve"> </w:t>
      </w:r>
      <w:r>
        <w:t xml:space="preserve">and submodular context selection </w:t>
      </w:r>
      <w:r>
        <w:t xml:space="preserve">(Ghulyani et al. 2026)</w:t>
      </w:r>
      <w:r>
        <w:t xml:space="preserve">, optimizes set</w:t>
      </w:r>
      <w:r>
        <w:t xml:space="preserve"> </w:t>
      </w:r>
      <w:r>
        <w:t xml:space="preserve">objectives over similarity geometry rather than over verified task value. Directed-information</w:t>
      </w:r>
      <w:r>
        <w:t xml:space="preserve"> </w:t>
      </w:r>
      <m:oMath>
        <m:r>
          <m:t>γ</m:t>
        </m:r>
      </m:oMath>
      <w:r>
        <w:t xml:space="preserve">-covering </w:t>
      </w:r>
      <w:r>
        <w:t xml:space="preserve">(Huang 2025)</w:t>
      </w:r>
      <w:r>
        <w:t xml:space="preserve"> </w:t>
      </w:r>
      <w:r>
        <w:t xml:space="preserve">is the closest of these in form, because its covering</w:t>
      </w:r>
      <w:r>
        <w:t xml:space="preserve"> </w:t>
      </w:r>
      <w:r>
        <w:t xml:space="preserve">relation is genuinely</w:t>
      </w:r>
      <w:r>
        <w:t xml:space="preserve"> </w:t>
      </w:r>
      <w:r>
        <w:rPr>
          <w:i/>
          <w:iCs/>
        </w:rPr>
        <w:t xml:space="preserve">asymmetric</w:t>
      </w:r>
      <w:r>
        <w:t xml:space="preserve"> </w:t>
      </w:r>
      <w:r>
        <w:t xml:space="preserve">and information-theoretic rather than geometric: chunk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covers chunk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it predicts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to within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bits. The relation it orders, however, is</w:t>
      </w:r>
      <w:r>
        <w:t xml:space="preserve"> </w:t>
      </w:r>
      <w:r>
        <w:t xml:space="preserve">redundancy</w:t>
      </w:r>
      <w:r>
        <w:t xml:space="preserve"> </w:t>
      </w:r>
      <w:r>
        <w:rPr>
          <w:i/>
          <w:iCs/>
        </w:rPr>
        <w:t xml:space="preserve">between sources</w:t>
      </w:r>
      <w:r>
        <w:t xml:space="preserve">, computed query-agnostically and offline, so it prunes what</w:t>
      </w:r>
      <w:r>
        <w:t xml:space="preserve"> </w:t>
      </w:r>
      <w:r>
        <w:t xml:space="preserve">another chunk already predicts; it never exhibits two sources each decisive on a task the other</w:t>
      </w:r>
      <w:r>
        <w:t xml:space="preserve"> </w:t>
      </w:r>
      <w:r>
        <w:t xml:space="preserve">fails, which is the relation we measure.</w:t>
      </w:r>
    </w:p>
    <w:p>
      <w:pPr>
        <w:pStyle w:val="BodyText"/>
      </w:pPr>
      <w:r>
        <w:t xml:space="preserve">The limits of scalar relevance are one of the oldest themes in information retrieval, and we</w:t>
      </w:r>
      <w:r>
        <w:t xml:space="preserve"> </w:t>
      </w:r>
      <w:r>
        <w:t xml:space="preserve">position inside that lineage rather than apart from it: the Probability Ranking</w:t>
      </w:r>
      <w:r>
        <w:t xml:space="preserve"> </w:t>
      </w:r>
      <w:r>
        <w:t xml:space="preserve">Principle </w:t>
      </w:r>
      <w:r>
        <w:t xml:space="preserve">(Robertson 1977)</w:t>
      </w:r>
      <w:r>
        <w:t xml:space="preserve"> </w:t>
      </w:r>
      <w:r>
        <w:t xml:space="preserve">is optimal only under an independence assumption, its failure once</w:t>
      </w:r>
      <w:r>
        <w:t xml:space="preserve"> </w:t>
      </w:r>
      <w:r>
        <w:t xml:space="preserve">documents interact is long documented </w:t>
      </w:r>
      <w:r>
        <w:t xml:space="preserve">(Fuhr 2008; Carbonell and Goldstein 1998)</w:t>
      </w:r>
      <w:r>
        <w:t xml:space="preserve">, and document interdependence</w:t>
      </w:r>
      <w:r>
        <w:t xml:space="preserve"> </w:t>
      </w:r>
      <w:r>
        <w:t xml:space="preserve">was given ranking principles of its own, portfolio theory </w:t>
      </w:r>
      <w:r>
        <w:t xml:space="preserve">(Wang and Zhu 2009)</w:t>
      </w:r>
      <w:r>
        <w:t xml:space="preserve"> </w:t>
      </w:r>
      <w:r>
        <w:t xml:space="preserve">and the quantum</w:t>
      </w:r>
      <w:r>
        <w:t xml:space="preserve"> </w:t>
      </w:r>
      <w:r>
        <w:t xml:space="preserve">probability ranking principle, whose</w:t>
      </w:r>
      <w:r>
        <w:t xml:space="preserve"> </w:t>
      </w:r>
      <w:r>
        <w:t xml:space="preserve">“interference”</w:t>
      </w:r>
      <w:r>
        <w:t xml:space="preserve"> </w:t>
      </w:r>
      <w:r>
        <w:t xml:space="preserve">term names the dependence of one document’s</w:t>
      </w:r>
      <w:r>
        <w:t xml:space="preserve"> </w:t>
      </w:r>
      <w:r>
        <w:t xml:space="preserve">relevance on another </w:t>
      </w:r>
      <w:r>
        <w:t xml:space="preserve">(Zuccon and Azzopardi 2010)</w:t>
      </w:r>
      <w:r>
        <w:t xml:space="preserve">. The LLM-era version, relevance-maximizing retrieval</w:t>
      </w:r>
      <w:r>
        <w:t xml:space="preserve"> </w:t>
      </w:r>
      <w:r>
        <w:t xml:space="preserve">degrading answer quality, is measured directly </w:t>
      </w:r>
      <w:r>
        <w:t xml:space="preserve">(LeVine and Varjavand 2025)</w:t>
      </w:r>
      <w:r>
        <w:t xml:space="preserve">, and the companion</w:t>
      </w:r>
      <w:r>
        <w:t xml:space="preserve"> </w:t>
      </w:r>
      <w:r>
        <w:t xml:space="preserve">observation that relevance does not imply</w:t>
      </w:r>
      <w:r>
        <w:t xml:space="preserve"> </w:t>
      </w:r>
      <w:r>
        <w:rPr>
          <w:i/>
          <w:iCs/>
        </w:rPr>
        <w:t xml:space="preserve">sufficiency</w:t>
      </w:r>
      <w:r>
        <w:t xml:space="preserve">, so that missing hops and unresolved</w:t>
      </w:r>
      <w:r>
        <w:t xml:space="preserve"> </w:t>
      </w:r>
      <w:r>
        <w:t xml:space="preserve">conflicts cannot be detected by scoring passages independently, is argued at the set</w:t>
      </w:r>
      <w:r>
        <w:t xml:space="preserve"> </w:t>
      </w:r>
      <w:r>
        <w:t xml:space="preserve">level </w:t>
      </w:r>
      <w:r>
        <w:t xml:space="preserve">(Qiu et al. 2026)</w:t>
      </w:r>
      <w:r>
        <w:t xml:space="preserve">. Our delta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form</w:t>
      </w:r>
      <w:r>
        <w:t xml:space="preserve"> </w:t>
      </w:r>
      <w:r>
        <w:t xml:space="preserve">of the statement: the failure becomes a theorem in the comparison-of-experiments</w:t>
      </w:r>
      <w:r>
        <w:t xml:space="preserve"> </w:t>
      </w:r>
      <w:r>
        <w:t xml:space="preserve">frame, with the precise structural condition, Blackwell incomparability, under which every</w:t>
      </w:r>
      <w:r>
        <w:t xml:space="preserve"> </w:t>
      </w:r>
      <w:r>
        <w:t xml:space="preserve">query-independent scalar must mis-rank, and a verified live instance on six production models.</w:t>
      </w:r>
    </w:p>
    <w:bookmarkEnd w:id="16"/>
    <w:bookmarkStart w:id="17" w:name="sec:related-taskdep"/>
    <w:p>
      <w:pPr>
        <w:pStyle w:val="Heading2"/>
      </w:pPr>
      <w:r>
        <w:t xml:space="preserve">Task-dependence and context degradation</w:t>
      </w:r>
    </w:p>
    <w:p>
      <w:pPr>
        <w:pStyle w:val="FirstParagraph"/>
      </w:pPr>
      <w:r>
        <w:t xml:space="preserve">That added context can degrade performance is by now well documented: a single irrelevant</w:t>
      </w:r>
      <w:r>
        <w:t xml:space="preserve"> </w:t>
      </w:r>
      <w:r>
        <w:t xml:space="preserve">sentence tanks reasoning </w:t>
      </w:r>
      <w:r>
        <w:t xml:space="preserve">(Shi et al. 2023)</w:t>
      </w:r>
      <w:r>
        <w:t xml:space="preserve">; position matters </w:t>
      </w:r>
      <w:r>
        <w:t xml:space="preserve">(Liu et al. 2024)</w:t>
      </w:r>
      <w:r>
        <w:t xml:space="preserve">;</w:t>
      </w:r>
      <w:r>
        <w:t xml:space="preserve"> </w:t>
      </w:r>
      <w:r>
        <w:t xml:space="preserve">high-scoring distractors hurt while random noise can help </w:t>
      </w:r>
      <w:r>
        <w:t xml:space="preserve">(Cuconasu et al. 2024)</w:t>
      </w:r>
      <w:r>
        <w:t xml:space="preserve">; retrieval</w:t>
      </w:r>
      <w:r>
        <w:t xml:space="preserve"> </w:t>
      </w:r>
      <w:r>
        <w:t xml:space="preserve">curves are inverted-U in passage count </w:t>
      </w:r>
      <w:r>
        <w:t xml:space="preserve">(Jin et al. 2024)</w:t>
      </w:r>
      <w:r>
        <w:t xml:space="preserve">; document count hurts at fixed</w:t>
      </w:r>
      <w:r>
        <w:t xml:space="preserve"> </w:t>
      </w:r>
      <w:r>
        <w:t xml:space="preserve">length </w:t>
      </w:r>
      <w:r>
        <w:t xml:space="preserve">(Levy et al. 2025)</w:t>
      </w:r>
      <w:r>
        <w:t xml:space="preserve">; added length alone hurts </w:t>
      </w:r>
      <w:r>
        <w:t xml:space="preserve">(Du et al. 2025)</w:t>
      </w:r>
      <w:r>
        <w:t xml:space="preserve">; and the effect</w:t>
      </w:r>
      <w:r>
        <w:t xml:space="preserve"> </w:t>
      </w:r>
      <w:r>
        <w:t xml:space="preserve">persists across model generations </w:t>
      </w:r>
      <w:r>
        <w:t xml:space="preserve">(Hong et al. 2025)</w:t>
      </w:r>
      <w:r>
        <w:t xml:space="preserve"> </w:t>
      </w:r>
      <w:r>
        <w:t xml:space="preserve">and agent-scaffold</w:t>
      </w:r>
      <w:r>
        <w:t xml:space="preserve"> </w:t>
      </w:r>
      <w:r>
        <w:t xml:space="preserve">components </w:t>
      </w:r>
      <w:r>
        <w:t xml:space="preserve">(Liu 2026)</w:t>
      </w:r>
      <w:r>
        <w:t xml:space="preserve">. The genus is older than language models: in data</w:t>
      </w:r>
      <w:r>
        <w:t xml:space="preserve"> </w:t>
      </w:r>
      <w:r>
        <w:t xml:space="preserve">integration, adding sources raises coverage while integration quality first rises and then</w:t>
      </w:r>
      <w:r>
        <w:t xml:space="preserve"> </w:t>
      </w:r>
      <w:r>
        <w:t xml:space="preserve">falls, so that</w:t>
      </w:r>
      <w:r>
        <w:t xml:space="preserve"> </w:t>
      </w:r>
      <w:r>
        <w:t xml:space="preserve">“less is more”</w:t>
      </w:r>
      <w:r>
        <w:t xml:space="preserve">: low-quality sources deteriorate the fused result rather than</w:t>
      </w:r>
      <w:r>
        <w:t xml:space="preserve"> </w:t>
      </w:r>
      <w:r>
        <w:t xml:space="preserve">bringing the expected gain, and the right move is to select a subset before</w:t>
      </w:r>
      <w:r>
        <w:t xml:space="preserve"> </w:t>
      </w:r>
      <w:r>
        <w:t xml:space="preserve">integrating </w:t>
      </w:r>
      <w:r>
        <w:t xml:space="preserve">(Dong et al. 2012)</w:t>
      </w:r>
      <w:r>
        <w:t xml:space="preserve">; the lesson has since been carried explicitly to augmented language</w:t>
      </w:r>
      <w:r>
        <w:t xml:space="preserve"> </w:t>
      </w:r>
      <w:r>
        <w:t xml:space="preserve">models </w:t>
      </w:r>
      <w:r>
        <w:t xml:space="preserve">(Halevy and Dwivedi-Yu 2023)</w:t>
      </w:r>
      <w:r>
        <w:t xml:space="preserve">. We do not claim to discover this genus. Two differences locate</w:t>
      </w:r>
      <w:r>
        <w:t xml:space="preserve"> </w:t>
      </w:r>
      <w:r>
        <w:t xml:space="preserve">our finding inside it. Where data integration traces the harm to low-quality sources and restores</w:t>
      </w:r>
      <w:r>
        <w:t xml:space="preserve"> </w:t>
      </w:r>
      <w:r>
        <w:t xml:space="preserve">monotonicity by redesigning the fusion rule, our two sources are individually correct and</w:t>
      </w:r>
      <w:r>
        <w:t xml:space="preserve"> </w:t>
      </w:r>
      <w:r>
        <w:t xml:space="preserve">sufficient, the harm survives length, position and formatting controls and is consistent with convention</w:t>
      </w:r>
      <w:r>
        <w:t xml:space="preserve"> </w:t>
      </w:r>
      <w:r>
        <w:t xml:space="preserve">routing, and the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fixed model that cannot be redesigned, so the response is</w:t>
      </w:r>
      <w:r>
        <w:t xml:space="preserve"> </w:t>
      </w:r>
      <w:r>
        <w:t xml:space="preserve">selection rather than fusion. And where</w:t>
      </w:r>
      <w:r>
        <w:t xml:space="preserve"> </w:t>
      </w:r>
      <w:r>
        <w:t xml:space="preserve">“interference”</w:t>
      </w:r>
      <w:r>
        <w:t xml:space="preserve"> </w:t>
      </w:r>
      <w:r>
        <w:t xml:space="preserve">in the mechanistic RAG literature means</w:t>
      </w:r>
      <w:r>
        <w:t xml:space="preserve"> </w:t>
      </w:r>
      <w:r>
        <w:t xml:space="preserve">distractor passages steering a model, a failure recently localized and corrected in a sparse</w:t>
      </w:r>
      <w:r>
        <w:t xml:space="preserve"> </w:t>
      </w:r>
      <w:r>
        <w:t xml:space="preserve">feature space </w:t>
      </w:r>
      <w:r>
        <w:t xml:space="preserve">(Giannetti et al. 2026)</w:t>
      </w:r>
      <w:r>
        <w:t xml:space="preserve">, and inter-context</w:t>
      </w:r>
      <w:r>
        <w:t xml:space="preserve"> </w:t>
      </w:r>
      <w:r>
        <w:rPr>
          <w:i/>
          <w:iCs/>
        </w:rPr>
        <w:t xml:space="preserve">conflict</w:t>
      </w:r>
      <w:r>
        <w:t xml:space="preserve"> </w:t>
      </w:r>
      <w:r>
        <w:t xml:space="preserve">means contexts</w:t>
      </w:r>
      <w:r>
        <w:t xml:space="preserve"> </w:t>
      </w:r>
      <w:r>
        <w:t xml:space="preserve">that contradict each other </w:t>
      </w:r>
      <w:r>
        <w:t xml:space="preserve">(Xu et al. 2024)</w:t>
      </w:r>
      <w:r>
        <w:t xml:space="preserve">, our sources neither distract nor</w:t>
      </w:r>
      <w:r>
        <w:t xml:space="preserve"> </w:t>
      </w:r>
      <w:r>
        <w:t xml:space="preserve">conflict: both are true and both are needed, and the superset still collapses. Our</w:t>
      </w:r>
      <w:r>
        <w:t xml:space="preserve"> </w:t>
      </w:r>
      <w:r>
        <w:t xml:space="preserve">anti-monotonicity finding contributes the order-theoretic form of this: a strict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of</w:t>
      </w:r>
      <w:r>
        <w:t xml:space="preserve"> </w:t>
      </w:r>
      <w:r>
        <w:t xml:space="preserve">a sufficient source, on sources separately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Blackwell-incomparable, collapses PASS</w:t>
      </w:r>
      <w:r>
        <w:t xml:space="preserve"> </w:t>
      </w:r>
      <w:r>
        <w:t xml:space="preserve">under a per-task verification of the direct contrast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: a reversal no</w:t>
      </w:r>
      <w:r>
        <w:t xml:space="preserve"> </w:t>
      </w:r>
      <w:r>
        <w:t xml:space="preserve">monotone context-value scalar can carry. A representation-level account of when context</w:t>
      </w:r>
      <w:r>
        <w:t xml:space="preserve"> </w:t>
      </w:r>
      <w:r>
        <w:t xml:space="preserve">helps, an additive error decomposition with alignment conditions </w:t>
      </w:r>
      <w:r>
        <w:t xml:space="preserve">(Wang et al. 2026)</w:t>
      </w:r>
      <w:r>
        <w:t xml:space="preserve">, is</w:t>
      </w:r>
      <w:r>
        <w:t xml:space="preserve"> </w:t>
      </w:r>
      <w:r>
        <w:t xml:space="preserve">complementary: even in its multi-context extension it characterizes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a context</w:t>
      </w:r>
      <w:r>
        <w:t xml:space="preserve"> </w:t>
      </w:r>
      <w:r>
        <w:t xml:space="preserve">corrects the error, not an order relation between candidate sources. Pareto-incomparability of prompts along competing metrics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single</w:t>
      </w:r>
      <w:r>
        <w:t xml:space="preserve"> </w:t>
      </w:r>
      <w:r>
        <w:t xml:space="preserve">task </w:t>
      </w:r>
      <w:r>
        <w:t xml:space="preserve">(Zhao et al. 2025)</w:t>
      </w:r>
      <w:r>
        <w:t xml:space="preserve"> </w:t>
      </w:r>
      <w:r>
        <w:t xml:space="preserve">is orthogonal to our object, incomparable</w:t>
      </w:r>
      <w:r>
        <w:t xml:space="preserve"> </w:t>
      </w:r>
      <w:r>
        <w:rPr>
          <w:i/>
          <w:iCs/>
        </w:rPr>
        <w:t xml:space="preserve">sources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tasks</w:t>
      </w:r>
      <w:r>
        <w:t xml:space="preserve">.</w:t>
      </w:r>
    </w:p>
    <w:bookmarkEnd w:id="17"/>
    <w:bookmarkStart w:id="20" w:name="sec:related-deficiency"/>
    <w:p>
      <w:pPr>
        <w:pStyle w:val="Heading2"/>
      </w:pPr>
      <w:r>
        <w:t xml:space="preserve">The comparison of experiments in machine learning</w:t>
      </w:r>
    </w:p>
    <w:p>
      <w:pPr>
        <w:pStyle w:val="FirstParagraph"/>
      </w:pPr>
      <w:bookmarkStart w:id="18" w:name="sec:related-llmrep"/>
      <w:bookmarkEnd w:id="18"/>
      <w:bookmarkStart w:id="19" w:name="sec:related-foundations"/>
      <w:bookmarkEnd w:id="19"/>
    </w:p>
    <w:p>
      <w:pPr>
        <w:pStyle w:val="BodyText"/>
      </w:pPr>
      <w:r>
        <w:t xml:space="preserve">The Blackwell–Le Cam apparatus has entered machine learning, and, concurrently with this work,</w:t>
      </w:r>
      <w:r>
        <w:t xml:space="preserve"> </w:t>
      </w:r>
      <w:r>
        <w:t xml:space="preserve">inference-time context selection itself.</w:t>
      </w:r>
      <w:r>
        <w:t xml:space="preserve"> </w:t>
      </w:r>
      <w:r>
        <w:t xml:space="preserve">Alpila (2026a)</w:t>
      </w:r>
      <w:r>
        <w:t xml:space="preserve"> </w:t>
      </w:r>
      <w:r>
        <w:t xml:space="preserve">formalizes the admission problem</w:t>
      </w:r>
      <w:r>
        <w:t xml:space="preserve"> </w:t>
      </w:r>
      <w:r>
        <w:t xml:space="preserve">against a</w:t>
      </w:r>
      <w:r>
        <w:t xml:space="preserve"> </w:t>
      </w:r>
      <w:r>
        <w:rPr>
          <w:i/>
          <w:iCs/>
        </w:rPr>
        <w:t xml:space="preserve">frozen decoder</w:t>
      </w:r>
      <w:r>
        <w:t xml:space="preserve"> </w:t>
      </w:r>
      <w:r>
        <w:t xml:space="preserve">as minimization of Le Cam deficiency, pairs it with the</w:t>
      </w:r>
      <w:r>
        <w:t xml:space="preserve"> </w:t>
      </w:r>
      <w:r>
        <w:t xml:space="preserve">Vereshchagin–Vitányi conditional structure function for the representation problem, proves a</w:t>
      </w:r>
      <w:r>
        <w:t xml:space="preserve"> </w:t>
      </w:r>
      <w:r>
        <w:t xml:space="preserve">capacity floor below which the deficiency cannot be driven, and validates a curve-aware allocator</w:t>
      </w:r>
      <w:r>
        <w:t xml:space="preserve"> </w:t>
      </w:r>
      <w:r>
        <w:t xml:space="preserve">on seven decoders in four families; a plain-language companion states the</w:t>
      </w:r>
      <w:r>
        <w:t xml:space="preserve"> </w:t>
      </w:r>
      <w:r>
        <w:t xml:space="preserve">framing </w:t>
      </w:r>
      <w:r>
        <w:t xml:space="preserve">(Alpila 2026b)</w:t>
      </w:r>
      <w:r>
        <w:t xml:space="preserve"> </w:t>
      </w:r>
      <w:r>
        <w:t xml:space="preserve">and the artifact is released </w:t>
      </w:r>
      <w:r>
        <w:t xml:space="preserve">(Alpila 2026c)</w:t>
      </w:r>
      <w:r>
        <w:t xml:space="preserve">. That preprint</w:t>
      </w:r>
      <w:r>
        <w:t xml:space="preserve"> </w:t>
      </w:r>
      <w:r>
        <w:t xml:space="preserve">was posted on 25 June 2026, while the measurements reported here were already complete; we claim</w:t>
      </w:r>
      <w:r>
        <w:t xml:space="preserve"> </w:t>
      </w:r>
      <w:r>
        <w:t xml:space="preserve">no priority over it, and the reader should treat the transport of this apparatus to inference-time</w:t>
      </w:r>
      <w:r>
        <w:t xml:space="preserve"> </w:t>
      </w:r>
      <w:r>
        <w:t xml:space="preserve">context as theirs. The objects are nonetheless different, and that difference is what this paper</w:t>
      </w:r>
      <w:r>
        <w:t xml:space="preserve"> </w:t>
      </w:r>
      <w:r>
        <w:t xml:space="preserve">is about.</w:t>
      </w:r>
      <w:r>
        <w:t xml:space="preserve"> </w:t>
      </w:r>
      <w:r>
        <w:t xml:space="preserve">There, deficiency is a scalar risk gap</w:t>
      </w:r>
      <w:r>
        <w:t xml:space="preserve"> </w:t>
      </w:r>
      <w:r>
        <w:rPr>
          <w:i/>
          <w:iCs/>
        </w:rPr>
        <w:t xml:space="preserve">inside one declared decision problem</w:t>
      </w:r>
      <w:r>
        <w:t xml:space="preserve">, with the</w:t>
      </w:r>
      <w:r>
        <w:t xml:space="preserve"> </w:t>
      </w:r>
      <w:r>
        <w:t xml:space="preserve">garbling theorem explicitly set aside as inactive there; the partial order that work does invoke</w:t>
      </w:r>
      <w:r>
        <w:t xml:space="preserve"> </w:t>
      </w:r>
      <w:r>
        <w:t xml:space="preserve">runs over</w:t>
      </w:r>
      <w:r>
        <w:t xml:space="preserve"> </w:t>
      </w:r>
      <w:r>
        <w:rPr>
          <w:i/>
          <w:iCs/>
        </w:rPr>
        <w:t xml:space="preserve">compression methods</w:t>
      </w:r>
      <w:r>
        <w:t xml:space="preserve"> </w:t>
      </w:r>
      <w:r>
        <w:t xml:space="preserve">and is asserted structurally rather than measured. Our object</w:t>
      </w:r>
      <w:r>
        <w:t xml:space="preserve"> </w:t>
      </w:r>
      <w:r>
        <w:t xml:space="preserve">is the order</w:t>
      </w:r>
      <w:r>
        <w:t xml:space="preserve"> </w:t>
      </w:r>
      <w:r>
        <w:rPr>
          <w:i/>
          <w:iCs/>
        </w:rPr>
        <w:t xml:space="preserve">between two admitted sources across tasks</w:t>
      </w:r>
      <w:r>
        <w:t xml:space="preserve">: we show that order is partial by</w:t>
      </w:r>
      <w:r>
        <w:t xml:space="preserve"> </w:t>
      </w:r>
      <w:r>
        <w:rPr>
          <w:i/>
          <w:iCs/>
        </w:rPr>
        <w:t xml:space="preserve">measuring</w:t>
      </w:r>
      <w:r>
        <w:t xml:space="preserve"> </w:t>
      </w:r>
      <w:r>
        <w:t xml:space="preserve">mutual non-domination, derive the consequence that no single per-source score can</w:t>
      </w:r>
      <w:r>
        <w:t xml:space="preserve"> </w:t>
      </w:r>
      <w:r>
        <w:t xml:space="preserve">be faithful to it, and verify a strict superset of a sufficient source collapsing PASS with the</w:t>
      </w:r>
      <w:r>
        <w:t xml:space="preserve"> </w:t>
      </w:r>
      <w:r>
        <w:t xml:space="preserve">length, position and routing confounds controlled. Incomparability in this sense cannot arise</w:t>
      </w:r>
      <w:r>
        <w:t xml:space="preserve"> </w:t>
      </w:r>
      <w:r>
        <w:t xml:space="preserve">inside a single declared decision problem, so its absence there is not a gap but a different</w:t>
      </w:r>
      <w:r>
        <w:t xml:space="preserve"> </w:t>
      </w:r>
      <w:r>
        <w:t xml:space="preserve">question. A second line is training-</w:t>
      </w:r>
      <w:r>
        <w:rPr>
          <w:i/>
          <w:iCs/>
        </w:rPr>
        <w:t xml:space="preserve">dataset</w:t>
      </w:r>
      <w:r>
        <w:t xml:space="preserve"> </w:t>
      </w:r>
      <w:r>
        <w:t xml:space="preserve">valuation:</w:t>
      </w:r>
      <w:r>
        <w:t xml:space="preserve"> </w:t>
      </w:r>
      <w:r>
        <w:t xml:space="preserve">Zheng et al. (2024)</w:t>
      </w:r>
      <w:r>
        <w:t xml:space="preserve"> </w:t>
      </w:r>
      <w:r>
        <w:t xml:space="preserve">order datasets</w:t>
      </w:r>
      <w:r>
        <w:t xml:space="preserve"> </w:t>
      </w:r>
      <w:r>
        <w:t xml:space="preserve">by Blackwell informativeness and show that the mutual information between the curated and the</w:t>
      </w:r>
      <w:r>
        <w:t xml:space="preserve"> </w:t>
      </w:r>
      <w:r>
        <w:t xml:space="preserve">test data is a</w:t>
      </w:r>
      <w:r>
        <w:t xml:space="preserve"> </w:t>
      </w:r>
      <w:r>
        <w:rPr>
          <w:i/>
          <w:iCs/>
        </w:rPr>
        <w:t xml:space="preserve">strategy-proof</w:t>
      </w:r>
      <w:r>
        <w:t xml:space="preserve"> </w:t>
      </w:r>
      <w:r>
        <w:t xml:space="preserve">score: a curation step that garbles the data, so that</w:t>
      </w:r>
      <w:r>
        <w:t xml:space="preserve"> </w:t>
      </w:r>
      <m:oMath>
        <m:r>
          <m:t>θ</m:t>
        </m:r>
        <m:r>
          <m:rPr>
            <m:sty m:val="p"/>
          </m:rPr>
          <m:t>→</m:t>
        </m:r>
        <m:r>
          <m:t>D</m:t>
        </m:r>
        <m:r>
          <m:rPr>
            <m:sty m:val="p"/>
          </m:rPr>
          <m:t>→</m:t>
        </m:r>
        <m:r>
          <m:t>f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a Markov chain, cannot raise it. That is the data-processing</w:t>
      </w:r>
      <w:r>
        <w:t xml:space="preserve"> </w:t>
      </w:r>
      <w:r>
        <w:t xml:space="preserve">direction, and it is one-directional; a scalar can be monotone along the order without</w:t>
      </w:r>
      <w:r>
        <w:t xml:space="preserve"> </w:t>
      </w:r>
      <w:r>
        <w:t xml:space="preserve">representing it, so their result is compatible with ours rather than opposed to it. Their</w:t>
      </w:r>
      <w:r>
        <w:t xml:space="preserve"> </w:t>
      </w:r>
      <w:r>
        <w:t xml:space="preserve">comparison is also taken against the Bayes-optimal user of the data, ours against a fixed model</w:t>
      </w:r>
      <w:r>
        <w:t xml:space="preserve"> </w:t>
      </w:r>
      <w:r>
        <w:t xml:space="preserve">rule on a task family. What Theorem 2 adds is the converse question, whether</w:t>
      </w:r>
      <w:r>
        <w:t xml:space="preserve"> </w:t>
      </w:r>
      <w:r>
        <w:t xml:space="preserve">any query-independent scalar can be</w:t>
      </w:r>
      <w:r>
        <w:t xml:space="preserve"> </w:t>
      </w:r>
      <w:r>
        <w:rPr>
          <w:i/>
          <w:iCs/>
        </w:rPr>
        <w:t xml:space="preserve">faithful</w:t>
      </w:r>
      <w:r>
        <w:t xml:space="preserve"> </w:t>
      </w:r>
      <w:r>
        <w:t xml:space="preserve">to the order, which a monotone score need not</w:t>
      </w:r>
      <w:r>
        <w:t xml:space="preserve"> </w:t>
      </w:r>
      <w:r>
        <w:t xml:space="preserve">be once the order is partial. Nearby uses stop short of</w:t>
      </w:r>
      <w:r>
        <w:t xml:space="preserve"> </w:t>
      </w:r>
      <w:r>
        <w:t xml:space="preserve">what we do: garbling to harden LLM evaluations </w:t>
      </w:r>
      <w:r>
        <w:t xml:space="preserve">(Bradley 2024)</w:t>
      </w:r>
      <w:r>
        <w:t xml:space="preserve">, statistical deficiency</w:t>
      </w:r>
      <w:r>
        <w:t xml:space="preserve"> </w:t>
      </w:r>
      <w:r>
        <w:t xml:space="preserve">to order training</w:t>
      </w:r>
      <w:r>
        <w:t xml:space="preserve"> </w:t>
      </w:r>
      <w:r>
        <w:rPr>
          <w:i/>
          <w:iCs/>
        </w:rPr>
        <w:t xml:space="preserve">tasks</w:t>
      </w:r>
      <w:r>
        <w:t xml:space="preserve"> </w:t>
      </w:r>
      <w:r>
        <w:t xml:space="preserve">(Fosse et al. 2025)</w:t>
      </w:r>
      <w:r>
        <w:t xml:space="preserve">, a deficiency-induced</w:t>
      </w:r>
      <w:r>
        <w:t xml:space="preserve"> </w:t>
      </w:r>
      <w:r>
        <w:rPr>
          <w:i/>
          <w:iCs/>
        </w:rPr>
        <w:t xml:space="preserve">directional</w:t>
      </w:r>
      <w:r>
        <w:t xml:space="preserve"> </w:t>
      </w:r>
      <w:r>
        <w:t xml:space="preserve">dominance</w:t>
      </w:r>
      <w:r>
        <w:t xml:space="preserve"> </w:t>
      </w:r>
      <w:r>
        <w:t xml:space="preserve">in transfer learning (no incomparability, no distribution-free bound, outside language</w:t>
      </w:r>
      <w:r>
        <w:t xml:space="preserve"> </w:t>
      </w:r>
      <w:r>
        <w:t xml:space="preserve">modeling) </w:t>
      </w:r>
      <w:r>
        <w:t xml:space="preserve">(Akdemir 2025)</w:t>
      </w:r>
      <w:r>
        <w:t xml:space="preserve">, comparison-of-experiments ideas in loss</w:t>
      </w:r>
      <w:r>
        <w:t xml:space="preserve"> </w:t>
      </w:r>
      <w:r>
        <w:t xml:space="preserve">design </w:t>
      </w:r>
      <w:r>
        <w:t xml:space="preserve">(Rooyen and Williamson 2014)</w:t>
      </w:r>
      <w:r>
        <w:t xml:space="preserve">, and a survey of Blackwell’s theorems for AI </w:t>
      </w:r>
      <w:r>
        <w:t xml:space="preserve">(Paxton 2026)</w:t>
      </w:r>
      <w:r>
        <w:t xml:space="preserve">.</w:t>
      </w:r>
      <w:r>
        <w:t xml:space="preserve"> </w:t>
      </w:r>
      <w:r>
        <w:t xml:space="preserve">The one use of the order for language models at inference time that we know of sits on the</w:t>
      </w:r>
      <w:r>
        <w:t xml:space="preserve"> </w:t>
      </w:r>
      <w:r>
        <w:t xml:space="preserve">other side of the model:</w:t>
      </w:r>
      <w:r>
        <w:t xml:space="preserve"> </w:t>
      </w:r>
      <w:r>
        <w:t xml:space="preserve">Z. Zhang et al. (2026)</w:t>
      </w:r>
      <w:r>
        <w:t xml:space="preserve"> </w:t>
      </w:r>
      <w:r>
        <w:t xml:space="preserve">rank the information structures induced</w:t>
      </w:r>
      <w:r>
        <w:t xml:space="preserve"> </w:t>
      </w:r>
      <w:r>
        <w:t xml:space="preserve">by multi-agent protocols. They show that voting and debate are no more informative than the</w:t>
      </w:r>
      <w:r>
        <w:t xml:space="preserve"> </w:t>
      </w:r>
      <w:r>
        <w:t xml:space="preserve">pooled private information of all agents, and identify Bayesian pooled-posterior maximisation as</w:t>
      </w:r>
      <w:r>
        <w:t xml:space="preserve"> </w:t>
      </w:r>
      <w:r>
        <w:t xml:space="preserve">the Blackwell upper bound on any such protocol. That is a dominance statement about how several</w:t>
      </w:r>
      <w:r>
        <w:t xml:space="preserve"> </w:t>
      </w:r>
      <w:r>
        <w:t xml:space="preserve">models’ signals combine; ours is an incomparability statement about which single source one model</w:t>
      </w:r>
      <w:r>
        <w:t xml:space="preserve"> </w:t>
      </w:r>
      <w:r>
        <w:t xml:space="preserve">is given, so the two orders are taken over different objects and neither implies the other.</w:t>
      </w:r>
    </w:p>
    <w:bookmarkEnd w:id="20"/>
    <w:bookmarkStart w:id="21" w:name="sec:related-designspace"/>
    <w:p>
      <w:pPr>
        <w:pStyle w:val="Heading2"/>
      </w:pPr>
      <w:r>
        <w:t xml:space="preserve">Where the two results land in the design space</w:t>
      </w:r>
    </w:p>
    <w:p>
      <w:pPr>
        <w:pStyle w:val="FirstParagraph"/>
      </w:pPr>
      <w:r>
        <w:t xml:space="preserve">Appendix C places the methods above on three axes: whether the method is cheap</w:t>
      </w:r>
      <w:r>
        <w:t xml:space="preserve"> </w:t>
      </w:r>
      <w:r>
        <w:t xml:space="preserve">enough to run at retrieval scale, whether it conditions on the task, and whether it can represent</w:t>
      </w:r>
      <w:r>
        <w:t xml:space="preserve"> </w:t>
      </w:r>
      <w:r>
        <w:t xml:space="preserve">a non-dominated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rather than a ranking. Two things come out of that grid. Every method</w:t>
      </w:r>
      <w:r>
        <w:t xml:space="preserve"> </w:t>
      </w:r>
      <w:r>
        <w:t xml:space="preserve">cheap enough to precompute emits one number per item and so falls under</w:t>
      </w:r>
      <w:r>
        <w:t xml:space="preserve"> </w:t>
      </w:r>
      <w:r>
        <w:t xml:space="preserve">Theorem 2 when that number is fixed across tasks; and the methods that escape</w:t>
      </w:r>
      <w:r>
        <w:t xml:space="preserve"> </w:t>
      </w:r>
      <w:r>
        <w:t xml:space="preserve">do so either by reading the decisive content per candidate, which costs a model call, or by</w:t>
      </w:r>
      <w:r>
        <w:t xml:space="preserve"> </w:t>
      </w:r>
      <w:r>
        <w:t xml:space="preserve">routing on public task metadata, which Proposition 2 does not exclude</w:t>
      </w:r>
      <w:r>
        <w:t xml:space="preserve"> </w:t>
      </w:r>
      <w:r>
        <w:t xml:space="preserve">(Remark 6).</w:t>
      </w:r>
    </w:p>
    <w:bookmarkEnd w:id="21"/>
    <w:bookmarkEnd w:id="22"/>
    <w:bookmarkStart w:id="30" w:name="sec:formalization"/>
    <w:p>
      <w:pPr>
        <w:pStyle w:val="Heading1"/>
      </w:pPr>
      <w:r>
        <w:t xml:space="preserve">Formalization</w:t>
      </w:r>
    </w:p>
    <w:p>
      <w:pPr>
        <w:pStyle w:val="FirstParagraph"/>
      </w:pPr>
      <w:r>
        <w:t xml:space="preserve">§2 placed the contribution against prior work; the next four sections make it</w:t>
      </w:r>
      <w:r>
        <w:t xml:space="preserve"> </w:t>
      </w:r>
      <w:r>
        <w:t xml:space="preserve">precise, beginning here with the objects. We model the choice of</w:t>
      </w:r>
      <w:r>
        <w:t xml:space="preserve"> </w:t>
      </w:r>
      <w:r>
        <w:rPr>
          <w:i/>
          <w:iCs/>
        </w:rPr>
        <w:t xml:space="preserve">what context to supply</w:t>
      </w:r>
      <w:r>
        <w:t xml:space="preserve"> </w:t>
      </w:r>
      <w:r>
        <w:t xml:space="preserve">a</w:t>
      </w:r>
      <w:r>
        <w:t xml:space="preserve"> </w:t>
      </w:r>
      <w:r>
        <w:t xml:space="preserve">language model as a comparison of</w:t>
      </w:r>
      <w:r>
        <w:t xml:space="preserve"> </w:t>
      </w:r>
      <w:r>
        <w:t xml:space="preserve">statistical experiments on the task’s latent requirement. This section fixes the objects and,</w:t>
      </w:r>
      <w:r>
        <w:t xml:space="preserve"> </w:t>
      </w:r>
      <w:r>
        <w:t xml:space="preserve">crucially, separates two decision rules that the informal literature silently</w:t>
      </w:r>
      <w:r>
        <w:t xml:space="preserve"> </w:t>
      </w:r>
      <w:r>
        <w:t xml:space="preserve">conflates: the</w:t>
      </w:r>
      <w:r>
        <w:t xml:space="preserve"> </w:t>
      </w:r>
      <w:r>
        <w:rPr>
          <w:i/>
          <w:iCs/>
        </w:rPr>
        <w:t xml:space="preserve">Bayes-optimal</w:t>
      </w:r>
      <w:r>
        <w:t xml:space="preserve"> </w:t>
      </w:r>
      <w:r>
        <w:t xml:space="preserve">rule, against which the classical</w:t>
      </w:r>
      <w:r>
        <w:t xml:space="preserve"> </w:t>
      </w:r>
      <w:r>
        <w:t xml:space="preserve">Blackwell order is defined, and the</w:t>
      </w:r>
      <w:r>
        <w:t xml:space="preserve"> </w:t>
      </w:r>
      <w:r>
        <w:rPr>
          <w:i/>
          <w:iCs/>
        </w:rPr>
        <w:t xml:space="preserve">fixed model</w:t>
      </w:r>
      <w:r>
        <w:t xml:space="preserve"> </w:t>
      </w:r>
      <w:r>
        <w:t xml:space="preserve">rule, which is the object every empirical</w:t>
      </w:r>
      <w:r>
        <w:t xml:space="preserve"> </w:t>
      </w:r>
      <w:r>
        <w:t xml:space="preserve">quantity in this paper actually measures. Keeping these distinct is what makes the bridge from</w:t>
      </w:r>
      <w:r>
        <w:t xml:space="preserve"> </w:t>
      </w:r>
      <w:r>
        <w:t xml:space="preserve">theorem to experiment rigorous.</w:t>
      </w:r>
    </w:p>
    <w:bookmarkStart w:id="26" w:name="X73e69b8a1a604fddcc6e5ed9b89d5c624a51ec4"/>
    <w:p>
      <w:pPr>
        <w:pStyle w:val="Heading2"/>
      </w:pPr>
      <w:r>
        <w:t xml:space="preserve">Tasks, latent requirements, and context sources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fixes a latent requirement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, the object a deterministic verifier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checks (e.g. the intended program behaviour). We take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to be a</w:t>
      </w:r>
      <w:r>
        <w:t xml:space="preserve"> </w:t>
      </w:r>
      <w:r>
        <w:rPr>
          <w:i/>
          <w:iCs/>
        </w:rPr>
        <w:t xml:space="preserve">vector of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∈</m:t>
          </m:r>
          <m:r>
            <m:t> </m:t>
          </m:r>
          <m:r>
            <m:rPr>
              <m:scr m:val="script"/>
              <m:sty m:val="p"/>
            </m:rPr>
            <m:t>S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 coordinate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encodes one logically independent requirement (in our instantiation,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private call-contract convention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private wire-encoding convention;</w:t>
      </w:r>
      <w:r>
        <w:t xml:space="preserve"> </w:t>
      </w:r>
      <w:r>
        <w:t xml:space="preserve">see §7). Modelling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a product of coordinates, rather than an</w:t>
      </w:r>
      <w:r>
        <w:t xml:space="preserve"> </w:t>
      </w:r>
      <w:r>
        <w:t xml:space="preserve">opaque atom, is the technical device that makes the experiment model well posed for</w:t>
      </w:r>
      <w:r>
        <w:t xml:space="preserve"> </w:t>
      </w:r>
      <w:r>
        <w:t xml:space="preserve">fixed-string sources; we return to this in §3.2 and Lemma 1.</w:t>
      </w:r>
    </w:p>
    <w:bookmarkStart w:id="23" w:name="def:source"/>
    <w:p>
      <w:pPr>
        <w:pStyle w:val="BodyText"/>
      </w:pPr>
      <w:r>
        <w:rPr>
          <w:b/>
          <w:bCs/>
        </w:rPr>
        <w:t xml:space="preserve">Definition 1</w:t>
      </w:r>
      <w:r>
        <w:t xml:space="preserve"> </w:t>
      </w:r>
      <w:r>
        <w:t xml:space="preserve">(Context source as an experiment).</w:t>
      </w:r>
      <w:r>
        <w:t xml:space="preserve"> 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context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a Markov kernel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cr m:val="script"/>
            <m:sty m:val="p"/>
          </m:rP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 a statistical experiment indexed by the latent parameter</w:t>
      </w:r>
      <w:r>
        <w:t xml:space="preserve"> </w:t>
      </w:r>
      <m:oMath>
        <m:r>
          <m:t>S</m:t>
        </m:r>
      </m:oMath>
      <w:r>
        <w:t xml:space="preserve">, emitting a signal</w:t>
      </w:r>
      <w:r>
        <w:t xml:space="preserve"> </w:t>
      </w:r>
      <m:oMath>
        <m:r>
          <m:t>w</m:t>
        </m:r>
        <m:r>
          <m:rPr>
            <m:sty m:val="p"/>
          </m:rPr>
          <m:t>∼</m:t>
        </m:r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 a signal alphabet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(the source’s text). The</w:t>
      </w:r>
      <w:r>
        <w:t xml:space="preserve"> </w:t>
      </w:r>
      <w:r>
        <w:t xml:space="preserve">experiment is identified with its kernel; the sample space is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and the observed</w:t>
      </w:r>
      <w:r>
        <w:t xml:space="preserve"> </w:t>
      </w:r>
      <w:r>
        <w:t xml:space="preserve">datum is the supplied text</w:t>
      </w:r>
      <w:r>
        <w:t xml:space="preserve"> </w:t>
      </w:r>
      <m:oMath>
        <m:r>
          <m:t>w</m:t>
        </m:r>
      </m:oMath>
      <w:r>
        <w:t xml:space="preserve">.</w:t>
      </w:r>
    </w:p>
    <w:bookmarkEnd w:id="23"/>
    <w:bookmarkStart w:id="24" w:name="def:decision"/>
    <w:p>
      <w:pPr>
        <w:pStyle w:val="BodyText"/>
      </w:pPr>
      <w:r>
        <w:rPr>
          <w:b/>
          <w:bCs/>
        </w:rPr>
        <w:t xml:space="preserve">Definition 2</w:t>
      </w:r>
      <w:r>
        <w:t xml:space="preserve"> </w:t>
      </w:r>
      <w:r>
        <w:t xml:space="preserve">(Decision rules and PASS).</w:t>
      </w:r>
      <w:r>
        <w:t xml:space="preserve"> 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decision rule</w:t>
      </w:r>
      <w:r>
        <w:t xml:space="preserve"> </w:t>
      </w:r>
      <w:r>
        <w:t xml:space="preserve">is a (possibly randomized) map</w:t>
      </w:r>
      <w:r>
        <w:t xml:space="preserve"> </w:t>
      </w:r>
      <m:oMath>
        <m:r>
          <m:t>δ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↦</m:t>
        </m:r>
        <m:acc>
          <m:accPr>
            <m:chr m:val="̂"/>
          </m:accPr>
          <m:e>
            <m:r>
              <m:t>S</m:t>
            </m:r>
          </m:e>
        </m:acc>
      </m:oMath>
      <w:r>
        <w:t xml:space="preserve"> </w:t>
      </w:r>
      <w:r>
        <w:t xml:space="preserve">producing a candidate solution. Utility is the binary verifier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which scores the candidate against the convention in force: the same answer</w:t>
      </w:r>
      <w:r>
        <w:t xml:space="preserve"> </w:t>
      </w:r>
      <w:r>
        <w:t xml:space="preserve">passes under one convention and fails under another, which is why the second argument cannot be</w:t>
      </w:r>
      <w:r>
        <w:t xml:space="preserve"> </w:t>
      </w:r>
      <w:r>
        <w:t xml:space="preserve">dropped. Two decision rules matter:</w:t>
      </w:r>
    </w:p>
    <w:p>
      <w:pPr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realized by a fixed language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 fixed</w:t>
      </w:r>
      <w:r>
        <w:t xml:space="preserve"> </w:t>
      </w:r>
      <w:r>
        <w:t xml:space="preserve">decoding configuration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(model weights and sampling parameters; see</w:t>
      </w:r>
      <w:r>
        <w:t xml:space="preserve"> </w:t>
      </w:r>
      <w:r>
        <w:t xml:space="preserve">§3.3). Its realized pass rate on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under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;</m:t>
          </m:r>
          <m:r>
            <m:t>s</m:t>
          </m:r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s</m:t>
                  </m:r>
                </m:e>
              </m:d>
              <m:r>
                <m:t> 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∼</m:t>
          </m:r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;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single realized convention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, which is</w:t>
      </w:r>
      <w:r>
        <w:t xml:space="preserve"> </w:t>
      </w:r>
      <w:r>
        <w:t xml:space="preserve">the quantity every measurement in this paper reports;</w:t>
      </w:r>
    </w:p>
    <w:p>
      <w:pPr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Bayes rule</w:t>
      </w:r>
      <w:r>
        <w:t xml:space="preserve"> </w:t>
      </w:r>
      <m:oMath>
        <m:sSubSup>
          <m:e>
            <m:r>
              <m:t>δ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⋆</m:t>
            </m:r>
          </m:sup>
        </m:sSubSup>
      </m:oMath>
      <w:r>
        <w:t xml:space="preserve">, the utility-optimal rule for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under a prior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(the task family’s distribution over private conventions),</w:t>
      </w:r>
      <w:r>
        <w:t xml:space="preserve"> </w:t>
      </w:r>
      <w:r>
        <w:t xml:space="preserve">achieving the optimal value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sup</m:t>
              </m:r>
            </m:e>
            <m:lim>
              <m:r>
                <m:t>δ</m:t>
              </m:r>
            </m:lim>
          </m:limLow>
          <m:r>
            <m:t> 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S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μ</m:t>
                  </m:r>
                </m:e>
                <m:sub>
                  <m:r>
                    <m:t>T</m:t>
                  </m:r>
                </m:sub>
              </m:sSub>
            </m:sub>
          </m:sSub>
          <m:r>
            <m:t> 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S</m:t>
                  </m:r>
                </m:e>
              </m:d>
              <m:r>
                <m:t> 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∼</m:t>
          </m:r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"/>
    <w:bookmarkStart w:id="25" w:name="rem:measures"/>
    <w:p>
      <w:pPr>
        <w:pStyle w:val="FirstParagraph"/>
      </w:pPr>
      <w:r>
        <w:rPr>
          <w:i/>
          <w:iCs/>
        </w:rPr>
        <w:t xml:space="preserve">Remark 1</w:t>
      </w:r>
      <w:r>
        <w:t xml:space="preserve"> </w:t>
      </w:r>
      <w:r>
        <w:t xml:space="preserve">(The two quantities are taken under different measures).</w:t>
      </w:r>
      <w:r>
        <w:t xml:space="preserve"> 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 (2) is</w:t>
      </w:r>
      <w:r>
        <w:t xml:space="preserve"> </w:t>
      </w:r>
      <w:r>
        <w:rPr>
          <w:i/>
          <w:iCs/>
        </w:rPr>
        <w:t xml:space="preserve">conditional on one latent state</w:t>
      </w:r>
      <w:r>
        <w:t xml:space="preserve">: the expectation runs over</w:t>
      </w:r>
      <w:r>
        <w:t xml:space="preserve"> </w:t>
      </w:r>
      <w:r>
        <w:t xml:space="preserve">the source kernel and the decoder with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held at the realized convention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.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t xml:space="preserve">(3) is a</w:t>
      </w:r>
      <w:r>
        <w:t xml:space="preserve"> </w:t>
      </w:r>
      <w:r>
        <w:rPr>
          <w:i/>
          <w:iCs/>
        </w:rPr>
        <w:t xml:space="preserve">Bayes</w:t>
      </w:r>
      <w:r>
        <w:t xml:space="preserve"> </w:t>
      </w:r>
      <w:r>
        <w:t xml:space="preserve">value, averaged over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. Consequently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automatic from optimality, and we never use it in</w:t>
      </w:r>
      <w:r>
        <w:t xml:space="preserve"> </w:t>
      </w:r>
      <w:r>
        <w:t xml:space="preserve">that form. The obstruction is elementary: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fair bit,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uninformative, and let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reward naming</w:t>
      </w:r>
      <w:r>
        <w:t xml:space="preserve"> </w:t>
      </w:r>
      <m:oMath>
        <m:r>
          <m:t>S</m:t>
        </m:r>
      </m:oMath>
      <w:r>
        <w:t xml:space="preserve">; the constant rule</w:t>
      </w:r>
      <w:r>
        <w:t xml:space="preserve"> </w:t>
      </w:r>
      <w:r>
        <w:t xml:space="preserve">“answer</w:t>
      </w:r>
      <w:r>
        <w:t xml:space="preserve"> </w:t>
      </w:r>
      <m:oMath>
        <m:r>
          <m:t>0</m:t>
        </m:r>
      </m:oMath>
      <w:r>
        <w:t xml:space="preserve">”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 the state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while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 Nor can the gap be closed by taking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to be a point mass at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: every</w:t>
      </w:r>
      <w:r>
        <w:t xml:space="preserve"> </w:t>
      </w:r>
      <w:r>
        <w:t xml:space="preserve">guessing cap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would then equal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caps of Lemma 2 would lose</w:t>
      </w:r>
      <w:r>
        <w:t xml:space="preserve"> </w:t>
      </w:r>
      <w:r>
        <w:t xml:space="preserve">all content. What optimality does give is the averaged statement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</m:ba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cr m:val="double-struck"/>
                <m:sty m:val="p"/>
              </m:rPr>
              <m:t>E</m:t>
            </m:r>
          </m:e>
          <m:sub>
            <m:r>
              <m:t>S</m:t>
            </m:r>
            <m:r>
              <m:rPr>
                <m:sty m:val="p"/>
              </m:rPr>
              <m:t>∼</m:t>
            </m:r>
            <m:sSub>
              <m:e>
                <m:r>
                  <m:t>μ</m:t>
                </m:r>
              </m:e>
              <m:sub>
                <m:r>
                  <m:t>T</m:t>
                </m:r>
              </m:sub>
            </m:sSub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 Lemma 2 is</w:t>
      </w:r>
      <w:r>
        <w:t xml:space="preserve"> </w:t>
      </w:r>
      <w:r>
        <w:t xml:space="preserve">therefore proved through the sufficiency of the winning source rather than through any such</w:t>
      </w:r>
      <w:r>
        <w:t xml:space="preserve"> </w:t>
      </w:r>
      <w:r>
        <w:t xml:space="preserve">comparison, and the measured pass rates enter as its falsifiable signature, not as a bound on a</w:t>
      </w:r>
      <w:r>
        <w:t xml:space="preserve"> </w:t>
      </w:r>
      <w:r>
        <w:t xml:space="preserve">Bayes value.</w:t>
      </w:r>
    </w:p>
    <w:bookmarkEnd w:id="25"/>
    <w:p>
      <w:pPr>
        <w:pStyle w:val="BodyText"/>
      </w:pPr>
      <w:r>
        <w:t xml:space="preserve">The distinction in Definition 2 is load-bearing. Blackwell’s theorem</w:t>
      </w:r>
      <w:r>
        <w:t xml:space="preserve"> </w:t>
      </w:r>
      <w:r>
        <w:t xml:space="preserve">(§4) is a statement about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(the optimal user of an experiment); every</w:t>
      </w:r>
      <w:r>
        <w:t xml:space="preserve"> </w:t>
      </w:r>
      <w:r>
        <w:t xml:space="preserve">number we report,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, the deficiency estimator of §6, the</w:t>
      </w:r>
      <w:r>
        <w:t xml:space="preserve"> </w:t>
      </w:r>
      <w:r>
        <w:t xml:space="preserve">interference statistic of §6.3, and the entire six-model program of</w:t>
      </w:r>
      <w:r>
        <w:t xml:space="preserve"> </w:t>
      </w:r>
      <w:r>
        <w:t xml:space="preserve">§7, is a statement about the single fixed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We therefore</w:t>
      </w:r>
      <w:r>
        <w:t xml:space="preserve"> </w:t>
      </w:r>
      <w:r>
        <w:t xml:space="preserve">develop the order in two registers and prove an explicit bridge between them</w:t>
      </w:r>
      <w:r>
        <w:t xml:space="preserve"> </w:t>
      </w:r>
      <w:r>
        <w:t xml:space="preserve">(Lemma 2).</w:t>
      </w:r>
    </w:p>
    <w:bookmarkEnd w:id="26"/>
    <w:bookmarkStart w:id="28" w:name="subsec:sources"/>
    <w:p>
      <w:pPr>
        <w:pStyle w:val="Heading2"/>
      </w:pPr>
      <w:r>
        <w:t xml:space="preserve">Sources as deterministic projection experiments</w:t>
      </w:r>
    </w:p>
    <w:p>
      <w:pPr>
        <w:pStyle w:val="FirstParagraph"/>
      </w:pPr>
      <w:r>
        <w:t xml:space="preserve">In our instantiation each context source is a</w:t>
      </w:r>
      <w:r>
        <w:t xml:space="preserve"> </w:t>
      </w:r>
      <w:r>
        <w:rPr>
          <w:i/>
          <w:iCs/>
        </w:rPr>
        <w:t xml:space="preserve">fixed string</w:t>
      </w:r>
      <w:r>
        <w:t xml:space="preserve">: a snippet stating the</w:t>
      </w:r>
      <w:r>
        <w:t xml:space="preserve"> </w:t>
      </w:r>
      <w:r>
        <w:t xml:space="preserve">private call contract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or the private wire-encoding invariant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). A naive reading</w:t>
      </w:r>
      <w:r>
        <w:t xml:space="preserve"> </w:t>
      </w:r>
      <w:r>
        <w:t xml:space="preserve">treats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as a constant kernel</w:t>
      </w:r>
      <w:r>
        <w:t xml:space="preserve"> </w:t>
      </w:r>
      <m:oMath>
        <m:sSub>
          <m:e>
            <m:r>
              <m:t>δ</m:t>
            </m:r>
          </m:e>
          <m:sub>
            <m:sSub>
              <m:e>
                <m:r>
                  <m:t>w</m:t>
                </m:r>
              </m:e>
              <m:sub>
                <m:r>
                  <m:t>0</m:t>
                </m:r>
              </m:sub>
            </m:sSub>
          </m:sub>
        </m:sSub>
      </m:oMath>
      <w:r>
        <w:t xml:space="preserve"> </w:t>
      </w:r>
      <w:r>
        <w:t xml:space="preserve">independent of</w:t>
      </w:r>
      <w:r>
        <w:t xml:space="preserve"> </w:t>
      </w:r>
      <m:oMath>
        <m:r>
          <m:t>S</m:t>
        </m:r>
      </m:oMath>
      <w:r>
        <w:t xml:space="preserve">. That</w:t>
      </w:r>
      <w:r>
        <w:t xml:space="preserve"> </w:t>
      </w:r>
      <w:r>
        <w:t xml:space="preserve">reading is degenerate: a constant kernel is Blackwell-equivalent to the null experiment, carries</w:t>
      </w:r>
      <w:r>
        <w:t xml:space="preserve"> </w:t>
      </w:r>
      <w:r>
        <w:t xml:space="preserve">zero information, and induces the trivial</w:t>
      </w:r>
      <w:r>
        <w:t xml:space="preserve"> </w:t>
      </w:r>
      <m:oMath>
        <m:r>
          <m:t>σ</m:t>
        </m:r>
      </m:oMath>
      <w:r>
        <w:t xml:space="preserve">-algebra, which would make any garbling argument</w:t>
      </w:r>
      <w:r>
        <w:t xml:space="preserve"> </w:t>
      </w:r>
      <w:r>
        <w:t xml:space="preserve">vacuous. We avoid this by modelling each fixed source as a</w:t>
      </w:r>
      <w:r>
        <w:t xml:space="preserve"> </w:t>
      </w:r>
      <w:r>
        <w:rPr>
          <w:i/>
          <w:iCs/>
        </w:rPr>
        <w:t xml:space="preserve">deterministic experiment that</w:t>
      </w:r>
      <w:r>
        <w:rPr>
          <w:i/>
          <w:iCs/>
        </w:rPr>
        <w:t xml:space="preserve"> </w:t>
      </w:r>
      <w:r>
        <w:rPr>
          <w:i/>
          <w:iCs/>
        </w:rPr>
        <w:t xml:space="preserve">observes a projection of the coordinate vector</w:t>
      </w:r>
      <w:r>
        <w:t xml:space="preserve"> (1).</w:t>
      </w:r>
    </w:p>
    <w:bookmarkStart w:id="27" w:name="def:projection"/>
    <w:p>
      <w:pPr>
        <w:pStyle w:val="BodyText"/>
      </w:pPr>
      <w:r>
        <w:rPr>
          <w:b/>
          <w:bCs/>
        </w:rPr>
        <w:t xml:space="preserve">Definition 3</w:t>
      </w:r>
      <w:r>
        <w:t xml:space="preserve"> </w:t>
      </w:r>
      <w:r>
        <w:t xml:space="preserve">(Projection sources).</w:t>
      </w:r>
      <w:r>
        <w:t xml:space="preserve"> </w:t>
      </w:r>
      <w:r>
        <w:t xml:space="preserve"> </w:t>
      </w:r>
      <w:r>
        <w:t xml:space="preserve">A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reveals the coordinates indexed by a</w:t>
      </w:r>
      <w:r>
        <w:t xml:space="preserve"> </w:t>
      </w:r>
      <w:r>
        <w:t xml:space="preserve">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deterministic kernel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δ</m:t>
              </m:r>
            </m:e>
            <m:sub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i.e. supplying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lets a decision-maker condition on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 on nothing outside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W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sub-</w:t>
      </w:r>
      <m:oMath>
        <m:r>
          <m:t>σ</m:t>
        </m:r>
      </m:oMath>
      <w:r>
        <w:t xml:space="preserve">-algebra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generated by</w:t>
      </w:r>
      <w:r>
        <w:t xml:space="preserve"> </w:t>
      </w:r>
      <w:r>
        <w:t xml:space="preserve">the projection. In our instantiation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reveals coordinate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call contract,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),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reveals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(the wire invariant,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}</m:t>
        </m:r>
      </m:oMath>
      <w:r>
        <w:t xml:space="preserve">), and 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reveals both (</w:t>
      </w:r>
      <m:oMath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).</w:t>
      </w:r>
    </w:p>
    <w:bookmarkEnd w:id="27"/>
    <w:p>
      <w:pPr>
        <w:pStyle w:val="BodyText"/>
      </w:pPr>
      <w:r>
        <w:t xml:space="preserve">Under Definition 3 a fixed string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uninformative constant: it</w:t>
      </w:r>
      <w:r>
        <w:t xml:space="preserve"> </w:t>
      </w:r>
      <w:r>
        <w:t xml:space="preserve">is a deterministic experiment whose informativeness is exactly the resolving power of its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W</m:t>
            </m:r>
          </m:sub>
        </m:sSub>
      </m:oMath>
      <w:r>
        <w:t xml:space="preserve">. The signal alphabet is the range of the projection, and the text</w:t>
      </w:r>
      <w:r>
        <w:t xml:space="preserve"> </w:t>
      </w:r>
      <w:r>
        <w:t xml:space="preserve">“varies with the task”</w:t>
      </w:r>
      <w:r>
        <w:t xml:space="preserve"> </w:t>
      </w:r>
      <w:r>
        <w:t xml:space="preserve">precisely because the realized coordinate values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differ</w:t>
      </w:r>
      <w:r>
        <w:t xml:space="preserve"> </w:t>
      </w:r>
      <w:r>
        <w:t xml:space="preserve">across task instances</w:t>
      </w:r>
      <w:r>
        <w:t xml:space="preserve"> </w:t>
      </w:r>
      <m:oMath>
        <m:r>
          <m:t>T</m:t>
        </m:r>
      </m:oMath>
      <w:r>
        <w:t xml:space="preserve">. This is the well-posed reading that makes the comparison of</w:t>
      </w:r>
      <w:r>
        <w:t xml:space="preserve"> </w:t>
      </w:r>
      <w:r>
        <w:t xml:space="preserve">§4 a comparison of experiments rather than a metaphor, and it is what a</w:t>
      </w:r>
      <w:r>
        <w:t xml:space="preserve"> </w:t>
      </w:r>
      <w:r>
        <w:t xml:space="preserve">rigorous treatment of deterministic sources requires </w:t>
      </w:r>
      <w:r>
        <w:t xml:space="preserve">(Torgersen 1991)</w:t>
      </w:r>
      <w:r>
        <w:t xml:space="preserve">.</w:t>
      </w:r>
    </w:p>
    <w:bookmarkEnd w:id="28"/>
    <w:bookmarkStart w:id="29" w:name="subsec:theta"/>
    <w:p>
      <w:pPr>
        <w:pStyle w:val="Heading2"/>
      </w:pPr>
      <w:r>
        <w:t xml:space="preserve">The conditioning parameter</w:t>
      </w:r>
      <w:r>
        <w:t xml:space="preserve"> </w:t>
      </w:r>
      <m:oMath>
        <m:r>
          <m:t>θ</m:t>
        </m:r>
      </m:oMath>
    </w:p>
    <w:p>
      <w:pPr>
        <w:pStyle w:val="FirstParagraph"/>
      </w:pPr>
      <w:r>
        <w:t xml:space="preserve">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carries an implicit parameter</w:t>
      </w:r>
      <w:r>
        <w:t xml:space="preserve"> </w:t>
      </w:r>
      <m:oMath>
        <m:r>
          <m:t>θ</m:t>
        </m:r>
      </m:oMath>
      <w:r>
        <w:t xml:space="preserve">: the model’s weights and decoding</w:t>
      </w:r>
      <w:r>
        <w:t xml:space="preserve"> </w:t>
      </w:r>
      <w:r>
        <w:t xml:space="preserve">configuration, equivalently its</w:t>
      </w:r>
      <w:r>
        <w:t xml:space="preserve"> </w:t>
      </w:r>
      <w:r>
        <w:rPr>
          <w:i/>
          <w:iCs/>
        </w:rPr>
        <w:t xml:space="preserve">prior over conventions</w:t>
      </w:r>
      <w:r>
        <w:t xml:space="preserve"> </w:t>
      </w:r>
      <w:r>
        <w:t xml:space="preserve">acquired in pretraining. We write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the model’s no-context pass rate, for the part of a private convention</w:t>
      </w:r>
      <w:r>
        <w:t xml:space="preserve"> </w:t>
      </w:r>
      <w:r>
        <w:t xml:space="preserve">that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already encodes; the value of a source is model-relative through it. 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already</w:t>
      </w:r>
      <w:r>
        <w:t xml:space="preserve"> </w:t>
      </w:r>
      <w:r>
        <w:t xml:space="preserve">“knows”</w:t>
      </w:r>
      <w:r>
        <w:t xml:space="preserve"> </w:t>
      </w:r>
      <w:r>
        <w:t xml:space="preserve">a convention (the model can guess it without the source), that baseline is high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’s marginal contribution collapses; when the convention is genuinely unknown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baseline floors and the source has to carry the cell. We deliberately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write this</w:t>
      </w:r>
      <w:r>
        <w:t xml:space="preserve"> </w:t>
      </w:r>
      <w:r>
        <w:t xml:space="preserve">as a conditional mutual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 under Definitions 1</w:t>
      </w:r>
      <w:r>
        <w:t xml:space="preserve"> </w:t>
      </w:r>
      <w:r>
        <w:t xml:space="preserve">and 2 the law of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followed by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and carries no</w:t>
      </w:r>
      <w:r>
        <w:t xml:space="preserve"> </w:t>
      </w:r>
      <m:oMath>
        <m:r>
          <m:t>θ</m:t>
        </m:r>
      </m:oMath>
      <w:r>
        <w:t xml:space="preserve">, so conditioning on a fixed model index would leave the mutual information unchanged and</w:t>
      </w:r>
      <w:r>
        <w:t xml:space="preserve"> </w:t>
      </w:r>
      <w:r>
        <w:t xml:space="preserve">model-</w:t>
      </w:r>
      <w:r>
        <w:rPr>
          <w:i/>
          <w:iCs/>
        </w:rPr>
        <w:t xml:space="preserve">in</w:t>
      </w:r>
      <w:r>
        <w:t xml:space="preserve">dependent, the opposite of what is measured here; a genuinely model-relative</w:t>
      </w:r>
      <w:r>
        <w:t xml:space="preserve"> </w:t>
      </w:r>
      <w:r>
        <w:t xml:space="preserve">information quantity would need a subjective prior we neither define nor measure. This</w:t>
      </w:r>
      <w:r>
        <w:t xml:space="preserve"> </w:t>
      </w:r>
      <m:oMath>
        <m:r>
          <m:t>θ</m:t>
        </m:r>
      </m:oMath>
      <w:r>
        <w:t xml:space="preserve">-dependence is not a nuisance: it is</w:t>
      </w:r>
      <w:r>
        <w:t xml:space="preserve"> </w:t>
      </w:r>
      <w:r>
        <w:t xml:space="preserve">the formal home of the</w:t>
      </w:r>
      <w:r>
        <w:t xml:space="preserve"> </w:t>
      </w:r>
      <w:r>
        <w:rPr>
          <w:i/>
          <w:iCs/>
        </w:rPr>
        <w:t xml:space="preserve">model-relative value of private context</w:t>
      </w:r>
      <w:r>
        <w:t xml:space="preserve"> </w:t>
      </w:r>
      <w:r>
        <w:t xml:space="preserve">measured in</w:t>
      </w:r>
      <w:r>
        <w:t xml:space="preserve"> </w:t>
      </w:r>
      <w:r>
        <w:t xml:space="preserve">§7, where the guessability of a fixed convention spans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vendors. Throughout, all realized-PASS quantities are implicitly indexed by</w:t>
      </w:r>
      <w:r>
        <w:t xml:space="preserve"> </w:t>
      </w:r>
      <m:oMath>
        <m:r>
          <m:t>θ</m:t>
        </m:r>
      </m:oMath>
      <w:r>
        <w:t xml:space="preserve">; we suppress</w:t>
      </w:r>
      <w:r>
        <w:t xml:space="preserve"> </w:t>
      </w:r>
      <w:r>
        <w:t xml:space="preserve">it except where the model-relativity is the point.</w:t>
      </w:r>
    </w:p>
    <w:bookmarkEnd w:id="29"/>
    <w:bookmarkEnd w:id="30"/>
    <w:bookmarkStart w:id="43" w:name="sec:order"/>
    <w:p>
      <w:pPr>
        <w:pStyle w:val="Heading1"/>
      </w:pPr>
      <w:r>
        <w:t xml:space="preserve">The Blackwell order over context sources</w:t>
      </w:r>
    </w:p>
    <w:p>
      <w:pPr>
        <w:pStyle w:val="FirstParagraph"/>
      </w:pPr>
      <w:r>
        <w:t xml:space="preserve">With sources modeled as experiments (§3), the classical comparison of</w:t>
      </w:r>
      <w:r>
        <w:t xml:space="preserve"> </w:t>
      </w:r>
      <w:r>
        <w:t xml:space="preserve">experiments applies to them directly. We state the order, record that it is partial</w:t>
      </w:r>
      <w:r>
        <w:t xml:space="preserve"> </w:t>
      </w:r>
      <w:r>
        <w:t xml:space="preserve">(the regime our experiments target), and, because those experiments measure a fixed model rather</w:t>
      </w:r>
      <w:r>
        <w:t xml:space="preserve"> </w:t>
      </w:r>
      <w:r>
        <w:t xml:space="preserve">than the idealized decision-maker the classical theorem assumes, build an explicit bridge between</w:t>
      </w:r>
      <w:r>
        <w:t xml:space="preserve"> </w:t>
      </w:r>
      <w:r>
        <w:t xml:space="preserve">its two registers.</w:t>
      </w:r>
    </w:p>
    <w:bookmarkStart w:id="35" w:name="the-order-and-its-two-registers"/>
    <w:p>
      <w:pPr>
        <w:pStyle w:val="Heading2"/>
      </w:pPr>
      <w:r>
        <w:t xml:space="preserve">The order and its two registers</w:t>
      </w:r>
    </w:p>
    <w:bookmarkStart w:id="31" w:name="def:blackwell"/>
    <w:p>
      <w:pPr>
        <w:pStyle w:val="FirstParagraph"/>
      </w:pPr>
      <w:r>
        <w:rPr>
          <w:b/>
          <w:bCs/>
        </w:rPr>
        <w:t xml:space="preserve">Definition 4</w:t>
      </w:r>
      <w:r>
        <w:t xml:space="preserve"> </w:t>
      </w:r>
      <w:r>
        <w:t xml:space="preserve">(Garbling order).</w:t>
      </w:r>
      <w:r>
        <w:t xml:space="preserve"> 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Blackwell-dominates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 iff there is a Markov kernel</w:t>
      </w:r>
      <w:r>
        <w:t xml:space="preserve"> </w:t>
      </w:r>
      <w:r>
        <w:t xml:space="preserve">(garbling)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Δ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</m:oMath>
      <w:r>
        <w:t xml:space="preserve">;</w:t>
      </w:r>
      <w:r>
        <w:t xml:space="preserve"> </w:t>
      </w:r>
      <w:r>
        <w:t xml:space="preserve">i.e. 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a noised, post-processed version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’s, computable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</w:t>
      </w:r>
      <w:r>
        <w:t xml:space="preserve"> </w:t>
      </w:r>
      <w:r>
        <w:t xml:space="preserve">alone without further access to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t xml:space="preserve">The classical content of the order is the Blackwell–Sherman–Stein theorem, which we state with</w:t>
      </w:r>
      <w:r>
        <w:t xml:space="preserve"> </w:t>
      </w:r>
      <w:r>
        <w:t xml:space="preserve">hypotheses for a self-contained treatment.</w:t>
      </w:r>
    </w:p>
    <w:bookmarkStart w:id="32" w:name="thm:blackwell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(Blackwell–Sherman–Stein; universal dominance for the optimal rule).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experiments on a common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finite</w:t>
      </w:r>
      <w:r>
        <w:rPr>
          <w:i/>
          <w:iCs/>
        </w:rPr>
        <w:t xml:space="preserve"> </w:t>
      </w:r>
      <w:r>
        <w:rPr>
          <w:i/>
          <w:iCs/>
        </w:rPr>
        <w:t xml:space="preserve">parameter space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standard</w:t>
      </w:r>
      <w:r>
        <w:rPr>
          <w:i/>
          <w:iCs/>
        </w:rPr>
        <w:t xml:space="preserve"> </w:t>
      </w:r>
      <w:r>
        <w:rPr>
          <w:i/>
          <w:iCs/>
        </w:rPr>
        <w:t xml:space="preserve">Borel signal spaces. The following are equivalent (the implication</w:t>
      </w:r>
      <w:r>
        <w:rPr>
          <w:i/>
          <w:iCs/>
        </w:rPr>
        <w:t xml:space="preserve"> </w:t>
      </w:r>
      <w:r>
        <w:rPr>
          <w:i/>
          <w:iCs/>
        </w:rPr>
        <w:t xml:space="preserve">(i)</w:t>
      </w:r>
      <m:oMath>
        <m:r>
          <m:rPr>
            <m:sty m:val="p"/>
          </m:rPr>
          <m:t>⇒</m:t>
        </m:r>
      </m:oMath>
      <w:r>
        <w:rPr>
          <w:i/>
          <w:iCs/>
        </w:rPr>
        <w:t xml:space="preserve">(ii)</w:t>
      </w:r>
      <w:r>
        <w:rPr>
          <w:i/>
          <w:iCs/>
        </w:rPr>
        <w:t xml:space="preserve"> </w:t>
      </w:r>
      <w:r>
        <w:rPr>
          <w:i/>
          <w:iCs/>
        </w:rPr>
        <w:t xml:space="preserve">needs neither finiteness nor further regularity, and is the</w:t>
      </w:r>
      <w:r>
        <w:rPr>
          <w:i/>
          <w:iCs/>
        </w:rPr>
        <w:t xml:space="preserve"> </w:t>
      </w:r>
      <w:r>
        <w:rPr>
          <w:i/>
          <w:iCs/>
        </w:rPr>
        <w:t xml:space="preserve">only direction Corollary 1 and Lemma 2 use):</w:t>
      </w:r>
    </w:p>
    <w:p>
      <w:pPr>
        <w:numPr>
          <w:ilvl w:val="0"/>
          <w:numId w:val="1005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4);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for every prior</w:t>
      </w:r>
      <w:r>
        <w:rPr>
          <w:i/>
          <w:iCs/>
        </w:rPr>
        <w:t xml:space="preserve"> </w:t>
      </w: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, every finite decision space, and every</w:t>
      </w:r>
      <w:r>
        <w:rPr>
          <w:i/>
          <w:iCs/>
        </w:rPr>
        <w:t xml:space="preserve"> </w:t>
      </w:r>
      <w:r>
        <w:rPr>
          <w:i/>
          <w:iCs/>
        </w:rPr>
        <w:t xml:space="preserve">bounded loss</w:t>
      </w:r>
      <w:r>
        <w:rPr>
          <w:i/>
          <w:iCs/>
        </w:rPr>
        <w:t xml:space="preserve"> </w:t>
      </w:r>
      <m:oMath>
        <m:r>
          <m:t>ℓ</m:t>
        </m:r>
      </m:oMath>
      <w:r>
        <w:rPr>
          <w:i/>
          <w:iCs/>
        </w:rPr>
        <w:t xml:space="preserve">, the Bayes risk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no larger than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; equivalently the</w:t>
      </w:r>
      <w:r>
        <w:rPr>
          <w:i/>
          <w:iCs/>
        </w:rPr>
        <w:t xml:space="preserve"> </w:t>
      </w:r>
      <w:r>
        <w:rPr>
          <w:i/>
          <w:iCs/>
        </w:rPr>
        <w:t xml:space="preserve">optimal value satisfies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every task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bounded</w:t>
      </w:r>
      <w:r>
        <w:rPr>
          <w:i/>
          <w:iCs/>
        </w:rPr>
        <w:t xml:space="preserve"> </w:t>
      </w:r>
      <w:r>
        <w:rPr>
          <w:i/>
          <w:iCs/>
        </w:rPr>
        <w:t xml:space="preserve">utility.</w:t>
      </w:r>
    </w:p>
    <w:p>
      <w:pPr>
        <w:pStyle w:val="FirstParagraph"/>
      </w:pPr>
      <w:r>
        <w:rPr>
          <w:i/>
          <w:iCs/>
        </w:rPr>
        <w:t xml:space="preserve">Randomized decision rules are admitted on both sides; if the dominated experiment is realized with</w:t>
      </w:r>
      <w:r>
        <w:rPr>
          <w:i/>
          <w:iCs/>
        </w:rPr>
        <w:t xml:space="preserve"> </w:t>
      </w:r>
      <w:r>
        <w:rPr>
          <w:i/>
          <w:iCs/>
        </w:rPr>
        <w:t xml:space="preserve">a randomized garbling, no loss of generality is incurred by allowing randomized rules in</w:t>
      </w:r>
      <w:r>
        <w:rPr>
          <w:i/>
          <w:iCs/>
        </w:rPr>
        <w:t xml:space="preserve"> </w:t>
      </w:r>
      <w:r>
        <w:rPr>
          <w:i/>
          <w:iCs/>
        </w:rPr>
        <w:t xml:space="preserve">(ii)</w:t>
      </w:r>
      <w:r>
        <w:rPr>
          <w:i/>
          <w:iCs/>
        </w:rPr>
        <w:t xml:space="preserve">.</w:t>
      </w:r>
    </w:p>
    <w:bookmarkEnd w:id="32"/>
    <w:p>
      <w:pPr>
        <w:pStyle w:val="BodyText"/>
      </w:pPr>
      <w:r>
        <w:t xml:space="preserve">This is the classical Blackwell–Sherman–Stein theorem </w:t>
      </w:r>
      <w:r>
        <w:t xml:space="preserve">(Blackwell 1953; Torgersen 1991)</w:t>
      </w:r>
      <w:r>
        <w:t xml:space="preserve">,</w:t>
      </w:r>
      <w:r>
        <w:t xml:space="preserve"> </w:t>
      </w:r>
      <w:r>
        <w:t xml:space="preserve">which we use as a black box. The two directions are not on the same footing and we separate them.</w:t>
      </w:r>
      <w:r>
        <w:t xml:space="preserve"> </w:t>
      </w:r>
      <w:r>
        <w:t xml:space="preserve">(i)</w:t>
      </w:r>
      <m:oMath>
        <m:r>
          <m:rPr>
            <m:sty m:val="p"/>
          </m:rPr>
          <m:t>⇒</m:t>
        </m:r>
      </m:oMath>
      <w:r>
        <w:t xml:space="preserve">(ii)</w:t>
      </w:r>
      <w:r>
        <w:t xml:space="preserve"> </w:t>
      </w:r>
      <w:r>
        <w:t xml:space="preserve">holds for arbitrary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 no further regularity, by</w:t>
      </w:r>
      <w:r>
        <w:t xml:space="preserve"> </w:t>
      </w:r>
      <w:r>
        <w:t xml:space="preserve">simulating the garbling, and it is the only direction Corollary 1 and</w:t>
      </w:r>
      <w:r>
        <w:t xml:space="preserve"> </w:t>
      </w:r>
      <w:r>
        <w:t xml:space="preserve">Lemma 2 use. We invoke the converse</w:t>
      </w:r>
      <w:r>
        <w:t xml:space="preserve"> </w:t>
      </w:r>
      <w:r>
        <w:t xml:space="preserve">(ii)</w:t>
      </w:r>
      <m:oMath>
        <m:r>
          <m:rPr>
            <m:sty m:val="p"/>
          </m:rPr>
          <m:t>⇒</m:t>
        </m:r>
      </m:oMath>
      <w:r>
        <w:t xml:space="preserve">(i)</w:t>
      </w:r>
      <w:r>
        <w:t xml:space="preserve"> </w:t>
      </w:r>
      <w:r>
        <w:t xml:space="preserve">once</w:t>
      </w:r>
      <w:r>
        <w:t xml:space="preserve"> </w:t>
      </w:r>
      <w:r>
        <w:t xml:space="preserve">only, in Theorem 2, and there for a finite state space: that is the case</w:t>
      </w:r>
      <w:r>
        <w:t xml:space="preserve"> </w:t>
      </w:r>
      <w:r>
        <w:t xml:space="preserve">Blackwell (1953)</w:t>
      </w:r>
      <w:r>
        <w:t xml:space="preserve"> </w:t>
      </w:r>
      <w:r>
        <w:t xml:space="preserve">proves and the case our coordinate construction realizes. On a general state</w:t>
      </w:r>
      <w:r>
        <w:t xml:space="preserve"> </w:t>
      </w:r>
      <w:r>
        <w:t xml:space="preserve">space the converse needs the convex closure taken in the definition of more-informativeness, which</w:t>
      </w:r>
      <w:r>
        <w:t xml:space="preserve"> </w:t>
      </w:r>
      <w:r>
        <w:t xml:space="preserve">is where the careful statement lives </w:t>
      </w:r>
      <w:r>
        <w:t xml:space="preserve">(Khan et al. 2025)</w:t>
      </w:r>
      <w:r>
        <w:t xml:space="preserve">. The only specialization is reading</w:t>
      </w:r>
      <w:r>
        <w:t xml:space="preserve"> </w:t>
      </w:r>
      <w:r>
        <w:t xml:space="preserve">“decision problem”</w:t>
      </w:r>
      <w:r>
        <w:t xml:space="preserve"> </w:t>
      </w:r>
      <w:r>
        <w:t xml:space="preserve">as a task with</w:t>
      </w:r>
      <w:r>
        <w:t xml:space="preserve"> </w:t>
      </w:r>
      <w:r>
        <w:t xml:space="preserve">bounded verifier utility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“experiment”</w:t>
      </w:r>
      <w:r>
        <w:t xml:space="preserve"> </w:t>
      </w:r>
      <w:r>
        <w:t xml:space="preserve">as a context source</w:t>
      </w:r>
      <w:r>
        <w:t xml:space="preserve"> </w:t>
      </w:r>
      <w:r>
        <w:t xml:space="preserve">(Definition 1), which is faithful because the kernels of</w:t>
      </w:r>
      <w:r>
        <w:t xml:space="preserve"> </w:t>
      </w:r>
      <w:r>
        <w:t xml:space="preserve">Definition 3 are standard Borel.</w:t>
      </w:r>
    </w:p>
    <w:bookmarkStart w:id="33" w:name="cor:c1"/>
    <w:p>
      <w:pPr>
        <w:pStyle w:val="BodyText"/>
      </w:pPr>
      <w:r>
        <w:rPr>
          <w:b/>
          <w:bCs/>
        </w:rPr>
        <w:t xml:space="preserve">Corollary 1</w:t>
      </w:r>
      <w:r>
        <w:t xml:space="preserve"> </w:t>
      </w:r>
      <w:r>
        <w:t xml:space="preserve">(Universal context dominance, C1).</w:t>
      </w:r>
      <w:r>
        <w:t xml:space="preserve"> </w:t>
      </w:r>
      <w:r>
        <w:t xml:space="preserve"> </w:t>
      </w:r>
      <w:r>
        <w:rPr>
          <w:i/>
          <w:iCs/>
        </w:rPr>
        <w:t xml:space="preserve">If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then, for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optimal</w:t>
      </w:r>
      <w:r>
        <w:rPr>
          <w:i/>
          <w:iCs/>
        </w:rPr>
        <w:t xml:space="preserve"> </w:t>
      </w:r>
      <w:r>
        <w:rPr>
          <w:i/>
          <w:iCs/>
        </w:rPr>
        <w:t xml:space="preserve">user, supplying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at least as good as</w:t>
      </w:r>
      <w:r>
        <w:rPr>
          <w:i/>
          <w:iCs/>
        </w:rPr>
        <w:t xml:space="preserve"> </w:t>
      </w:r>
      <w:r>
        <w:rPr>
          <w:i/>
          <w:iCs/>
        </w:rPr>
        <w:t xml:space="preserve">supplying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every</w:t>
      </w:r>
      <w:r>
        <w:rPr>
          <w:i/>
          <w:iCs/>
        </w:rPr>
        <w:t xml:space="preserve"> </w:t>
      </w:r>
      <w:r>
        <w:rPr>
          <w:i/>
          <w:iCs/>
        </w:rPr>
        <w:t xml:space="preserve">task, prior, and bounded utility, a decision-independent,</w:t>
      </w:r>
      <w:r>
        <w:rPr>
          <w:i/>
          <w:iCs/>
        </w:rPr>
        <w:t xml:space="preserve"> </w:t>
      </w:r>
      <w:r>
        <w:rPr>
          <w:i/>
          <w:iCs/>
        </w:rPr>
        <w:t xml:space="preserve">for-all-tasks guarantee that no task-specific scalar score (relevance, mutual information,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information) provides.</w:t>
      </w:r>
    </w:p>
    <w:bookmarkEnd w:id="33"/>
    <w:bookmarkStart w:id="34" w:name="rem:partial"/>
    <w:p>
      <w:pPr>
        <w:pStyle w:val="BodyText"/>
      </w:pPr>
      <w:r>
        <w:rPr>
          <w:i/>
          <w:iCs/>
        </w:rPr>
        <w:t xml:space="preserve">Remark 2</w:t>
      </w:r>
      <w:r>
        <w:t xml:space="preserve"> </w:t>
      </w:r>
      <w:r>
        <w:t xml:space="preserve">(Preorder on kernels;</w:t>
      </w:r>
      <w:r>
        <w:t xml:space="preserve"> </w:t>
      </w:r>
      <w:r>
        <w:t xml:space="preserve">“partial”</w:t>
      </w:r>
      <w:r>
        <w:t xml:space="preserve"> </w:t>
      </w:r>
      <w:r>
        <w:t xml:space="preserve">means not total).</w:t>
      </w:r>
      <w:r>
        <w:t xml:space="preserve"> </w:t>
      </w:r>
      <w:r>
        <w:t xml:space="preserve"> </w:t>
      </w:r>
      <w:r>
        <w:t xml:space="preserve">On the class of all experiments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reflexive and transitive but not antisymmetric, since</w:t>
      </w:r>
      <w:r>
        <w:t xml:space="preserve"> </w:t>
      </w:r>
      <w:r>
        <w:t xml:space="preserve">two experiments can garble each other without being equal, so it is a</w:t>
      </w:r>
      <w:r>
        <w:t xml:space="preserve"> </w:t>
      </w:r>
      <w:r>
        <w:rPr>
          <w:i/>
          <w:iCs/>
        </w:rPr>
        <w:t xml:space="preserve">preorder</w:t>
      </w:r>
      <w:r>
        <w:t xml:space="preserve"> </w:t>
      </w:r>
      <w:r>
        <w:t xml:space="preserve">and the</w:t>
      </w:r>
      <w:r>
        <w:t xml:space="preserve"> </w:t>
      </w:r>
      <w:r>
        <w:t xml:space="preserve">induced partial order lives on Blackwell-equivalence classes </w:t>
      </w:r>
      <w:r>
        <w:t xml:space="preserve">(Blackwell 1953)</w:t>
      </w:r>
      <w:r>
        <w:t xml:space="preserve">. Throughout,</w:t>
      </w:r>
      <w:r>
        <w:t xml:space="preserve"> </w:t>
      </w:r>
      <w:r>
        <w:t xml:space="preserve">“partial”</w:t>
      </w:r>
      <w:r>
        <w:t xml:space="preserve"> </w:t>
      </w:r>
      <w:r>
        <w:t xml:space="preserve">means</w:t>
      </w:r>
      <w:r>
        <w:t xml:space="preserve"> </w:t>
      </w:r>
      <w:r>
        <w:rPr>
          <w:i/>
          <w:iCs/>
        </w:rPr>
        <w:t xml:space="preserve">not total</w:t>
      </w:r>
      <w:r>
        <w:t xml:space="preserve">: there exist experiments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neither</w:t>
      </w:r>
      <w:r>
        <w:t xml:space="preserve"> </w:t>
      </w:r>
      <m:oMath>
        <m:r>
          <m:t>V</m:t>
        </m:r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nor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r>
          <m:t>V</m:t>
        </m:r>
      </m:oMath>
      <w:r>
        <w:t xml:space="preserve">, and on that class the order is not even a</w:t>
      </w:r>
      <w:r>
        <w:t xml:space="preserve"> </w:t>
      </w:r>
      <w:r>
        <w:t xml:space="preserve">lattice </w:t>
      </w:r>
      <w:r>
        <w:t xml:space="preserve">(Bertschinger and Rauh 2014; Torgersen 1991)</w:t>
      </w:r>
      <w:r>
        <w:t xml:space="preserve">. (The bound variables here are not the</w:t>
      </w:r>
      <w:r>
        <w:t xml:space="preserve"> </w:t>
      </w:r>
      <w:r>
        <w:t xml:space="preserve">paper’s named sources: our own projection family is better behaved, and the next subsection shows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antisymmetric on it with the induced order the Boolean lattice on coordinate sets,</w:t>
      </w:r>
      <w:r>
        <w:t xml:space="preserve"> </w:t>
      </w:r>
      <w:r>
        <w:t xml:space="preserve">Lemma 1(a).) Incomparability survives on that family and is exactly the regime our</w:t>
      </w:r>
      <w:r>
        <w:t xml:space="preserve"> </w:t>
      </w:r>
      <w:r>
        <w:t xml:space="preserve">experiments target. One caution for what follows: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invariant of a</w:t>
      </w:r>
      <w:r>
        <w:t xml:space="preserve"> </w:t>
      </w:r>
      <w:r>
        <w:t xml:space="preserve">Blackwell-equivalence class, and it need not be: a rule keyed to surface form can prefer</w:t>
      </w:r>
      <w:r>
        <w:t xml:space="preserve"> </w:t>
      </w:r>
      <w:r>
        <w:t xml:space="preserve">differently between two experiments that garble each other. The padding arm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of Appendix B reveals no coordinate any verifier checks, so it</w:t>
      </w:r>
      <w:r>
        <w:t xml:space="preserve"> </w:t>
      </w:r>
      <w:r>
        <w:t xml:space="preserve">is Blackwell-equivalent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and the two score</w:t>
      </w:r>
      <w:r>
        <w:t xml:space="preserve"> </w:t>
      </w:r>
      <m:oMath>
        <m:r>
          <m:t>65</m:t>
        </m:r>
        <m:r>
          <m:rPr>
            <m:sty m:val="p"/>
          </m:rPr>
          <m:t>%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. That gap is a point estimate, not a verified separation: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intervals,</w:t>
      </w:r>
      <w:r>
        <w:t xml:space="preserve"> </w:t>
      </w:r>
      <m:oMath>
        <m:r>
          <m:rPr>
            <m:sty m:val="p"/>
          </m:rPr>
          <m:t>[</m:t>
        </m:r>
        <m:r>
          <m:t>0.48</m:t>
        </m:r>
        <m:r>
          <m:rPr>
            <m:sty m:val="p"/>
          </m:rPr>
          <m:t>,</m:t>
        </m:r>
        <m:r>
          <m:t>0.79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0.34</m:t>
        </m:r>
        <m:r>
          <m:rPr>
            <m:sty m:val="p"/>
          </m:rPr>
          <m:t>,</m:t>
        </m:r>
        <m:r>
          <m:t>0.66</m:t>
        </m:r>
        <m:r>
          <m:rPr>
            <m:sty m:val="p"/>
          </m:rPr>
          <m:t>]</m:t>
        </m:r>
      </m:oMath>
      <w:r>
        <w:t xml:space="preserve">, overlap. The pair illustrates the</w:t>
      </w:r>
      <w:r>
        <w:t xml:space="preserve"> </w:t>
      </w:r>
      <w:r>
        <w:t xml:space="preserve">possibility rather than certifying an instance of it. Either way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of §4.3 is not read on the quotient.</w:t>
      </w:r>
    </w:p>
    <w:bookmarkEnd w:id="34"/>
    <w:bookmarkEnd w:id="35"/>
    <w:bookmarkStart w:id="37" w:name="Xcf9dd7f06cc6d4592db8258d08ec9b7ef4b608b"/>
    <w:p>
      <w:pPr>
        <w:pStyle w:val="Heading2"/>
      </w:pPr>
      <w:r>
        <w:t xml:space="preserve">Deterministic sources: incomparability via</w:t>
      </w:r>
      <w:r>
        <w:t xml:space="preserve"> </w:t>
      </w:r>
      <m:oMath>
        <m:r>
          <m:t>σ</m:t>
        </m:r>
      </m:oMath>
      <w:r>
        <w:t xml:space="preserve">-algebra non-refinement</w:t>
      </w:r>
    </w:p>
    <w:p>
      <w:pPr>
        <w:pStyle w:val="FirstParagraph"/>
      </w:pPr>
      <w:r>
        <w:t xml:space="preserve">For deterministic projection sources (Definition 3) the garbling order reduces</w:t>
      </w:r>
      <w:r>
        <w:t xml:space="preserve"> </w:t>
      </w:r>
      <w:r>
        <w:t xml:space="preserve">to refinement of the generated</w:t>
      </w:r>
      <w:r>
        <w:t xml:space="preserve"> </w:t>
      </w:r>
      <m:oMath>
        <m:r>
          <m:t>σ</m:t>
        </m:r>
      </m:oMath>
      <w:r>
        <w:t xml:space="preserve">-algebras, which makes incomparability checkable by a</w:t>
      </w:r>
      <w:r>
        <w:t xml:space="preserve"> </w:t>
      </w:r>
      <w:r>
        <w:t xml:space="preserve">purely structural argument rather than by an empirical divergence.</w:t>
      </w:r>
    </w:p>
    <w:bookmarkStart w:id="36" w:name="lem:noref"/>
    <w:p>
      <w:pPr>
        <w:pStyle w:val="BodyText"/>
      </w:pPr>
      <w:r>
        <w:rPr>
          <w:b/>
          <w:bCs/>
        </w:rPr>
        <w:t xml:space="preserve">Lemma 1</w:t>
      </w:r>
      <w:r>
        <w:t xml:space="preserve"> </w:t>
      </w:r>
      <w:r>
        <w:t xml:space="preserve">(Refinement characterization for projection sources).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projection sources revealing coordinate sets</w:t>
      </w:r>
      <w:r>
        <w:rPr>
          <w:i/>
          <w:iCs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3), with coordinates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mutually independent under</w:t>
      </w:r>
      <w:r>
        <w:rPr>
          <w:i/>
          <w:iCs/>
        </w:rPr>
        <w:t xml:space="preserve"> </w:t>
      </w:r>
      <w:r>
        <w:rPr>
          <w:i/>
          <w:iCs/>
        </w:rPr>
        <w:t xml:space="preserve">some full-support prior and each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non-degenerate. Then:</w:t>
      </w:r>
    </w:p>
    <w:p>
      <w:pPr>
        <w:numPr>
          <w:ilvl w:val="0"/>
          <w:numId w:val="1006"/>
        </w:numPr>
      </w:pPr>
      <m:oMath>
        <m:sSub>
          <m:e>
            <m:r>
              <m:t>W</m:t>
            </m:r>
          </m:e>
          <m:sub>
            <m:r>
              <m:t>A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B</m:t>
            </m:r>
          </m:sub>
        </m:sSub>
        <m:r>
          <m:rPr>
            <m:sty m:val="p"/>
          </m:rPr>
          <m:t>⇔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⊆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  <m:r>
          <m:rPr>
            <m:sty m:val="p"/>
          </m:rPr>
          <m:t>⇔</m:t>
        </m:r>
        <m:r>
          <m:t>B</m:t>
        </m:r>
        <m:r>
          <m:rPr>
            <m:sty m:val="p"/>
          </m:rPr>
          <m:t>⊆</m:t>
        </m:r>
        <m:r>
          <m:t>A</m:t>
        </m:r>
      </m:oMath>
      <w:r>
        <w:rPr>
          <w:i/>
          <w:iCs/>
        </w:rPr>
        <w:t xml:space="preserve">;</w:t>
      </w:r>
    </w:p>
    <w:p>
      <w:pPr>
        <w:numPr>
          <w:ilvl w:val="0"/>
          <w:numId w:val="1006"/>
        </w:numPr>
      </w:pPr>
      <w:r>
        <w:rPr>
          <w:i/>
          <w:iCs/>
        </w:rPr>
        <w:t xml:space="preserve">consequently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Blackwell-</w:t>
      </w:r>
      <w:r>
        <w:rPr>
          <w:i/>
          <w:i/>
          <w:iCs/>
          <w:iCs/>
        </w:rPr>
        <w:t xml:space="preserve">incomparable</w:t>
      </w:r>
      <w:r>
        <w:rPr>
          <w:i/>
          <w:iCs/>
        </w:rPr>
        <w:t xml:space="preserve"> </w:t>
      </w:r>
      <w:r>
        <w:rPr>
          <w:i/>
          <w:iCs/>
        </w:rPr>
        <w:t xml:space="preserve">iff</w:t>
      </w:r>
      <w:r>
        <w:rPr>
          <w:i/>
          <w:iCs/>
        </w:rPr>
        <w:t xml:space="preserve"> </w:t>
      </w:r>
      <m:oMath>
        <m:r>
          <m:t>A</m:t>
        </m:r>
        <m:r>
          <m:rPr>
            <m:sty m:val="p"/>
          </m:rPr>
          <m:t>⊈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B</m:t>
        </m:r>
        <m:r>
          <m:rPr>
            <m:sty m:val="p"/>
          </m:rPr>
          <m:t>⊈</m:t>
        </m:r>
        <m:r>
          <m:t>A</m:t>
        </m:r>
      </m:oMath>
      <w:r>
        <w:rPr>
          <w:i/>
          <w:iCs/>
        </w:rPr>
        <w:t xml:space="preserve">, i.e. each reveals at least one coordinate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 hides.</w:t>
      </w:r>
    </w:p>
    <w:bookmarkEnd w:id="36"/>
    <w:p>
      <w:pPr>
        <w:pStyle w:val="FirstParagraph"/>
      </w:pPr>
      <w:r>
        <w:t xml:space="preserve">Lemma 1 is the formal version of the garbling argument used in</w:t>
      </w:r>
      <w:r>
        <w:t xml:space="preserve"> </w:t>
      </w:r>
      <w:r>
        <w:t xml:space="preserve">§7: from the wire format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revealing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) one cannot manufacture the</w:t>
      </w:r>
      <w:r>
        <w:t xml:space="preserve"> </w:t>
      </w:r>
      <w:r>
        <w:t xml:space="preserve">private arg-order / required-keyword / exception-type facts (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), and from the call contract</w:t>
      </w:r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revealing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) one cannot manufacture the cents-scale / check-digit facts (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). 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neither set contains the other,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Blackwell-incomparable</w:t>
      </w:r>
      <w:r>
        <w:t xml:space="preserve"> </w:t>
      </w:r>
      <w:r>
        <w:t xml:space="preserve">by construction (and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revealing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, dominates both). This guarantees the</w:t>
      </w:r>
      <w:r>
        <w:t xml:space="preserve"> </w:t>
      </w:r>
      <w:r>
        <w:rPr>
          <w:i/>
          <w:iCs/>
        </w:rPr>
        <w:t xml:space="preserve">theoretical</w:t>
      </w:r>
      <w:r>
        <w:t xml:space="preserve"> </w:t>
      </w:r>
      <w:r>
        <w:t xml:space="preserve">incomparability the experiments then exhibit empirically.</w:t>
      </w:r>
    </w:p>
    <w:bookmarkEnd w:id="37"/>
    <w:bookmarkStart w:id="42" w:name="subsec:bridge"/>
    <w:p>
      <w:pPr>
        <w:pStyle w:val="Heading2"/>
      </w:pPr>
      <w:r>
        <w:t xml:space="preserve">Bridging the optimal-rule order to the fixed model</w:t>
      </w:r>
    </w:p>
    <w:p>
      <w:pPr>
        <w:pStyle w:val="FirstParagraph"/>
      </w:pPr>
      <w:r>
        <w:t xml:space="preserve">Theorem 1 concerns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. Our experiments measure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a</w:t>
      </w:r>
      <w:r>
        <w:t xml:space="preserve"> </w:t>
      </w:r>
      <w:r>
        <w:t xml:space="preserve">single fixed, generally sub-optimal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The two are not interchangeable: an inequality</w:t>
      </w:r>
      <w:r>
        <w:t xml:space="preserve"> </w:t>
      </w:r>
      <w:r>
        <w:t xml:space="preserve">between optimal values need not hold for a fixed rule, and, as we show empirically, the fixed rule</w:t>
      </w:r>
      <w:r>
        <w:t xml:space="preserve"> </w:t>
      </w:r>
      <w:r>
        <w:t xml:space="preserve">can even</w:t>
      </w:r>
      <w:r>
        <w:t xml:space="preserve"> </w:t>
      </w:r>
      <w:r>
        <w:rPr>
          <w:i/>
          <w:iCs/>
        </w:rPr>
        <w:t xml:space="preserve">violate</w:t>
      </w:r>
      <w:r>
        <w:t xml:space="preserve"> </w:t>
      </w:r>
      <w:r>
        <w:t xml:space="preserve">monotonicity that the optimal value obeys. We therefore introduce a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and state precisely what it does and does not inherit from</w:t>
      </w:r>
      <w:r>
        <w:t xml:space="preserve"> </w:t>
      </w:r>
      <w:r>
        <w:t xml:space="preserve">Theorem 1.</w:t>
      </w:r>
    </w:p>
    <w:bookmarkStart w:id="38" w:name="def:dmorder"/>
    <w:p>
      <w:pPr>
        <w:pStyle w:val="BodyText"/>
      </w:pPr>
      <w:r>
        <w:rPr>
          <w:b/>
          <w:bCs/>
        </w:rPr>
        <w:t xml:space="preserve">Definition 5</w:t>
      </w:r>
      <w:r>
        <w:t xml:space="preserve"> </w:t>
      </w:r>
      <w:r>
        <w:t xml:space="preserve">(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-restricted,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-restricted order).</w:t>
      </w:r>
      <w:r>
        <w:t xml:space="preserve"> </w:t>
      </w:r>
      <w:r>
        <w:t xml:space="preserve"> </w:t>
      </w:r>
      <w:r>
        <w:t xml:space="preserve">Fix 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finite task set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 Say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t xml:space="preserve">. Call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-incomparable</w:t>
      </w:r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i.e. each strictly out-performs the other on some task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p>
      <w:pPr>
        <w:pStyle w:val="BodyText"/>
      </w:pPr>
      <m:oMath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is the order our verification measures. It is decision-restricted (one fixed rule)</w:t>
      </w:r>
      <w:r>
        <w:t xml:space="preserve"> </w:t>
      </w:r>
      <w:r>
        <w:t xml:space="preserve">and distribution-restricted (a fixed finite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); within those restrictions it is still a genuine,</w:t>
      </w:r>
      <w:r>
        <w:t xml:space="preserve"> </w:t>
      </w:r>
      <w:r>
        <w:rPr>
          <w:i/>
          <w:iCs/>
        </w:rPr>
        <w:t xml:space="preserve">for-all-tasks-in-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dominance statement, not a scalar.</w:t>
      </w:r>
    </w:p>
    <w:bookmarkStart w:id="39" w:name="lem:bridge"/>
    <w:p>
      <w:pPr>
        <w:pStyle w:val="BodyText"/>
      </w:pPr>
      <w:r>
        <w:rPr>
          <w:b/>
          <w:bCs/>
        </w:rPr>
        <w:t xml:space="preserve">Lemma 2</w:t>
      </w:r>
      <w:r>
        <w:t xml:space="preserve"> </w:t>
      </w:r>
      <w:r>
        <w:t xml:space="preserve">(One-way bridge under coordinate separation).</w:t>
      </w:r>
      <w:r>
        <w:t xml:space="preserve"> </w:t>
      </w:r>
      <w:r>
        <w:t xml:space="preserve"> </w:t>
      </w:r>
      <w:r>
        <w:rPr>
          <w:i/>
          <w:iCs/>
        </w:rPr>
        <w:t xml:space="preserve">Neither order implies the other unconditionally; each direction of the bridge carries an explicit</w:t>
      </w:r>
      <w:r>
        <w:rPr>
          <w:i/>
          <w:iCs/>
        </w:rPr>
        <w:t xml:space="preserve"> </w:t>
      </w:r>
      <w:r>
        <w:rPr>
          <w:i/>
          <w:iCs/>
        </w:rPr>
        <w:t xml:space="preserve">hypothesis.</w:t>
      </w:r>
    </w:p>
    <w:p>
      <w:pPr>
        <w:numPr>
          <w:ilvl w:val="0"/>
          <w:numId w:val="1007"/>
        </w:numPr>
      </w:pP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projection sources revealing coordinate sets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3), and let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tasks whose</w:t>
      </w:r>
      <w:r>
        <w:rPr>
          <w:i/>
          <w:iCs/>
        </w:rPr>
        <w:t xml:space="preserve"> </w:t>
      </w:r>
      <w:r>
        <w:rPr>
          <w:i/>
          <w:iCs/>
        </w:rPr>
        <w:t xml:space="preserve">verifier-decisive coordinates lie in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respectively, each verifier being determined by its decisive coordinate together with facts</w:t>
      </w:r>
      <w:r>
        <w:rPr>
          <w:i/>
          <w:iCs/>
        </w:rPr>
        <w:t xml:space="preserve"> </w:t>
      </w:r>
      <w:r>
        <w:rPr>
          <w:i/>
          <w:iCs/>
        </w:rPr>
        <w:t xml:space="preserve">known</w:t>
      </w:r>
      <w:r>
        <w:rPr>
          <w:i/>
          <w:iCs/>
        </w:rP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-almost surely (</w:t>
      </w:r>
      <w:r>
        <w:rPr>
          <w:i/>
          <w:i/>
          <w:iCs/>
          <w:iCs/>
        </w:rPr>
        <w:t xml:space="preserve">sufficiency of the informed source</w:t>
      </w:r>
      <w:r>
        <w:rPr>
          <w:i/>
          <w:iCs/>
        </w:rPr>
        <w:t xml:space="preserve">). Let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guessing caps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Bayes</w:t>
      </w:r>
      <w:r>
        <w:rPr>
          <w:i/>
          <w:iCs/>
        </w:rPr>
        <w:t xml:space="preserve"> </w:t>
      </w:r>
      <w:r>
        <w:rPr>
          <w:i/>
          <w:iCs/>
        </w:rPr>
        <w:t xml:space="preserve">values (3) attainable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without</w:t>
      </w:r>
      <w:r>
        <w:rPr>
          <w:i/>
          <w:iCs/>
        </w:rPr>
        <w:t xml:space="preserve"> </w:t>
      </w:r>
      <w:r>
        <w:rPr>
          <w:i/>
          <w:iCs/>
        </w:rPr>
        <w:t xml:space="preserve">the decisive coordinate. If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i/>
          <w:iCs/>
        </w:rPr>
        <w:t xml:space="preserve">, so that neither deprived source determines the coordinate its task turns on, then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Blackwell-incomparable. The measured crossover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g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g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the falsifiable signature of that separation and is what</w:t>
      </w:r>
      <w:r>
        <w:rPr>
          <w:i/>
          <w:iCs/>
        </w:rPr>
        <w:t xml:space="preserve"> </w:t>
      </w:r>
      <w:r>
        <w:rPr>
          <w:i/>
          <w:iCs/>
        </w:rPr>
        <w:t xml:space="preserve">§7 verifies per cell; since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state-conditional and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a Bayes value, it is evidence for the hypothesis rather than a bound on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(Remark 1).</w:t>
      </w:r>
    </w:p>
    <w:p>
      <w:pPr>
        <w:numPr>
          <w:ilvl w:val="0"/>
          <w:numId w:val="1007"/>
        </w:numPr>
      </w:pPr>
      <w:r>
        <w:rPr>
          <w:i/>
          <w:iCs/>
        </w:rPr>
        <w:t xml:space="preserve">The converse fails in general: Blackwell incomparability concerns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and a fixed sub-optimal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may fail to realize the optimal-value crossover on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It holds under the value-attainment hypothesis (Assumption 1).</w:t>
      </w:r>
    </w:p>
    <w:bookmarkEnd w:id="39"/>
    <w:bookmarkStart w:id="40" w:name="rem:capsrole"/>
    <w:p>
      <w:pPr>
        <w:pStyle w:val="FirstParagraph"/>
      </w:pPr>
      <w:r>
        <w:rPr>
          <w:i/>
          <w:iCs/>
        </w:rPr>
        <w:t xml:space="preserve">Remark 3</w:t>
      </w:r>
      <w:r>
        <w:t xml:space="preserve"> </w:t>
      </w:r>
      <w:r>
        <w:t xml:space="preserve">(What the caps buy, and what they do not).</w:t>
      </w:r>
      <w:r>
        <w:t xml:space="preserve"> </w:t>
      </w:r>
      <w:r>
        <w:t xml:space="preserve"> </w:t>
      </w:r>
      <w:r>
        <w:t xml:space="preserve">Neither hypothesis of</w:t>
      </w:r>
      <w:r>
        <w:t xml:space="preserve"> </w:t>
      </w:r>
      <w:r>
        <w:t xml:space="preserve">(a)</w:t>
      </w:r>
      <w:r>
        <w:t xml:space="preserve">, separation or the caps, can be dropped</w:t>
      </w:r>
      <w:r>
        <w:t xml:space="preserve"> </w:t>
      </w:r>
      <w:r>
        <w:rPr>
          <w:i/>
          <w:iCs/>
        </w:rPr>
        <w:t xml:space="preserve">from this</w:t>
      </w:r>
      <w:r>
        <w:rPr>
          <w:i/>
          <w:iCs/>
        </w:rPr>
        <w:t xml:space="preserve"> </w:t>
      </w:r>
      <w:r>
        <w:rPr>
          <w:i/>
          <w:iCs/>
        </w:rPr>
        <w:t xml:space="preserve">criterion</w:t>
      </w:r>
      <w:r>
        <w:t xml:space="preserve">. They are not preconditions of structural incomparability as such: for the sources</w:t>
      </w:r>
      <w:r>
        <w:t xml:space="preserve"> </w:t>
      </w:r>
      <w:r>
        <w:t xml:space="preserve">this paper measures, Lemma 1 already separates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 coordinate</w:t>
      </w:r>
      <w:r>
        <w:t xml:space="preserve"> </w:t>
      </w:r>
      <w:r>
        <w:t xml:space="preserve">non-refinement, with no caps at all. Lemma 2</w:t>
      </w:r>
      <w:r>
        <w:t xml:space="preserve">(a)</w:t>
      </w:r>
      <w:r>
        <w:t xml:space="preserve"> </w:t>
      </w:r>
      <w:r>
        <w:t xml:space="preserve">is a different route to</w:t>
      </w:r>
      <w:r>
        <w:t xml:space="preserve"> </w:t>
      </w:r>
      <w:r>
        <w:t xml:space="preserve">the same conclusion</w:t>
      </w:r>
      <w:r>
        <w:t xml:space="preserve"> </w:t>
      </w:r>
      <w:r>
        <w:rPr>
          <w:i/>
          <w:iCs/>
        </w:rPr>
        <w:t xml:space="preserve">within the same projection setting</w:t>
      </w:r>
      <w:r>
        <w:t xml:space="preserve">: it argues from Bayes values rather</w:t>
      </w:r>
      <w:r>
        <w:t xml:space="preserve"> </w:t>
      </w:r>
      <w:r>
        <w:t xml:space="preserve">than from</w:t>
      </w:r>
      <w:r>
        <w:t xml:space="preserve"> </w:t>
      </w:r>
      <m:oMath>
        <m:r>
          <m:t>σ</m:t>
        </m:r>
      </m:oMath>
      <w:r>
        <w:t xml:space="preserve">-algebras, and the caps are what that argument costs. It is not a generalization</w:t>
      </w:r>
      <w:r>
        <w:t xml:space="preserve"> </w:t>
      </w:r>
      <w:r>
        <w:t xml:space="preserve">to arbitrary sources; a criterion for those would be a separate statement we do not prove. What the caps do here is show why a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crossover alone proves nothing: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-incomparable on the measured cells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wins the API cells,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the encoding cell) yet strictly Blackwell-</w:t>
      </w:r>
      <w:r>
        <w:rPr>
          <w:i/>
          <w:iCs/>
        </w:rPr>
        <w:t xml:space="preserve">comparable</w:t>
      </w:r>
      <w:r>
        <w:t xml:space="preserve"> </w:t>
      </w:r>
      <w:r>
        <w:t xml:space="preserve">by construction</w:t>
      </w:r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the superset revealing one further independent non-degenerate coordinate),</w:t>
      </w:r>
      <w:r>
        <w:t xml:space="preserve"> </w:t>
      </w:r>
      <w:r>
        <w:t xml:space="preserve">precisely because the deprived-side premise fails there: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coordinate, so</w:t>
      </w:r>
      <w:r>
        <w:t xml:space="preserve"> </w:t>
      </w:r>
      <w:r>
        <w:t xml:space="preserve">the API-side cap is not small. A bare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crossover, with neither</w:t>
      </w:r>
      <w:r>
        <w:t xml:space="preserve"> </w:t>
      </w:r>
      <w:r>
        <w:t xml:space="preserve">premise verified, certifies nothing structural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 It is equally</w:t>
      </w:r>
      <w:r>
        <w:t xml:space="preserve"> </w:t>
      </w:r>
      <w:r>
        <w:t xml:space="preserve">consistent with genuine incomparability under optimal play (two sources revealing independent</w:t>
      </w:r>
      <w:r>
        <w:t xml:space="preserve"> </w:t>
      </w:r>
      <w:r>
        <w:t xml:space="preserve">coordinates cross even when each side plays optimally) and with a merely incoherent rule</w:t>
      </w:r>
      <w:r>
        <w:t xml:space="preserve"> </w:t>
      </w:r>
      <w:r>
        <w:t xml:space="preserve">(Theorem 3). The two cases should not be run together.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strict comparability</w:t>
      </w:r>
      <w:r>
        <w:t xml:space="preserve"> </w:t>
      </w:r>
      <w:r>
        <w:t xml:space="preserve">whose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preferences nonetheless oppose; the distinct</w:t>
      </w:r>
      <w:r>
        <w:t xml:space="preserve"> </w:t>
      </w:r>
      <w:r>
        <w:t xml:space="preserve">phenomenon of a rule preferring differently between two</w:t>
      </w:r>
      <w:r>
        <w:t xml:space="preserve"> </w:t>
      </w:r>
      <w:r>
        <w:rPr>
          <w:i/>
          <w:iCs/>
        </w:rPr>
        <w:t xml:space="preserve">equivalent</w:t>
      </w:r>
      <w:r>
        <w:t xml:space="preserve"> </w:t>
      </w:r>
      <w:r>
        <w:t xml:space="preserve">experiments is</w:t>
      </w:r>
      <w:r>
        <w:t xml:space="preserve"> </w:t>
      </w:r>
      <w:r>
        <w:t xml:space="preserve">illustrated by the padding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, where the added block carries no</w:t>
      </w:r>
      <w:r>
        <w:t xml:space="preserve"> </w:t>
      </w:r>
      <w:r>
        <w:t xml:space="preserve">coordinate any verifier reads (Remark 2). That a representation-sensitive decoder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do this in general is a structural observation, not something our single measured</w:t>
      </w:r>
      <w:r>
        <w:t xml:space="preserve"> </w:t>
      </w:r>
      <w:r>
        <w:t xml:space="preserve">difference certifies. Nor is the projection construction</w:t>
      </w:r>
      <w:r>
        <w:t xml:space="preserve"> </w:t>
      </w:r>
      <w:r>
        <w:rPr>
          <w:i/>
          <w:iCs/>
        </w:rPr>
        <w:t xml:space="preserve">necessary</w:t>
      </w:r>
      <w:r>
        <w:t xml:space="preserve"> </w:t>
      </w:r>
      <w:r>
        <w:t xml:space="preserve">for</w:t>
      </w:r>
      <w:r>
        <w:t xml:space="preserve"> </w:t>
      </w:r>
      <w:r>
        <w:t xml:space="preserve">incomparability: it is the cleanest sufficient condition we know, and the one our sources</w:t>
      </w:r>
      <w:r>
        <w:t xml:space="preserve"> </w:t>
      </w:r>
      <w:r>
        <w:t xml:space="preserve">realize.</w:t>
      </w:r>
    </w:p>
    <w:bookmarkEnd w:id="40"/>
    <w:p>
      <w:pPr>
        <w:pStyle w:val="BodyText"/>
      </w:pPr>
      <w:r>
        <w:t xml:space="preserve">Intuitively: a fixed-rule crossover proves structural incomparability only when each winning</w:t>
      </w:r>
      <w:r>
        <w:t xml:space="preserve"> </w:t>
      </w:r>
      <w:r>
        <w:t xml:space="preserve">source reveals a coordinate the losing source lacks; otherwise the crossover may</w:t>
      </w:r>
      <w:r>
        <w:t xml:space="preserve"> </w:t>
      </w:r>
      <w:r>
        <w:t xml:space="preserve">witness nothing more than the rule’s own incoherence.</w:t>
      </w:r>
    </w:p>
    <w:bookmarkStart w:id="41" w:name="ass:attain"/>
    <w:p>
      <w:pPr>
        <w:pStyle w:val="BodyText"/>
      </w:pPr>
      <w:r>
        <w:rPr>
          <w:b/>
          <w:bCs/>
        </w:rPr>
        <w:t xml:space="preserve">Assumption 1</w:t>
      </w:r>
      <w:r>
        <w:t xml:space="preserve"> </w:t>
      </w:r>
      <w:r>
        <w:t xml:space="preserve">(Realized cross-advantage on the witnessing task pair).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r>
        <w:rPr>
          <w:i/>
          <w:iCs/>
        </w:rPr>
        <w:t xml:space="preserve">ordered pair of named tasks</w:t>
      </w:r>
      <w:r>
        <w:t xml:space="preserve">. Say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i/>
          <w:iCs/>
        </w:rPr>
        <w:t xml:space="preserve">attains value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margin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γ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γ</m:t>
        </m:r>
      </m:oMath>
      <w:r>
        <w:t xml:space="preserve">; i.e. the fixed model actually exploits each</w:t>
      </w:r>
      <w:r>
        <w:t xml:space="preserve"> </w:t>
      </w:r>
      <w:r>
        <w:t xml:space="preserve">source’s private coordinate on the task that requires it. Despite the historical name we keep for</w:t>
      </w:r>
      <w:r>
        <w:t xml:space="preserve"> </w:t>
      </w:r>
      <w:r>
        <w:t xml:space="preserve">the label, the condition is a statement about</w:t>
      </w:r>
      <w:r>
        <w:t xml:space="preserve"> </w:t>
      </w:r>
      <w:r>
        <w:rPr>
          <w:i/>
          <w:iCs/>
        </w:rPr>
        <w:t xml:space="preserve">realized</w:t>
      </w:r>
      <w:r>
        <w:t xml:space="preserve"> </w:t>
      </w:r>
      <w:r>
        <w:t xml:space="preserve">pass rates only: it asserts nothing</w:t>
      </w:r>
      <w:r>
        <w:t xml:space="preserve"> </w:t>
      </w:r>
      <w:r>
        <w:t xml:space="preserve">about the supremum in (3) being attained, and no design can compel a model to satisfy</w:t>
      </w:r>
      <w:r>
        <w:t xml:space="preserve"> </w:t>
      </w:r>
      <w:r>
        <w:t xml:space="preserve">it. The hypothesis is always asserted of an</w:t>
      </w:r>
      <w:r>
        <w:t xml:space="preserve"> </w:t>
      </w:r>
      <w:r>
        <w:t xml:space="preserve">explicitly named pair: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assert that some such pair exists somewhere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and attainment on one pair implies nothing about attainment on another. If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attains</w:t>
      </w:r>
      <w:r>
        <w:t xml:space="preserve"> </w:t>
      </w:r>
      <w:r>
        <w:t xml:space="preserve">value on a pair with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cr m:val="script"/>
            <m:sty m:val="p"/>
          </m:rPr>
          <m:t>D</m:t>
        </m:r>
      </m:oMath>
      <w:r>
        <w:t xml:space="preserve">, then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-incomparable.</w:t>
      </w:r>
    </w:p>
    <w:bookmarkEnd w:id="41"/>
    <w:p>
      <w:pPr>
        <w:pStyle w:val="BodyText"/>
      </w:pPr>
      <w:r>
        <w:t xml:space="preserve">It is worth fixing what each formal object does, since they are easy to run together.</w:t>
      </w:r>
      <w:r>
        <w:t xml:space="preserve"> </w:t>
      </w:r>
      <w:r>
        <w:t xml:space="preserve">Lemma 1 establishes structural incomparability for the specified projection</w:t>
      </w:r>
      <w:r>
        <w:t xml:space="preserve"> </w:t>
      </w:r>
      <w:r>
        <w:t xml:space="preserve">sources, and needs no prior, no caps and no measurement. Lemma 2 gives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Bayes-value separation criterion for a pair not handed to us that way, and</w:t>
      </w:r>
      <w:r>
        <w:t xml:space="preserve"> </w:t>
      </w:r>
      <w:r>
        <w:t xml:space="preserve">clarifies why a fixed-decoder crossover alone is insufficient; its guessing caps are assumptions,</w:t>
      </w:r>
      <w:r>
        <w:t xml:space="preserve"> </w:t>
      </w:r>
      <w:r>
        <w:t xml:space="preserve">never estimates recovered from the observed state-conditional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rates.</w:t>
      </w:r>
      <w:r>
        <w:t xml:space="preserve"> </w:t>
      </w:r>
      <w:r>
        <w:t xml:space="preserve">Assumption 1 is a different kind of statement again: it concerns the decoder’s</w:t>
      </w:r>
      <w:r>
        <w:t xml:space="preserve"> </w:t>
      </w:r>
      <w:r>
        <w:t xml:space="preserve">realized cross-advantage on named tasks, which the experiments assess directly. Of the two</w:t>
      </w:r>
      <w:r>
        <w:t xml:space="preserve"> </w:t>
      </w:r>
      <w:r>
        <w:t xml:space="preserve">controls, the superset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Blackwell-comparable despite opposing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preferences, while the padding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illustrates the separate matter of</w:t>
      </w:r>
      <w:r>
        <w:t xml:space="preserve"> </w:t>
      </w:r>
      <w:r>
        <w:t xml:space="preserve">representation dependence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an equivalence class.</w:t>
      </w:r>
    </w:p>
    <w:bookmarkEnd w:id="42"/>
    <w:bookmarkEnd w:id="43"/>
    <w:bookmarkStart w:id="53" w:name="sec:incomparability"/>
    <w:p>
      <w:pPr>
        <w:pStyle w:val="Heading1"/>
      </w:pPr>
      <w:r>
        <w:t xml:space="preserve">The incomparability theorem</w:t>
      </w:r>
    </w:p>
    <w:p>
      <w:pPr>
        <w:pStyle w:val="FirstParagraph"/>
      </w:pPr>
      <w:r>
        <w:t xml:space="preserve">§4 showed the order is partial; we now establish the consequence that</w:t>
      </w:r>
      <w:r>
        <w:t xml:space="preserve"> </w:t>
      </w:r>
      <w:r>
        <w:t xml:space="preserve">motivates the whole paper: no scalar can rank a Blackwell-incomparable pair. We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the</w:t>
      </w:r>
      <w:r>
        <w:t xml:space="preserve"> </w:t>
      </w:r>
      <w:r>
        <w:t xml:space="preserve">claim into a clean theorem for query-</w:t>
      </w:r>
      <w:r>
        <w:rPr>
          <w:i/>
          <w:iCs/>
        </w:rPr>
        <w:t xml:space="preserve">independent</w:t>
      </w:r>
      <w:r>
        <w:t xml:space="preserve"> </w:t>
      </w:r>
      <w:r>
        <w:t xml:space="preserve">source 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a separate,</w:t>
      </w:r>
      <w:r>
        <w:t xml:space="preserve"> </w:t>
      </w:r>
      <w:r>
        <w:t xml:space="preserve">explicitly empirical statement for query-</w:t>
      </w:r>
      <w:r>
        <w:rPr>
          <w:i/>
          <w:iCs/>
        </w:rPr>
        <w:t xml:space="preserve">conditioned</w:t>
      </w:r>
      <w:r>
        <w:t xml:space="preserve"> </w:t>
      </w:r>
      <w:r>
        <w:t xml:space="preserve">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(the relevance</w:t>
      </w:r>
      <w:r>
        <w:t xml:space="preserve"> </w:t>
      </w:r>
      <w:r>
        <w:t xml:space="preserve">score practitioners actually use); the two must not be conflated.</w:t>
      </w:r>
    </w:p>
    <w:bookmarkStart w:id="48" w:name="query-independent-scores-the-theorem"/>
    <w:p>
      <w:pPr>
        <w:pStyle w:val="Heading2"/>
      </w:pPr>
      <w:r>
        <w:t xml:space="preserve">Query-independent scores: the theorem</w:t>
      </w:r>
    </w:p>
    <w:bookmarkStart w:id="44" w:name="thm:incomparable"/>
    <w:p>
      <w:pPr>
        <w:pStyle w:val="FirstParagraph"/>
      </w:pPr>
      <w:r>
        <w:rPr>
          <w:b/>
          <w:bCs/>
        </w:rPr>
        <w:t xml:space="preserve">Theorem 2</w:t>
      </w:r>
      <w:r>
        <w:t xml:space="preserve"> </w:t>
      </w:r>
      <w:r>
        <w:t xml:space="preserve">(No query-independent scalar ranks incomparable sources, C1).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finite and 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Blackwell-incomparable. (Finiteness is used only to</w:t>
      </w:r>
      <w:r>
        <w:rPr>
          <w:i/>
          <w:iCs/>
        </w:rPr>
        <w:t xml:space="preserve"> </w:t>
      </w:r>
      <w:r>
        <w:rPr>
          <w:i/>
          <w:iCs/>
        </w:rPr>
        <w:t xml:space="preserve">invoke the converse direction of Theorem 1, which turns incomparability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existence of the witness tasks; it holds for our coordinate construction, and for projection</w:t>
      </w:r>
      <w:r>
        <w:rPr>
          <w:i/>
          <w:iCs/>
        </w:rPr>
        <w:t xml:space="preserve"> </w:t>
      </w:r>
      <w:r>
        <w:rPr>
          <w:i/>
          <w:iCs/>
        </w:rPr>
        <w:t xml:space="preserve">sources the witnesses are exhibited directly in the proof of Lemma 2, so no</w:t>
      </w:r>
      <w:r>
        <w:rPr>
          <w:i/>
          <w:iCs/>
        </w:rPr>
        <w:t xml:space="preserve"> </w:t>
      </w:r>
      <w:r>
        <w:rPr>
          <w:i/>
          <w:iCs/>
        </w:rPr>
        <w:t xml:space="preserve">converse is needed there.) Let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rPr>
            <m:nor/>
            <m:sty m:val="p"/>
          </m:rPr>
          <m:t>sources</m:t>
        </m:r>
        <m:r>
          <m:rPr>
            <m:sty m:val="p"/>
          </m:rPr>
          <m:t>}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any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query-independent</w:t>
      </w:r>
      <w:r>
        <w:rPr>
          <w:i/>
          <w:iCs/>
        </w:rPr>
        <w:t xml:space="preserve"> </w:t>
      </w:r>
      <w:r>
        <w:rPr>
          <w:i/>
          <w:iCs/>
        </w:rPr>
        <w:t xml:space="preserve">scalar score (a single number per source: relevance to a fixed corpus,</w:t>
      </w:r>
      <w:r>
        <w:rPr>
          <w:i/>
          <w:iCs/>
        </w:rPr>
        <w:t xml:space="preserve"> </w:t>
      </w:r>
      <w:r>
        <w:rPr>
          <w:i/>
          <w:iCs/>
        </w:rPr>
        <w:t xml:space="preserve">mutual information</w:t>
      </w:r>
      <w:r>
        <w:rPr>
          <w:i/>
          <w:iCs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)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information, perplexity-gap, expected information gain</w:t>
      </w:r>
      <w:r>
        <w:rPr>
          <w:i/>
          <w:iCs/>
        </w:rPr>
        <w:t xml:space="preserve"> </w:t>
      </w:r>
      <w:r>
        <w:rPr>
          <w:i/>
          <w:iCs/>
        </w:rPr>
        <w:t xml:space="preserve">under a fixed prior). Then there exist tasks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such that the ranking of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induced by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disagrees with the optimal-value ranking on at least one of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. If</w:t>
      </w:r>
      <w:r>
        <w:rPr>
          <w:i/>
          <w:iCs/>
        </w:rPr>
        <w:t xml:space="preserve"> </w:t>
      </w:r>
      <w:r>
        <w:rPr>
          <w:i/>
          <w:iCs/>
        </w:rPr>
        <w:t xml:space="preserve">moreover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attains value 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that same</w:t>
      </w:r>
      <w:r>
        <w:rPr>
          <w:i/>
          <w:iCs/>
        </w:rPr>
        <w:t xml:space="preserve"> </w:t>
      </w:r>
      <w:r>
        <w:rPr>
          <w:i/>
          <w:iCs/>
        </w:rPr>
        <w:t xml:space="preserve">pair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(Assumption 1), the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-induced ranking also disagrees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realized-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ranking on at least one of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. More generally, attainment 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any</w:t>
      </w:r>
      <w:r>
        <w:rPr>
          <w:i/>
          <w:iCs/>
        </w:rPr>
        <w:t xml:space="preserve"> </w:t>
      </w:r>
      <w:r>
        <w:rPr>
          <w:i/>
          <w:iCs/>
        </w:rPr>
        <w:t xml:space="preserve">named pair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Sup>
          <m:e>
            <m:r>
              <m:t>T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,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yields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-disagreement on at least one of</w:t>
      </w:r>
      <w:r>
        <w:rPr>
          <w:i/>
          <w:iCs/>
        </w:rPr>
        <w:t xml:space="preserve"> </w:t>
      </w:r>
      <m:oMath>
        <m:sSubSup>
          <m:e>
            <m:r>
              <m:t>T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,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by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argument; the two conclusions concern their own witness pairs and do not transfer between them.</w:t>
      </w:r>
    </w:p>
    <w:bookmarkEnd w:id="44"/>
    <w:bookmarkStart w:id="45" w:name="rem:c2scope"/>
    <w:p>
      <w:pPr>
        <w:pStyle w:val="BodyText"/>
      </w:pPr>
      <w:r>
        <w:rPr>
          <w:i/>
          <w:iCs/>
        </w:rPr>
        <w:t xml:space="preserve">Remark 4</w:t>
      </w:r>
      <w:r>
        <w:t xml:space="preserve"> </w:t>
      </w:r>
      <w:r>
        <w:t xml:space="preserve">(Scope).</w:t>
      </w:r>
      <w:r>
        <w:t xml:space="preserve"> </w:t>
      </w:r>
      <w:r>
        <w:t xml:space="preserve"> </w:t>
      </w:r>
      <w:r>
        <w:t xml:space="preserve">Theorem 2 rules out exactly the class of</w:t>
      </w:r>
      <w:r>
        <w:t xml:space="preserve"> </w:t>
      </w:r>
      <w:r>
        <w:rPr>
          <w:i/>
          <w:iCs/>
        </w:rPr>
        <w:t xml:space="preserve">source-level</w:t>
      </w:r>
      <w:r>
        <w:t xml:space="preserve"> </w:t>
      </w:r>
      <w:r>
        <w:t xml:space="preserve">scalars: any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that is a fixed number per source, regardless of task.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mutual</w:t>
      </w:r>
      <w:r>
        <w:t xml:space="preserve"> </w:t>
      </w:r>
      <w:r>
        <w:t xml:space="preserve">information, perplexity-gap, and (fixed-prior) EIG all live in this class, so they are corollary</w:t>
      </w:r>
      <w:r>
        <w:t xml:space="preserve"> </w:t>
      </w:r>
      <w:r>
        <w:t xml:space="preserve">victims of the theorem, not competitors (Proposition 1).</w:t>
      </w:r>
    </w:p>
    <w:bookmarkEnd w:id="45"/>
    <w:bookmarkStart w:id="46" w:name="prop:vinfo-monotone"/>
    <w:p>
      <w:pPr>
        <w:pStyle w:val="BodyText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</w:t>
      </w:r>
      <m:oMath>
        <m:r>
          <m:rPr>
            <m:scr m:val="script"/>
            <m:sty m:val="p"/>
          </m:rPr>
          <m:t>V</m:t>
        </m:r>
      </m:oMath>
      <w:r>
        <w:t xml:space="preserve">-usable information is Blackwell-monotone).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r>
          <m:t>W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defined, after</w:t>
      </w:r>
      <w:r>
        <w:rPr>
          <w:i/>
          <w:iCs/>
        </w:rPr>
        <w:t xml:space="preserve"> </w:t>
      </w:r>
      <w:r>
        <w:rPr>
          <w:i/>
          <w:iCs/>
        </w:rPr>
        <w:t xml:space="preserve">Ethayarajh et al. (2022)</w:t>
      </w:r>
      <w:r>
        <w:rPr>
          <w:i/>
          <w:iCs/>
        </w:rPr>
        <w:t xml:space="preserve">, as the reduction in expected predictive risk of the best predictor</w:t>
      </w:r>
      <w:r>
        <w:rPr>
          <w:i/>
          <w:iCs/>
        </w:rPr>
        <w:t xml:space="preserve"> </w:t>
      </w:r>
      <w:r>
        <w:rPr>
          <w:i/>
          <w:iCs/>
        </w:rPr>
        <w:t xml:space="preserve">in a fixed family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 given the signal</w:t>
      </w:r>
      <w:r>
        <w:rPr>
          <w:i/>
          <w:iCs/>
        </w:rPr>
        <w:t xml:space="preserve"> </w:t>
      </w:r>
      <m:oMath>
        <m:r>
          <m:t>w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versus the null signal. If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 the predictor family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closed under pre-composition with measurable garblings, then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a Blackwell-monotone</w:t>
      </w:r>
      <w:r>
        <w:rPr>
          <w:i/>
          <w:iCs/>
        </w:rPr>
        <w:t xml:space="preserve"> </w:t>
      </w:r>
      <w:r>
        <w:rPr>
          <w:i/>
          <w:iCs/>
        </w:rPr>
        <w:t xml:space="preserve">scalar: it respects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but collapses it to one real number.</w:t>
      </w:r>
    </w:p>
    <w:bookmarkEnd w:id="46"/>
    <w:bookmarkStart w:id="47" w:name="rem:vinfo-scope"/>
    <w:p>
      <w:pPr>
        <w:pStyle w:val="BodyText"/>
      </w:pPr>
      <w:r>
        <w:rPr>
          <w:i/>
          <w:iCs/>
        </w:rPr>
        <w:t xml:space="preserve">Remark 5</w:t>
      </w:r>
      <w:r>
        <w:t xml:space="preserve"> </w:t>
      </w:r>
      <w:r>
        <w:t xml:space="preserve">(Scope of Proposition 1).</w:t>
      </w:r>
      <w:r>
        <w:t xml:space="preserve"> </w:t>
      </w:r>
      <w:r>
        <w:t xml:space="preserve"> </w:t>
      </w:r>
      <w:r>
        <w:t xml:space="preserve">The closure hypothesis (a family closed under pre-composition with garblings) is the natural</w:t>
      </w:r>
      <w:r>
        <w:t xml:space="preserve"> </w:t>
      </w:r>
      <w:r>
        <w:t xml:space="preserve">sufficient condition and holds for predictor families rich enough to apply a fixed measurable</w:t>
      </w:r>
      <w:r>
        <w:t xml:space="preserve"> </w:t>
      </w:r>
      <w:r>
        <w:t xml:space="preserve">post-processing; for narrower families monotonicity may fail and we do not claim it. We prove</w:t>
      </w:r>
      <w:r>
        <w:t xml:space="preserve"> </w:t>
      </w:r>
      <w:r>
        <w:t xml:space="preserve">monotonicity for the closest neighbour,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information. For mutual information and</w:t>
      </w:r>
      <w:r>
        <w:t xml:space="preserve"> </w:t>
      </w:r>
      <w:r>
        <w:t xml:space="preserve">fixed-prior EIG the analogue is not a conjecture but immediate from data processing, the direction</w:t>
      </w:r>
      <w:r>
        <w:t xml:space="preserve"> </w:t>
      </w:r>
      <w:r>
        <w:t xml:space="preserve">Zheng et al. (2024)</w:t>
      </w:r>
      <w:r>
        <w:t xml:space="preserve"> </w:t>
      </w:r>
      <w:r>
        <w:t xml:space="preserve">use (§2). A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decoder’s perplexity-gap is the</w:t>
      </w:r>
      <w:r>
        <w:t xml:space="preserve"> </w:t>
      </w:r>
      <w:r>
        <w:t xml:space="preserve">singleton-family case the previous sentence excludes, so we claim nothing for it.</w:t>
      </w:r>
      <w:r>
        <w:t xml:space="preserve"> </w:t>
      </w:r>
      <w:r>
        <w:t xml:space="preserve">Theorem 2 excludes all of them as per-source scalars regardless, which is the</w:t>
      </w:r>
      <w:r>
        <w:t xml:space="preserve"> </w:t>
      </w:r>
      <w:r>
        <w:t xml:space="preserve">only property this paper needs.</w:t>
      </w:r>
    </w:p>
    <w:bookmarkEnd w:id="47"/>
    <w:bookmarkEnd w:id="48"/>
    <w:bookmarkStart w:id="52" w:name="subsec:trap"/>
    <w:p>
      <w:pPr>
        <w:pStyle w:val="Heading2"/>
      </w:pPr>
      <w:r>
        <w:t xml:space="preserve">Query-conditioned scores: the relevance trap (empirical)</w:t>
      </w:r>
    </w:p>
    <w:p>
      <w:pPr>
        <w:pStyle w:val="FirstParagraph"/>
      </w:pPr>
      <w:r>
        <w:t xml:space="preserve">A query-conditioned 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e.g. the lexical or embedding relevance of a source to</w:t>
      </w:r>
      <w:r>
        <w:t xml:space="preserve"> </w:t>
      </w:r>
      <w:r>
        <w:t xml:space="preserve">the task prompt, which is what retrieval and RAG actually deploy, induces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order</w:t>
      </w:r>
      <w:r>
        <w:t xml:space="preserve"> </w:t>
      </w:r>
      <w:r>
        <w:t xml:space="preserve">per task and is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single fixed total order. Theorem 2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 it. We make two precise statements instead.</w:t>
      </w:r>
    </w:p>
    <w:bookmarkStart w:id="49" w:name="prop:trap-constrained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(Constrained impossibility for feature-measurable scores).</w:t>
      </w:r>
      <w:r>
        <w:t xml:space="preserve"> </w:t>
      </w:r>
      <w:r>
        <w:t xml:space="preserve"> </w:t>
      </w:r>
      <w:r>
        <w:rPr>
          <w:i/>
          <w:iCs/>
        </w:rPr>
        <w:t xml:space="preserve">Suppose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a fixed feature map</w:t>
      </w:r>
      <w:r>
        <w:rPr>
          <w:i/>
          <w:iCs/>
        </w:rPr>
        <w:t xml:space="preserve"> </w:t>
      </w:r>
      <m:oMath>
        <m:r>
          <m:t>ψ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that 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topical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m:oMath>
        <m:r>
          <m:t>ψ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invariant to the verifier-decisive coordinate of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. Let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a task whose decisive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 is supplied by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, so realized utility ranks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≻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. Parts</w:t>
      </w:r>
      <w:r>
        <w:rPr>
          <w:i/>
          <w:iCs/>
        </w:rPr>
        <w:t xml:space="preserve"> </w:t>
      </w:r>
      <w:r>
        <w:rPr>
          <w:i/>
          <w:iCs/>
        </w:rPr>
        <w:t xml:space="preserve">(a)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(b)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alternatives</w:t>
      </w:r>
      <w:r>
        <w:rPr>
          <w:i/>
          <w:iCs/>
        </w:rPr>
        <w:t xml:space="preserve">, not a chain: their hypotheses are mutually</w:t>
      </w:r>
      <w:r>
        <w:rPr>
          <w:i/>
          <w:iCs/>
        </w:rPr>
        <w:t xml:space="preserve"> </w:t>
      </w:r>
      <w:r>
        <w:rPr>
          <w:i/>
          <w:iCs/>
        </w:rPr>
        <w:t xml:space="preserve">exclusive. They are not exhaustive of the topical class, and the conclusion below is stated only</w:t>
      </w:r>
      <w:r>
        <w:rPr>
          <w:i/>
          <w:iCs/>
        </w:rPr>
        <w:t xml:space="preserve"> </w:t>
      </w:r>
      <w:r>
        <w:rPr>
          <w:i/>
          <w:iCs/>
        </w:rPr>
        <w:t xml:space="preserve">for scores meeting one of them.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(a) (Tie.)</w:t>
      </w:r>
      <w:r>
        <w:rPr>
          <w:i/>
          <w:iCs/>
        </w:rPr>
        <w:t xml:space="preserve"> </w:t>
      </w:r>
      <w:r>
        <w:rPr>
          <w:i/>
          <w:iCs/>
        </w:rPr>
        <w:t xml:space="preserve">If</w:t>
      </w:r>
      <w:r>
        <w:rPr>
          <w:i/>
          <w:iCs/>
        </w:rP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then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, so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cannot rank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strictly above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(b) (Strict inversion.)</w:t>
      </w:r>
      <w:r>
        <w:rPr>
          <w:i/>
          <w:iCs/>
        </w:rPr>
        <w:t xml:space="preserve"> </w:t>
      </w:r>
      <w:r>
        <w:rPr>
          <w:i/>
          <w:iCs/>
        </w:rPr>
        <w:t xml:space="preserve">Suppose instead that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reads the pair through the scalar lexical-overlap feature</w:t>
      </w:r>
      <w:r>
        <w:rPr>
          <w:i/>
          <w:iCs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alone, with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strictly</w:t>
      </w:r>
      <w:r>
        <w:rPr>
          <w:i/>
          <w:iCs/>
        </w:rPr>
        <w:t xml:space="preserve"> </w:t>
      </w:r>
      <w:r>
        <w:rPr>
          <w:i/>
          <w:iCs/>
        </w:rPr>
        <w:t xml:space="preserve">increasing, and that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’s lexicon is saturated with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’s vocabulary in the precise sense</w:t>
      </w:r>
      <w:r>
        <w:rPr>
          <w:i/>
          <w:iCs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. Then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, a strict</w:t>
      </w:r>
      <w:r>
        <w:rPr>
          <w:i/>
          <w:iCs/>
        </w:rPr>
        <w:t xml:space="preserve"> </w:t>
      </w:r>
      <w:r>
        <w:rPr>
          <w:i/>
          <w:iCs/>
        </w:rPr>
        <w:t xml:space="preserve">mis-rank. In either case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fails to rank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by realized utility on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: no</w:t>
      </w:r>
      <w:r>
        <w:rPr>
          <w:i/>
          <w:iCs/>
        </w:rPr>
        <w:t xml:space="preserve"> </w:t>
      </w:r>
      <w:r>
        <w:rPr>
          <w:i/>
          <w:iCs/>
        </w:rPr>
        <w:t xml:space="preserve">topical score satisfying</w:t>
      </w:r>
      <w:r>
        <w:rPr>
          <w:i/>
          <w:iCs/>
        </w:rPr>
        <w:t xml:space="preserve"> </w:t>
      </w:r>
      <w:r>
        <w:rPr>
          <w:i/>
          <w:iCs/>
        </w:rPr>
        <w:t xml:space="preserve">(a)</w:t>
      </w:r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r>
        <w:rPr>
          <w:i/>
          <w:iCs/>
        </w:rPr>
        <w:t xml:space="preserve">(b)</w:t>
      </w:r>
      <w:r>
        <w:rPr>
          <w:i/>
          <w:iCs/>
        </w:rPr>
        <w:t xml:space="preserve"> </w:t>
      </w:r>
      <w:r>
        <w:rPr>
          <w:i/>
          <w:iCs/>
        </w:rPr>
        <w:t xml:space="preserve">ranks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correctly on all tasks.</w:t>
      </w:r>
    </w:p>
    <w:bookmarkEnd w:id="49"/>
    <w:bookmarkStart w:id="50" w:name="rem:trapscope"/>
    <w:p>
      <w:pPr>
        <w:pStyle w:val="BodyText"/>
      </w:pPr>
      <w:r>
        <w:rPr>
          <w:i/>
          <w:iCs/>
        </w:rPr>
        <w:t xml:space="preserve">Remark 6</w:t>
      </w:r>
      <w:r>
        <w:t xml:space="preserve"> </w:t>
      </w:r>
      <w:r>
        <w:t xml:space="preserve">(What Proposition 2 does not exclude).</w:t>
      </w:r>
      <w:r>
        <w:t xml:space="preserve"> </w:t>
      </w:r>
      <w:r>
        <w:t xml:space="preserve"> </w:t>
      </w:r>
      <w:r>
        <w:t xml:space="preserve">Invariance to the decisive coordinate’s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is a weak hypothesis, and hypotheses</w:t>
      </w:r>
      <w:r>
        <w:t xml:space="preserve"> </w:t>
      </w:r>
      <w:r>
        <w:t xml:space="preserve">(a)</w:t>
      </w:r>
      <w:r>
        <w:t xml:space="preserve"> </w:t>
      </w:r>
      <w:r>
        <w:t xml:space="preserve">and</w:t>
      </w:r>
      <w:r>
        <w:t xml:space="preserve"> </w:t>
      </w:r>
      <w:r>
        <w:t xml:space="preserve">(b)</w:t>
      </w:r>
      <w:r>
        <w:t xml:space="preserve"> </w:t>
      </w:r>
      <w:r>
        <w:t xml:space="preserve">do not cover every score satisfying it. A rule reading public</w:t>
      </w:r>
      <w:r>
        <w:t xml:space="preserve"> </w:t>
      </w:r>
      <w:r>
        <w:t xml:space="preserve">metadata can escape while never touching a private value.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independent,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i</m:t>
            </m:r>
          </m:sub>
        </m:sSub>
      </m:oMath>
      <w:r>
        <w:t xml:space="preserve"> </w:t>
      </w:r>
      <w:r>
        <w:t xml:space="preserve">carry the public label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and reveal</w:t>
      </w:r>
      <w:r>
        <w:t xml:space="preserve"> </w:t>
      </w:r>
      <m:oMath>
        <m:r>
          <m:t>X</m:t>
        </m:r>
      </m:oMath>
      <w:r>
        <w:t xml:space="preserve">, let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carry the public label</w:t>
      </w:r>
      <w:r>
        <w:t xml:space="preserve"> </w:t>
      </w:r>
      <w:r>
        <w:rPr>
          <w:rStyle w:val="VerbatimChar"/>
        </w:rPr>
        <w:t xml:space="preserve">wire</w:t>
      </w:r>
      <w:r>
        <w:t xml:space="preserve"> </w:t>
      </w:r>
      <w:r>
        <w:t xml:space="preserve">and reveal</w:t>
      </w:r>
      <w:r>
        <w:t xml:space="preserve"> </w:t>
      </w:r>
      <m:oMath>
        <m:r>
          <m:t>Y</m:t>
        </m:r>
      </m:oMath>
      <w:r>
        <w:t xml:space="preserve">, and let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need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r>
          <m:t> </m:t>
        </m:r>
        <m:r>
          <m:rPr>
            <m:nor/>
            <m:sty m:val="p"/>
          </m:rPr>
          <m:t>label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family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]</m:t>
        </m:r>
      </m:oMath>
      <w:r>
        <w:t xml:space="preserve"> </w:t>
      </w:r>
      <w:r>
        <w:t xml:space="preserve">then ranks correctly on both tasks in every state, and it satisfies neither</w:t>
      </w:r>
      <w:r>
        <w:t xml:space="preserve"> </w:t>
      </w:r>
      <w:r>
        <w:t xml:space="preserve">(a)</w:t>
      </w:r>
      <w:r>
        <w:t xml:space="preserve"> </w:t>
      </w:r>
      <w:r>
        <w:t xml:space="preserve">(the labels differ, so no tie) nor</w:t>
      </w:r>
      <w:r>
        <w:t xml:space="preserve"> </w:t>
      </w:r>
      <w:r>
        <w:t xml:space="preserve">(b)</w:t>
      </w:r>
      <w:r>
        <w:t xml:space="preserve"> </w:t>
      </w:r>
      <w:r>
        <w:t xml:space="preserve">(it is not an increasing function of</w:t>
      </w:r>
      <w:r>
        <w:t xml:space="preserve"> </w:t>
      </w:r>
      <w:r>
        <w:t xml:space="preserve">lexical overlap). So the proposition constrains the two named mechanisms, not the whole</w:t>
      </w:r>
      <w:r>
        <w:t xml:space="preserve"> </w:t>
      </w:r>
      <w:r>
        <w:t xml:space="preserve">query-conditioned class, and in particular it says nothing against routers built on public task</w:t>
      </w:r>
      <w:r>
        <w:t xml:space="preserve"> </w:t>
      </w:r>
      <w:r>
        <w:t xml:space="preserve">metadata. Theorem 2, which concerns one fixed number per source for all</w:t>
      </w:r>
      <w:r>
        <w:t xml:space="preserve"> </w:t>
      </w:r>
      <w:r>
        <w:t xml:space="preserve">tasks, is unaffected: a router of this kind is not a per-source scalar. What the trap shows</w:t>
      </w:r>
      <w:r>
        <w:t xml:space="preserve"> </w:t>
      </w:r>
      <w:r>
        <w:t xml:space="preserve">empirically is that the scorers deployed in practice, which read text rather than labels, do fall</w:t>
      </w:r>
      <w:r>
        <w:t xml:space="preserve"> </w:t>
      </w:r>
      <w:r>
        <w:t xml:space="preserve">into the constrained class on it (§7.4.2).</w:t>
      </w:r>
    </w:p>
    <w:bookmarkEnd w:id="50"/>
    <w:bookmarkStart w:id="51" w:name="rem:overlaponly"/>
    <w:p>
      <w:pPr>
        <w:pStyle w:val="BodyText"/>
      </w:pPr>
      <w:r>
        <w:rPr>
          <w:i/>
          <w:iCs/>
        </w:rPr>
        <w:t xml:space="preserve">Remark 7</w:t>
      </w:r>
      <w:r>
        <w:t xml:space="preserve"> </w:t>
      </w:r>
      <w:r>
        <w:t xml:space="preserve">(Why</w:t>
      </w:r>
      <w:r>
        <w:t xml:space="preserve"> </w:t>
      </w:r>
      <w:r>
        <w:t xml:space="preserve">(b)</w:t>
      </w:r>
      <w:r>
        <w:t xml:space="preserve"> </w:t>
      </w:r>
      <w:r>
        <w:t xml:space="preserve">is stated for a scalar overlap score).</w:t>
      </w:r>
      <w:r>
        <w:t xml:space="preserve"> </w:t>
      </w:r>
      <w:r>
        <w:t xml:space="preserve"> </w:t>
      </w:r>
      <w:r>
        <w:t xml:space="preserve">Strict monotonicity in one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of a multi-feature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does not give (b). Take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y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+</m:t>
        </m:r>
        <m:r>
          <m:t>10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y</m:t>
        </m:r>
        <m:r>
          <m:rPr>
            <m:sty m:val="p"/>
          </m:rPr>
          <m:t>l</m:t>
        </m:r>
        <m:r>
          <m:rPr>
            <m:sty m:val="p"/>
          </m:rPr>
          <m:t>e</m:t>
        </m:r>
      </m:oMath>
      <w:r>
        <w:t xml:space="preserve">, which is strictly</w:t>
      </w:r>
      <w:r>
        <w:t xml:space="preserve"> </w:t>
      </w:r>
      <w:r>
        <w:t xml:space="preserve">increasing in overlap. With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the scores are</w:t>
      </w:r>
      <w:r>
        <w:t xml:space="preserve"> </w:t>
      </w:r>
      <m:oMath>
        <m:r>
          <m:t>10.2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</m:t>
        </m:r>
      </m:oMath>
      <w:r>
        <w:t xml:space="preserve">: overlap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while the score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Comparing two inputs that</w:t>
      </w:r>
      <w:r>
        <w:t xml:space="preserve"> </w:t>
      </w:r>
      <w:r>
        <w:t xml:space="preserve">differ in other features therefore needs the whole map, which is why (b) assumes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overlap alone. The lexical cosine of §7 satisfies that assumption by</w:t>
      </w:r>
      <w:r>
        <w:t xml:space="preserve"> </w:t>
      </w:r>
      <w:r>
        <w:t xml:space="preserve">construction; a learned reranker need not, which is why its behaviour is settled empirically</w:t>
      </w:r>
      <w:r>
        <w:t xml:space="preserve"> </w:t>
      </w:r>
      <w:r>
        <w:t xml:space="preserve">rather than by this proposition.</w:t>
      </w:r>
    </w:p>
    <w:bookmarkEnd w:id="51"/>
    <w:p>
      <w:pPr>
        <w:pStyle w:val="BodyText"/>
      </w:pPr>
      <w:r>
        <w:t xml:space="preserve">Proposition 2 is deliberately narrow. It constrains a query-conditioned</w:t>
      </w:r>
      <w:r>
        <w:t xml:space="preserve"> </w:t>
      </w:r>
      <w:r>
        <w:t xml:space="preserve">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 that score meets hypothesis</w:t>
      </w:r>
      <w:r>
        <w:t xml:space="preserve"> </w:t>
      </w:r>
      <w:r>
        <w:t xml:space="preserve">(a)</w:t>
      </w:r>
      <w:r>
        <w:t xml:space="preserve"> </w:t>
      </w:r>
      <w:r>
        <w:t xml:space="preserve">or</w:t>
      </w:r>
      <w:r>
        <w:t xml:space="preserve"> </w:t>
      </w:r>
      <w:r>
        <w:t xml:space="preserve">(b)</w:t>
      </w:r>
      <w:r>
        <w:t xml:space="preserve">; it does</w:t>
      </w:r>
      <w:r>
        <w:t xml:space="preserve"> </w:t>
      </w:r>
      <w:r>
        <w:t xml:space="preserve">not cover the topical class as a whole, and it says nothing about an arbitrary learned reranker,</w:t>
      </w:r>
      <w:r>
        <w:t xml:space="preserve"> </w:t>
      </w:r>
      <w:r>
        <w:t xml:space="preserve">which might read the private coordinate, or about a router over public task metadata</w:t>
      </w:r>
      <w:r>
        <w:t xml:space="preserve"> </w:t>
      </w:r>
      <w:r>
        <w:t xml:space="preserve">(Remark 6). Note also that it is a statement about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a score that</w:t>
      </w:r>
      <w:r>
        <w:t xml:space="preserve"> </w:t>
      </w:r>
      <w:r>
        <w:t xml:space="preserve">may vary with the task; Theorem 2 is the separate statement about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 one number per source fixed across all tasks. We therefore treat the defeat of</w:t>
      </w:r>
      <w:r>
        <w:t xml:space="preserve"> </w:t>
      </w:r>
      <w:r>
        <w:t xml:space="preserve">query-conditioned relevance as an</w:t>
      </w:r>
      <w:r>
        <w:t xml:space="preserve"> </w:t>
      </w:r>
      <w:r>
        <w:rPr>
          <w:i/>
          <w:iCs/>
        </w:rPr>
        <w:t xml:space="preserve">empirical</w:t>
      </w:r>
      <w:r>
        <w:t xml:space="preserve"> </w:t>
      </w:r>
      <w:r>
        <w:t xml:space="preserve">result, demonstrated for the concrete</w:t>
      </w:r>
      <w:r>
        <w:t xml:space="preserve"> </w:t>
      </w:r>
      <w:r>
        <w:t xml:space="preserve">lexical-cosine score practitioners use and for the checkpoints of</w:t>
      </w:r>
      <w:r>
        <w:t xml:space="preserve"> </w:t>
      </w:r>
      <w:r>
        <w:t xml:space="preserve">§7.4.2. In §7 the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task realizes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: bag-of-words cosine gives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&lt;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0.44</m:t>
        </m:r>
      </m:oMath>
      <w:r>
        <w:t xml:space="preserve"> </w:t>
      </w:r>
      <w:r>
        <w:t xml:space="preserve">(ranking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≻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yet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–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versus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 every one of the six models. The same mis-rank is realized by representative open-weight learned rankers: two dense bi-encoders (BGE, E5) and a cross-encoder reranker all prefer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</w:t>
      </w:r>
      <w:r>
        <w:t xml:space="preserve"> </w:t>
      </w:r>
      <w:r>
        <w:t xml:space="preserve">(§7.4.2, Table 3), so the topical class is not a lexical strawman: its failure mode is shared by the ranker</w:t>
      </w:r>
      <w:r>
        <w:t xml:space="preserve"> </w:t>
      </w:r>
      <w:r>
        <w:t xml:space="preserve">families retrieval systems actually deploy. The same failure is documented in the wild:</w:t>
      </w:r>
      <w:r>
        <w:t xml:space="preserve"> </w:t>
      </w:r>
      <w:r>
        <w:t xml:space="preserve">language-model re-rankers are steered by lexical similarity across NQ, LitQA2, and</w:t>
      </w:r>
      <w:r>
        <w:t xml:space="preserve"> </w:t>
      </w:r>
      <w:r>
        <w:t xml:space="preserve">DRUID </w:t>
      </w:r>
      <w:r>
        <w:t xml:space="preserve">(Hagström, Nie, et al. 2025)</w:t>
      </w:r>
      <w:r>
        <w:t xml:space="preserve">, the last of these a corpus of real retrieved contexts</w:t>
      </w:r>
      <w:r>
        <w:t xml:space="preserve"> </w:t>
      </w:r>
      <w:r>
        <w:t xml:space="preserve">built precisely to check whether synthetic benchmarks overstate context</w:t>
      </w:r>
      <w:r>
        <w:t xml:space="preserve"> </w:t>
      </w:r>
      <w:r>
        <w:t xml:space="preserve">utilisation </w:t>
      </w:r>
      <w:r>
        <w:t xml:space="preserve">(Hagström, Marjanović, et al. 2025)</w:t>
      </w:r>
      <w:r>
        <w:t xml:space="preserve">; and passages that are semantically close but logically</w:t>
      </w:r>
      <w:r>
        <w:t xml:space="preserve"> </w:t>
      </w:r>
      <w:r>
        <w:t xml:space="preserve">irrelevant defeat retrievers and rerankers at scale, with an evidence-reasoning agent, a listwise</w:t>
      </w:r>
      <w:r>
        <w:t xml:space="preserve"> </w:t>
      </w:r>
      <w:r>
        <w:t xml:space="preserve">reader, as the remedy </w:t>
      </w:r>
      <w:r>
        <w:t xml:space="preserve">(Chen et al. 2026)</w:t>
      </w:r>
      <w:r>
        <w:t xml:space="preserve">, which is the boundary</w:t>
      </w:r>
      <w:r>
        <w:t xml:space="preserve"> </w:t>
      </w:r>
      <w:r>
        <w:t xml:space="preserve">Proposition 2 draws. We also measure the</w:t>
      </w:r>
      <w:r>
        <w:t xml:space="preserve"> </w:t>
      </w:r>
      <w:r>
        <w:t xml:space="preserve">boundary from the other side: an LLM</w:t>
      </w:r>
      <w:r>
        <w:t xml:space="preserve"> </w:t>
      </w:r>
      <w:r>
        <w:rPr>
          <w:i/>
          <w:iCs/>
        </w:rPr>
        <w:t xml:space="preserve">listwise</w:t>
      </w:r>
      <w:r>
        <w:t xml:space="preserve"> </w:t>
      </w:r>
      <w:r>
        <w:t xml:space="preserve">reranker, which reads both documents and can</w:t>
      </w:r>
      <w:r>
        <w:t xml:space="preserve"> </w:t>
      </w:r>
      <w:r>
        <w:t xml:space="preserve">therefore condition on the private coordinate itself, ranks the trap correctly (</w:t>
      </w:r>
      <m:oMath>
        <m:r>
          <m:t>30</m:t>
        </m:r>
        <m:r>
          <m:rPr>
            <m:sty m:val="p"/>
          </m:rPr>
          <m:t>/</m:t>
        </m:r>
        <m:r>
          <m:t>30</m:t>
        </m:r>
      </m:oMath>
      <w:r>
        <w:t xml:space="preserve">). This is</w:t>
      </w:r>
      <w:r>
        <w:t xml:space="preserve"> </w:t>
      </w:r>
      <w:r>
        <w:t xml:space="preserve">the behaviour Proposition 2 permits rather than predicts: its hypothesis</w:t>
      </w:r>
      <w:r>
        <w:t xml:space="preserve"> </w:t>
      </w:r>
      <w:r>
        <w:t xml:space="preserve">is topicality (invariance to the verifier-decisive coordinate), and a ranker that reads the</w:t>
      </w:r>
      <w:r>
        <w:t xml:space="preserve"> </w:t>
      </w:r>
      <w:r>
        <w:t xml:space="preserve">coordinate is simply outside the constrained class, so the proposition allows it to succeed</w:t>
      </w:r>
      <w:r>
        <w:t xml:space="preserve"> </w:t>
      </w:r>
      <w:r>
        <w:t xml:space="preserve">without implying that it must.</w:t>
      </w:r>
    </w:p>
    <w:bookmarkEnd w:id="52"/>
    <w:bookmarkEnd w:id="53"/>
    <w:bookmarkStart w:id="65" w:name="sec:estimator"/>
    <w:p>
      <w:pPr>
        <w:pStyle w:val="Heading1"/>
      </w:pPr>
      <w:r>
        <w:t xml:space="preserve">The decision-restricted deficiency surrogate and its uniform verification</w:t>
      </w:r>
    </w:p>
    <w:p>
      <w:pPr>
        <w:pStyle w:val="FirstParagraph"/>
      </w:pPr>
      <w:r>
        <w:t xml:space="preserve">The impossibility of §5 concerns the idealized user of a source; every</w:t>
      </w:r>
      <w:r>
        <w:t xml:space="preserve"> </w:t>
      </w:r>
      <w:r>
        <w:t xml:space="preserve">quantity we report, by contrast, comes from a single fixed model. This section builds the</w:t>
      </w:r>
      <w:r>
        <w:t xml:space="preserve"> </w:t>
      </w:r>
      <w:r>
        <w:t xml:space="preserve">instrument that connects the two: a surrogate that measures the order on the fixed rule, and a</w:t>
      </w:r>
      <w:r>
        <w:t xml:space="preserve"> </w:t>
      </w:r>
      <w:r>
        <w:t xml:space="preserve">distribution-free verification that makes each comparison auditable on a live model.</w:t>
      </w:r>
    </w:p>
    <w:bookmarkStart w:id="55" w:name="subsec:estimator-name"/>
    <w:p>
      <w:pPr>
        <w:pStyle w:val="Heading2"/>
      </w:pPr>
      <w:r>
        <w:t xml:space="preserve">The surrogate and its correct name</w:t>
      </w:r>
    </w:p>
    <w:p>
      <w:pPr>
        <w:pStyle w:val="FirstParagraph"/>
      </w:pPr>
      <w:r>
        <w:t xml:space="preserve">Exact garblings over text cannot be computed, and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only partial, so instead we measure the</w:t>
      </w:r>
      <w:r>
        <w:t xml:space="preserve"> </w:t>
      </w:r>
      <w:r>
        <w:t xml:space="preserve">fixed-rule order of Definition 5. Fix 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finite task</w:t>
      </w:r>
      <w:r>
        <w:t xml:space="preserve"> </w:t>
      </w:r>
      <w:r>
        <w:t xml:space="preserve">set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 and define the</w:t>
      </w:r>
      <w:r>
        <w:t xml:space="preserve"> </w:t>
      </w:r>
      <w:r>
        <w:rPr>
          <w:i/>
          <w:iCs/>
        </w:rPr>
        <w:t xml:space="preserve">decision-restricted value-deficiency</w:t>
      </w:r>
      <w:r>
        <w:t xml:space="preserve">, the worst amount by which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trails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across the tasks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</m:e>
            <m:sub>
              <m:r>
                <m:rPr>
                  <m:scr m:val="script"/>
                  <m:sty m:val="p"/>
                </m:rPr>
                <m:t>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limLow>
                <m:e>
                  <m:r>
                    <m:rPr>
                      <m:sty m:val="p"/>
                    </m:rPr>
                    <m:t>sup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D</m:t>
                  </m:r>
                </m:lim>
              </m:limLow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estimated per cell by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completions.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verifies empirical dominance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and mutual</w:t>
      </w:r>
      <w:r>
        <w:t xml:space="preserve"> </w:t>
      </w:r>
      <w:r>
        <w:t xml:space="preserve">positivity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verifies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-incomparability.</w:t>
      </w:r>
    </w:p>
    <w:bookmarkStart w:id="54" w:name="rem:notlecam"/>
    <w:p>
      <w:pPr>
        <w:pStyle w:val="BodyText"/>
      </w:pPr>
      <w:r>
        <w:rPr>
          <w:i/>
          <w:iCs/>
        </w:rPr>
        <w:t xml:space="preserve">Remark 8</w:t>
      </w:r>
      <w:r>
        <w:t xml:space="preserve"> </w:t>
      </w:r>
      <w:r>
        <w:t xml:space="preserve">(This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Le Cam deficiency).</w:t>
      </w:r>
      <w:r>
        <w:t xml:space="preserve"> </w:t>
      </w:r>
      <w:r>
        <w:t xml:space="preserve"> </w:t>
      </w:r>
      <w:r>
        <w:t xml:space="preserve">The Le Cam deficiency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cr m:val="script"/>
            <m:sty m:val="p"/>
          </m:rPr>
          <m:t>E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inf</m:t>
            </m:r>
          </m:e>
          <m:sub>
            <m:r>
              <m:t>G</m:t>
            </m:r>
          </m:sub>
        </m:sSub>
        <m:r>
          <m:t> </m:t>
        </m:r>
        <m:sSub>
          <m:e>
            <m:r>
              <m:rPr>
                <m:sty m:val="p"/>
              </m:rPr>
              <m:t>sup</m:t>
            </m:r>
          </m:e>
          <m:sub>
            <m:r>
              <m:rPr>
                <m:nor/>
                <m:sty m:val="p"/>
              </m:rPr>
              <m:t>loss</m:t>
            </m:r>
          </m:sub>
        </m:sSub>
        <m:d>
          <m:dPr>
            <m:begChr m:val="["/>
            <m:sepChr m:val=""/>
            <m:endChr m:val="]"/>
            <m:grow/>
          </m:dPr>
          <m:e>
            <m:sSub>
              <m:e>
                <m:r>
                  <m:t>R</m:t>
                </m:r>
              </m:e>
              <m:sub>
                <m:r>
                  <m:t>G</m:t>
                </m:r>
                <m:r>
                  <m:rPr>
                    <m:sty m:val="p"/>
                  </m:rPr>
                  <m:t>∘</m:t>
                </m:r>
                <m:r>
                  <m:rPr>
                    <m:scr m:val="script"/>
                    <m:sty m:val="p"/>
                  </m:rPr>
                  <m:t>E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R</m:t>
                </m:r>
              </m:e>
              <m:sub>
                <m:r>
                  <m:rPr>
                    <m:scr m:val="script"/>
                    <m:sty m:val="p"/>
                  </m:rPr>
                  <m:t>F</m:t>
                </m:r>
              </m:sub>
            </m:sSub>
          </m:e>
        </m:d>
      </m:oMath>
      <w:r>
        <w:t xml:space="preserve"> </w:t>
      </w:r>
      <w:r>
        <w:rPr>
          <w:i/>
          <w:iCs/>
        </w:rPr>
        <w:t xml:space="preserve">minimizes over garblings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takes a</w:t>
      </w:r>
      <w:r>
        <w:t xml:space="preserve"> </w:t>
      </w:r>
      <w:r>
        <w:rPr>
          <w:i/>
          <w:iCs/>
        </w:rPr>
        <w:t xml:space="preserve">supremum over a class of losses</w:t>
      </w:r>
      <w:r>
        <w:t xml:space="preserve"> </w:t>
      </w:r>
      <w:r>
        <w:t xml:space="preserve">(Le Cam 1964, 1986; Torgersen 1991)</w:t>
      </w:r>
      <w:r>
        <w:t xml:space="preserve">. The quantity in</w:t>
      </w:r>
      <w:r>
        <w:t xml:space="preserve"> </w:t>
      </w:r>
      <w:r>
        <w:t xml:space="preserve">(5) performs no garbling minimization and uses a single fixed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over</w:t>
      </w:r>
      <w:r>
        <w:t xml:space="preserve"> </w:t>
      </w:r>
      <w:r>
        <w:t xml:space="preserve">a fixed finite task set; it is a one-sided value/regret gap, not a deficiency. No general inequality</w:t>
      </w:r>
      <w:r>
        <w:t xml:space="preserve"> </w:t>
      </w:r>
      <w:r>
        <w:t xml:space="preserve">relates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to the true Le Cam deficiency for a fixed sub-optimal rule (it can be</w:t>
      </w:r>
      <w:r>
        <w:t xml:space="preserve"> </w:t>
      </w:r>
      <w:r>
        <w:t xml:space="preserve">larger or smaller in either direction). We therefore name (5) the</w:t>
      </w:r>
      <w:r>
        <w:t xml:space="preserve"> </w:t>
      </w:r>
      <w:r>
        <w:rPr>
          <w:i/>
          <w:iCs/>
        </w:rPr>
        <w:t xml:space="preserve">decision-restricted value-deficiency</w:t>
      </w:r>
      <w:r>
        <w:t xml:space="preserve"> </w:t>
      </w:r>
      <w:r>
        <w:t xml:space="preserve">and use</w:t>
      </w:r>
      <w:r>
        <w:t xml:space="preserve"> </w:t>
      </w:r>
      <w:r>
        <w:t xml:space="preserve">“Le Cam deficiency”</w:t>
      </w:r>
      <w:r>
        <w:t xml:space="preserve"> </w:t>
      </w:r>
      <w:r>
        <w:t xml:space="preserve">only as the conceptual</w:t>
      </w:r>
      <w:r>
        <w:t xml:space="preserve"> </w:t>
      </w:r>
      <w:r>
        <w:t xml:space="preserve">analogy that motivates a graded relaxation of the partial order. The one direction that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transfer is qualitative: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realizes the for-all-tasks-in-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dominance</w:t>
      </w:r>
      <w:r>
        <w:t xml:space="preserve"> </w:t>
      </w:r>
      <w:r>
        <w:t xml:space="preserve">of Definition 5, the measurable shadow of Corollary 1.</w:t>
      </w:r>
    </w:p>
    <w:bookmarkEnd w:id="54"/>
    <w:bookmarkEnd w:id="55"/>
    <w:bookmarkStart w:id="58" w:name="subsec:certificate"/>
    <w:p>
      <w:pPr>
        <w:pStyle w:val="Heading2"/>
      </w:pPr>
      <w:r>
        <w:t xml:space="preserve">The uniform verification</w:t>
      </w:r>
    </w:p>
    <w:p>
      <w:pPr>
        <w:pStyle w:val="FirstParagraph"/>
      </w:pPr>
      <w:r>
        <w:t xml:space="preserve">The surrogate (5) selects the</w:t>
      </w:r>
      <w:r>
        <w:t xml:space="preserve"> </w:t>
      </w:r>
      <w:r>
        <w:rPr>
          <w:i/>
          <w:iCs/>
        </w:rPr>
        <w:t xml:space="preserve">argmax-gap</w:t>
      </w:r>
      <w:r>
        <w:t xml:space="preserve"> </w:t>
      </w:r>
      <w:r>
        <w:t xml:space="preserve">task, so a pointwise confidence</w:t>
      </w:r>
      <w:r>
        <w:t xml:space="preserve"> </w:t>
      </w:r>
      <w:r>
        <w:t xml:space="preserve">statement on a single task ignores the selection. We pay the multiplicity with an exact</w:t>
      </w:r>
      <w:r>
        <w:t xml:space="preserve"> </w:t>
      </w:r>
      <w:r>
        <w:t xml:space="preserve">Clopper–Pearson interval per cell and a union bound, which is distribution-free and finite-sample</w:t>
      </w:r>
      <w:r>
        <w:t xml:space="preserve"> </w:t>
      </w:r>
      <w:r>
        <w:t xml:space="preserve">valid.</w:t>
      </w:r>
    </w:p>
    <w:bookmarkStart w:id="56" w:name="prop:certificate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(Uniform incomparability verification).</w:t>
      </w:r>
      <w:r>
        <w:t xml:space="preserve"> </w:t>
      </w:r>
      <w:r>
        <w:t xml:space="preserve"> </w:t>
      </w:r>
      <w:r>
        <w:rPr>
          <w:i/>
          <w:iCs/>
        </w:rPr>
        <w:t xml:space="preserve">Within each cell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draw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i.i.d. Bernoulli PASS outcomes (see</w:t>
      </w:r>
      <w:r>
        <w:rPr>
          <w:i/>
          <w:iCs/>
        </w:rPr>
        <w:t xml:space="preserve"> </w:t>
      </w:r>
      <w:r>
        <w:rPr>
          <w:i/>
          <w:iCs/>
        </w:rPr>
        <w:t xml:space="preserve">Assumption 2). Let</w:t>
      </w:r>
      <w:r>
        <w:rPr>
          <w:i/>
          <w:iCs/>
        </w:rPr>
        <w:t xml:space="preserve"> </w:t>
      </w:r>
      <m:oMath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exact (two-sided) Clopper–Pearson</w:t>
      </w:r>
      <w:r>
        <w:rPr>
          <w:i/>
          <w:iCs/>
        </w:rPr>
        <w:t xml:space="preserve"> </w:t>
      </w:r>
      <w:r>
        <w:rPr>
          <w:i/>
          <w:iCs/>
        </w:rPr>
        <w:t xml:space="preserve">interval </w:t>
      </w:r>
      <w:r>
        <w:rPr>
          <w:i/>
          <w:iCs/>
        </w:rPr>
        <w:t xml:space="preserve">(Clopper and Pearson 1934)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level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rPr>
          <w:i/>
          <w:iCs/>
        </w:rPr>
        <w:t xml:space="preserve">. By the Bonferroni/union bound </w:t>
      </w:r>
      <w:r>
        <w:rPr>
          <w:i/>
          <w:iCs/>
        </w:rPr>
        <w:t xml:space="preserve">(Bonferroni 1936)</w:t>
      </w:r>
      <w:r>
        <w:rPr>
          <w:i/>
          <w:iCs/>
        </w:rPr>
        <w:t xml:space="preserve"> </w:t>
      </w:r>
      <w:r>
        <w:rPr>
          <w:i/>
          <w:iCs/>
        </w:rPr>
        <w:t xml:space="preserve">over the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proportions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rPr>
          <w:i/>
          <w:iCs/>
        </w:rPr>
        <w:t xml:space="preserve">, all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intervals hold simultaneously with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at least</w:t>
      </w:r>
      <w:r>
        <w:rPr>
          <w:i/>
          <w:iCs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 On that event,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scr m:val="script"/>
                  <m:sty m:val="p"/>
                </m:rPr>
                <m:t>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D</m:t>
              </m:r>
            </m:lim>
          </m:limLow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L</m:t>
                  </m:r>
                </m:e>
                <m:sub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t> </m:t>
              </m:r>
            </m:e>
          </m:d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is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lower confidence bound 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[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verifies</w:t>
      </w:r>
      <w:r>
        <w:rPr>
          <w:i/>
          <w:i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confidence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Both directions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 off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same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intervals and so are valid on the same coverage event. Consequently,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if both observed bounds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are positive</w:t>
      </w:r>
      <w:r>
        <w:rPr>
          <w:i/>
          <w:iCs/>
        </w:rPr>
        <w:t xml:space="preserve">, the joint incomparability claim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holds at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no</w:t>
      </w:r>
      <w:r>
        <w:rPr>
          <w:i/>
          <w:iCs/>
        </w:rPr>
        <w:t xml:space="preserve"> </w:t>
      </w:r>
      <w:r>
        <w:rPr>
          <w:i/>
          <w:iCs/>
        </w:rPr>
        <w:t xml:space="preserve">additional correction. The condition is not decoration: coverage alone implies nothing about the</w:t>
      </w:r>
      <w:r>
        <w:rPr>
          <w:i/>
          <w:iCs/>
        </w:rPr>
        <w:t xml:space="preserve"> </w:t>
      </w:r>
      <w:r>
        <w:rPr>
          <w:i/>
          <w:iCs/>
        </w:rPr>
        <w:t xml:space="preserve">population gaps, which are identically</w:t>
      </w:r>
      <w:r>
        <w:rPr>
          <w:i/>
          <w:iCs/>
        </w:rPr>
        <w:t xml:space="preserve"> </w:t>
      </w:r>
      <m:oMath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the same source. The</w:t>
      </w:r>
      <w:r>
        <w:rPr>
          <w:i/>
          <w:iCs/>
        </w:rPr>
        <w:t xml:space="preserve"> </w:t>
      </w:r>
      <w:r>
        <w:rPr>
          <w:i/>
          <w:iCs/>
        </w:rPr>
        <w:t xml:space="preserve">verification is one-sided, asserting nothing when the two bounds are not both positive,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guarantee is frequentist: the probability of declaring incomparability when it does not hold is at</w:t>
      </w:r>
      <w:r>
        <w:rPr>
          <w:i/>
          <w:iCs/>
        </w:rPr>
        <w:t xml:space="preserve"> </w:t>
      </w:r>
      <w:r>
        <w:rPr>
          <w:i/>
          <w:iCs/>
        </w:rPr>
        <w:t xml:space="preserve">most</w:t>
      </w:r>
      <w:r>
        <w:rPr>
          <w:i/>
          <w:iCs/>
        </w:rPr>
        <w:t xml:space="preserve"> </w:t>
      </w:r>
      <m:oMath>
        <m:r>
          <m:t>η</m:t>
        </m:r>
      </m:oMath>
      <w:r>
        <w:rPr>
          <w:i/>
          <w:iCs/>
        </w:rPr>
        <w:t xml:space="preserve">, which is not a posterior probability that the fixed sources satisfy the inequality. The matching quantity</w:t>
      </w:r>
      <w:r>
        <w:rPr>
          <w:i/>
          <w:iCs/>
        </w:rP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 </m:t>
            </m:r>
            <m:sSub>
              <m:e>
                <m:r>
                  <m:t>U</m:t>
                </m:r>
              </m:e>
              <m:sub>
                <m:sSub>
                  <m:e>
                    <m:r>
                      <m:t>W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L</m:t>
                </m:r>
              </m:e>
              <m:sub>
                <m:sSub>
                  <m:e>
                    <m:r>
                      <m:t>W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t> </m:t>
            </m:r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is, on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event,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upper</w:t>
      </w:r>
      <w:r>
        <w:rPr>
          <w:i/>
          <w:iCs/>
        </w:rPr>
        <w:t xml:space="preserve"> </w:t>
      </w:r>
      <w:r>
        <w:rPr>
          <w:i/>
          <w:iCs/>
        </w:rPr>
        <w:t xml:space="preserve">confidence bound on the same supremum; the dominance control</w:t>
      </w:r>
      <w:r>
        <w:rPr>
          <w:i/>
          <w:iCs/>
        </w:rPr>
        <w:t xml:space="preserve"> </w:t>
      </w:r>
      <w:r>
        <w:rPr>
          <w:i/>
          <w:iCs/>
        </w:rPr>
        <w:t xml:space="preserve">uses it to verify</w:t>
      </w:r>
      <w:r>
        <w:rPr>
          <w:i/>
          <w:i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 to the equivalence margin.</w:t>
      </w:r>
    </w:p>
    <w:bookmarkEnd w:id="56"/>
    <w:p>
      <w:pPr>
        <w:pStyle w:val="FirstParagraph"/>
      </w:pPr>
      <w:r>
        <w:t xml:space="preserve">A naive single-sample DKW bound under-covers this supremum, because the object is a maximum of</w:t>
      </w:r>
      <w:r>
        <w:t xml:space="preserve"> </w:t>
      </w:r>
      <w:r>
        <w:t xml:space="preserve">differences of binomial means across distinct cells and the verification selects the argmax-gap</w:t>
      </w:r>
      <w:r>
        <w:t xml:space="preserve"> </w:t>
      </w:r>
      <w:r>
        <w:t xml:space="preserve">cell, so the multiplicity must be paid explicitly rather than absorbed into a single-sample</w:t>
      </w:r>
      <w:r>
        <w:t xml:space="preserve"> </w:t>
      </w:r>
      <w:r>
        <w:t xml:space="preserve">envelope (Appendix A); the resulting construction aligns with recent statistical</w:t>
      </w:r>
      <w:r>
        <w:t xml:space="preserve"> </w:t>
      </w:r>
      <w:r>
        <w:t xml:space="preserve">guidance for black-box LLM evaluation (Appendix A).</w:t>
      </w:r>
    </w:p>
    <w:bookmarkStart w:id="57" w:name="ass:iid"/>
    <w:p>
      <w:pPr>
        <w:pStyle w:val="BodyText"/>
      </w:pPr>
      <w:r>
        <w:rPr>
          <w:b/>
          <w:bCs/>
        </w:rPr>
        <w:t xml:space="preserve">Assumption 2</w:t>
      </w:r>
      <w:r>
        <w:t xml:space="preserve"> </w:t>
      </w:r>
      <w:r>
        <w:t xml:space="preserve">(Sampling regime).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within a cell are i.i.d. Bernoulli draws of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Every draw is a</w:t>
      </w:r>
      <w:r>
        <w:t xml:space="preserve"> </w:t>
      </w:r>
      <w:r>
        <w:t xml:space="preserve">single completion (plus deterministic code extraction) from an independent call with no shared</w:t>
      </w:r>
      <w:r>
        <w:t xml:space="preserve"> </w:t>
      </w:r>
      <w:r>
        <w:t xml:space="preserve">state, which is what makes the binomial model of Assumption 2 reasonable rather than proved; we report</w:t>
      </w:r>
      <w:r>
        <w:t xml:space="preserve"> </w:t>
      </w:r>
      <w:r>
        <w:t xml:space="preserve">the decoding configuration in §7. Where draws are near-deterministic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stark cells), Clopper–Pearson collapses and the verification is conservative.</w:t>
      </w:r>
    </w:p>
    <w:bookmarkEnd w:id="57"/>
    <w:bookmarkEnd w:id="58"/>
    <w:bookmarkStart w:id="61" w:name="subsec:interference"/>
    <w:p>
      <w:pPr>
        <w:pStyle w:val="Heading2"/>
      </w:pPr>
      <w:r>
        <w:t xml:space="preserve">The interference verification (anti-monotonicity)</w:t>
      </w:r>
    </w:p>
    <w:p>
      <w:pPr>
        <w:pStyle w:val="FirstParagraph"/>
      </w:pPr>
      <w:r>
        <w:t xml:space="preserve">The deficiency surrogate also detects a phenomenon the optimal-value order forbids but a fixed rule</w:t>
      </w:r>
      <w:r>
        <w:t xml:space="preserve"> </w:t>
      </w:r>
      <w:r>
        <w:t xml:space="preserve">can exhibit: supplying a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source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(revealing strictly more coordinates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Definition 3) can</w:t>
      </w:r>
      <w:r>
        <w:t xml:space="preserve"> </w:t>
      </w:r>
      <w:r>
        <w:rPr>
          <w:i/>
          <w:iCs/>
        </w:rPr>
        <w:t xml:space="preserve">degrade</w:t>
      </w:r>
      <w:r>
        <w:t xml:space="preserve"> </w:t>
      </w:r>
      <w:r>
        <w:t xml:space="preserve">performance. Define the per-task</w:t>
      </w:r>
      <w:r>
        <w:t xml:space="preserve"> </w:t>
      </w:r>
      <w:r>
        <w:t xml:space="preserve">interference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Ψ</m:t>
              </m:r>
            </m:e>
            <m:sub>
              <m:r>
                <m:t>T</m:t>
              </m:r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cr m:val="monospace"/>
              <m:sty m:val="p"/>
            </m:rPr>
            <m:t>none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second-difference (interaction) of adding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top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We write the interaction as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(rather than a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would collide with mutual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)</m:t>
        </m:r>
      </m:oMath>
      <w:r>
        <w:t xml:space="preserve">). A</w:t>
      </w:r>
      <w:r>
        <w:t xml:space="preserve"> </w:t>
      </w:r>
      <w:r>
        <w:t xml:space="preserve">verified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on a cell whose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is at ceiling is the localized statement that</w:t>
      </w:r>
      <w:r>
        <w:t xml:space="preserve"> </w:t>
      </w:r>
      <w:r>
        <w:t xml:space="preserve">“more strictly-more-informative context hurts”</w:t>
      </w:r>
      <w:r>
        <w:t xml:space="preserve">;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reported alongside it as the</w:t>
      </w:r>
      <w:r>
        <w:t xml:space="preserve"> </w:t>
      </w:r>
      <w:r>
        <w:t xml:space="preserve">interaction term only (Remark 9).</w:t>
      </w:r>
    </w:p>
    <w:bookmarkStart w:id="59" w:name="prop:interference"/>
    <w:p>
      <w:pPr>
        <w:pStyle w:val="BodyText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(Interference verification).</w:t>
      </w:r>
      <w:r>
        <w:t xml:space="preserve"> </w:t>
      </w:r>
      <w:r>
        <w:t xml:space="preserve"> </w:t>
      </w:r>
      <w:r>
        <w:rPr>
          <w:i/>
          <w:iCs/>
        </w:rPr>
        <w:t xml:space="preserve">Fix a target task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chosen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before</w:t>
      </w:r>
      <w:r>
        <w:rPr>
          <w:i/>
          <w:iCs/>
        </w:rPr>
        <w:t xml:space="preserve"> </w:t>
      </w:r>
      <w:r>
        <w:rPr>
          <w:i/>
          <w:iCs/>
        </w:rPr>
        <w:t xml:space="preserve">unblinding, and let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harm contrast. With exact</w:t>
      </w:r>
      <w:r>
        <w:rPr>
          <w:i/>
          <w:iCs/>
        </w:rPr>
        <w:t xml:space="preserve"> </w:t>
      </w:r>
      <w:r>
        <w:rPr>
          <w:i/>
          <w:iCs/>
        </w:rPr>
        <w:t xml:space="preserve">Clopper–Pearson endpoints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carrying</w:t>
      </w:r>
      <w:r>
        <w:rPr>
          <w:i/>
          <w:iCs/>
        </w:rPr>
        <w:t xml:space="preserve"> </w:t>
      </w:r>
      <w:r>
        <w:rPr>
          <w:i/>
          <w:iCs/>
        </w:rPr>
        <w:t xml:space="preserve">noncoverage at most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per endpoint</w:t>
      </w:r>
      <w:r>
        <w:rPr>
          <w:i/>
          <w:iCs/>
        </w:rPr>
        <w:t xml:space="preserve"> </w:t>
      </w:r>
      <w:r>
        <w:rPr>
          <w:i/>
          <w:iCs/>
        </w:rPr>
        <w:t xml:space="preserve">on the two arms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(two</w:t>
      </w:r>
      <w:r>
        <w:rPr>
          <w:i/>
          <w:iCs/>
        </w:rPr>
        <w:t xml:space="preserve"> </w:t>
      </w:r>
      <w:r>
        <w:rPr>
          <w:i/>
          <w:iCs/>
        </w:rPr>
        <w:t xml:space="preserve">endpoints, union-bounding to</w:t>
      </w:r>
      <w:r>
        <w:rPr>
          <w:i/>
          <w:iCs/>
        </w:rPr>
        <w:t xml:space="preserve"> </w:t>
      </w:r>
      <m:oMath>
        <m:r>
          <m:t>η</m:t>
        </m:r>
      </m:oMath>
      <w:r>
        <w:rPr>
          <w:i/>
          <w:iCs/>
        </w:rPr>
        <w:t xml:space="preserve">; the two unused endpoints of a two-sided interval are not</w:t>
      </w:r>
      <w:r>
        <w:rPr>
          <w:i/>
          <w:iCs/>
        </w:rPr>
        <w:t xml:space="preserve"> </w:t>
      </w:r>
      <w:r>
        <w:rPr>
          <w:i/>
          <w:iCs/>
        </w:rPr>
        <w:t xml:space="preserve">paid for),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</m:e>
              </m:ba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)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is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upper confidence bound 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verifies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confidence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 If instead the harmful cell 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selected</w:t>
      </w:r>
      <w:r>
        <w:rPr>
          <w:i/>
          <w:iCs/>
        </w:rPr>
        <w:t xml:space="preserve"> </w:t>
      </w: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candidates after unblinding, use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this is the same selection correction the verification applies to the deficiency surrogate</w:t>
      </w:r>
      <w:r>
        <w:rPr>
          <w:i/>
          <w:iCs/>
        </w:rPr>
        <w:t xml:space="preserve"> </w:t>
      </w:r>
      <w:r>
        <w:rPr>
          <w:i/>
          <w:iCs/>
        </w:rPr>
        <w:t xml:space="preserve">(the multiplicity is real: the selected cell is an argmax over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noisy gaps, so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single-sample sup inequality does not cover it), and omitting it would repeat the error we</w:t>
      </w:r>
      <w:r>
        <w:rPr>
          <w:i/>
          <w:iCs/>
        </w:rPr>
        <w:t xml:space="preserve"> </w:t>
      </w:r>
      <w:r>
        <w:rPr>
          <w:i/>
          <w:iCs/>
        </w:rPr>
        <w:t xml:space="preserve">criticize. Because</w:t>
      </w:r>
      <w:r>
        <w:rPr>
          <w:i/>
          <w:iCs/>
        </w:rPr>
        <w:t xml:space="preserve"> </w:t>
      </w:r>
      <m:oMath>
        <m:r>
          <m:rPr>
            <m:sty m:val="p"/>
          </m:rPr>
          <m:t>Δ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reads only the two arms it contrasts, the bound is insensitive to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none</w:t>
      </w:r>
      <w:r>
        <w:rPr>
          <w:i/>
          <w:iCs/>
        </w:rPr>
        <w:t xml:space="preserve"> </w:t>
      </w:r>
      <w:r>
        <w:rPr>
          <w:i/>
          <w:iCs/>
        </w:rPr>
        <w:t xml:space="preserve">baseline; we still report that baseline per cell, because guessability bears on whether the source</w:t>
      </w:r>
      <w:r>
        <w:rPr>
          <w:i/>
          <w:iCs/>
        </w:rPr>
        <w:t xml:space="preserve"> </w:t>
      </w:r>
      <w:r>
        <w:rPr>
          <w:i/>
          <w:iCs/>
        </w:rPr>
        <w:t xml:space="preserve">is genuinely private and hence on the incomparability reading (§3.3).</w:t>
      </w:r>
    </w:p>
    <w:bookmarkEnd w:id="59"/>
    <w:bookmarkStart w:id="60" w:name="rem:psinotharm"/>
    <w:p>
      <w:pPr>
        <w:pStyle w:val="FirstParagraph"/>
      </w:pPr>
      <w:r>
        <w:rPr>
          <w:i/>
          <w:iCs/>
        </w:rPr>
        <w:t xml:space="preserve">Remark 9</w:t>
      </w:r>
      <w:r>
        <w:t xml:space="preserve"> </w:t>
      </w:r>
      <w:r>
        <w:t xml:space="preserve">(</w:t>
      </w:r>
      <m:oMath>
        <m:r>
          <m:rPr>
            <m:sty m:val="p"/>
          </m:rPr>
          <m:t>Ψ</m:t>
        </m:r>
      </m:oMath>
      <w:r>
        <w:t xml:space="preserve"> </w:t>
      </w:r>
      <w:r>
        <w:t xml:space="preserve">is interaction, not harm).</w:t>
      </w:r>
      <w:r>
        <w:t xml:space="preserve"> </w:t>
      </w:r>
      <w:r>
        <w:t xml:space="preserve"> </w:t>
      </w:r>
      <w:r>
        <w:t xml:space="preserve">The second difference must not be read as a harm measure. Writing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set function</w:t>
      </w:r>
      <w:r>
        <w:t xml:space="preserve"> </w:t>
      </w:r>
      <m:oMath>
        <m:r>
          <m:t>A</m:t>
        </m:r>
        <m:r>
          <m:rPr>
            <m:sty m:val="p"/>
          </m:rPr>
          <m:t>↦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the inequality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is precisely the submodularity condition for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 so a negative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what diminishing returns look like and is</w:t>
      </w:r>
      <w:r>
        <w:t xml:space="preserve"> </w:t>
      </w:r>
      <w:r>
        <w:t xml:space="preserve">consistent 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monotone submodular. It does not imply that adding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hurt: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no degradation whatever. What the collapse violates is</w:t>
      </w:r>
      <w:r>
        <w:t xml:space="preserve"> </w:t>
      </w:r>
      <w:r>
        <w:rPr>
          <w:i/>
          <w:iCs/>
        </w:rPr>
        <w:t xml:space="preserve">monotonicity</w:t>
      </w:r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which is</w:t>
      </w:r>
      <w:r>
        <w:t xml:space="preserve"> </w:t>
      </w:r>
      <w:r>
        <w:t xml:space="preserve">the quantity we verify. In our data the two coincide in direction, and the contrast bound is</w:t>
      </w:r>
      <w:r>
        <w:t xml:space="preserve"> </w:t>
      </w:r>
      <w:r>
        <w:t xml:space="preserve">tighter than the four-term one because it spends its confidence budget on two intervals rather</w:t>
      </w:r>
      <w:r>
        <w:t xml:space="preserve"> </w:t>
      </w:r>
      <w:r>
        <w:t xml:space="preserve">than four.</w:t>
      </w:r>
    </w:p>
    <w:bookmarkEnd w:id="60"/>
    <w:bookmarkEnd w:id="61"/>
    <w:bookmarkStart w:id="63" w:name="subsec:antimono"/>
    <w:p>
      <w:pPr>
        <w:pStyle w:val="Heading2"/>
      </w:pPr>
      <w:r>
        <w:t xml:space="preserve">Anti-monotonicity as information non-monotonicity of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</w:p>
    <w:p>
      <w:pPr>
        <w:pStyle w:val="FirstParagraph"/>
      </w:pPr>
      <w:r>
        <w:t xml:space="preserve">A verified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on a ceiling-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cell is more than a curiosity: it is a falsification</w:t>
      </w:r>
      <w:r>
        <w:t xml:space="preserve"> </w:t>
      </w:r>
      <w:r>
        <w:t xml:space="preserve">of Blackwell superset-dominance</w:t>
      </w:r>
      <w:r>
        <w:t xml:space="preserve"> </w:t>
      </w:r>
      <w:r>
        <w:rPr>
          <w:i/>
          <w:iCs/>
        </w:rPr>
        <w:t xml:space="preserve">for the fixed model rule</w:t>
      </w:r>
      <w:r>
        <w:t xml:space="preserve">, and it pinpoints exactly where the</w:t>
      </w:r>
      <w:r>
        <w:t xml:space="preserve"> </w:t>
      </w:r>
      <w:r>
        <w:t xml:space="preserve">optimal-rule order (Theorem 1) and the realized rule diverge.</w:t>
      </w:r>
    </w:p>
    <w:bookmarkStart w:id="62" w:name="thm:antimono"/>
    <w:p>
      <w:pPr>
        <w:pStyle w:val="BodyText"/>
      </w:pPr>
      <w:r>
        <w:rPr>
          <w:b/>
          <w:bCs/>
        </w:rPr>
        <w:t xml:space="preserve">Theorem 3</w:t>
      </w:r>
      <w:r>
        <w:t xml:space="preserve"> </w:t>
      </w:r>
      <w:r>
        <w:t xml:space="preserve">(Information non-monotonicity of the model rule).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reveal a superset of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’s coordinates, so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(Lemma 1). Call a rule</w:t>
      </w:r>
      <w:r>
        <w:rPr>
          <w:i/>
          <w:iCs/>
        </w:rPr>
        <w:t xml:space="preserve"> </w:t>
      </w:r>
      <m:oMath>
        <m:r>
          <m:t>δ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Blackwell-coherent on</w:t>
      </w:r>
      <w:r>
        <w:rPr>
          <w:i/>
          <w:i/>
          <w:iCs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if its realized</w:t>
      </w:r>
      <w:r>
        <w:rPr>
          <w:i/>
          <w:iCs/>
        </w:rPr>
        <w:t xml:space="preserve"> </w:t>
      </w:r>
      <w:r>
        <w:rPr>
          <w:i/>
          <w:iCs/>
        </w:rPr>
        <w:t xml:space="preserve">pass rate does not fall when it is handed the dominating source, that is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δ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δ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the realized state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. Coherence in this</w:t>
      </w:r>
      <w:r>
        <w:rPr>
          <w:i/>
          <w:iCs/>
        </w:rPr>
        <w:t xml:space="preserve"> </w:t>
      </w:r>
      <w:r>
        <w:rPr>
          <w:i/>
          <w:iCs/>
        </w:rPr>
        <w:t xml:space="preserve">sense costs no information, and a coherent rule exists on every task: the pruning rule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∘</m:t>
        </m:r>
        <m:r>
          <m:t>G</m:t>
        </m:r>
      </m:oMath>
      <w:r>
        <w:rPr>
          <w:i/>
          <w:iCs/>
        </w:rPr>
        <w:t xml:space="preserve">, where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deletes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’s block from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’s signal and acts as the identity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’s, so that the one rule is defined on both inputs, satisfies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sSub>
              <m:e>
                <m:r>
                  <m:t>δ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∘</m:t>
            </m:r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sSub>
              <m:e>
                <m:r>
                  <m:t>δ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∘</m:t>
            </m:r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that state,</w:t>
      </w:r>
      <w:r>
        <w:rPr>
          <w:i/>
          <w:iCs/>
        </w:rPr>
        <w:t xml:space="preserve"> </w:t>
      </w:r>
      <w:r>
        <w:rPr>
          <w:i/>
          <w:iCs/>
        </w:rPr>
        <w:t xml:space="preserve">because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every</w:t>
      </w:r>
      <w:r>
        <w:rPr>
          <w:i/>
          <w:iCs/>
        </w:rPr>
        <w:t xml:space="preserve"> </w:t>
      </w:r>
      <m:oMath>
        <m:r>
          <m:t>s</m:t>
        </m:r>
      </m:oMath>
      <w:r>
        <w:rPr>
          <w:i/>
          <w:iCs/>
        </w:rPr>
        <w:t xml:space="preserve">; no prior and</w:t>
      </w:r>
      <w:r>
        <w:rPr>
          <w:i/>
          <w:iCs/>
        </w:rPr>
        <w:t xml:space="preserve"> </w:t>
      </w:r>
      <w:r>
        <w:rPr>
          <w:i/>
          <w:iCs/>
        </w:rPr>
        <w:t xml:space="preserve">no averaging enter. The Bayes rule</w:t>
      </w:r>
      <w:r>
        <w:rPr>
          <w:i/>
          <w:iCs/>
        </w:rP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is deliberately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the exemplar here:</w:t>
      </w:r>
      <w:r>
        <w:rPr>
          <w:i/>
          <w:iCs/>
        </w:rPr>
        <w:t xml:space="preserve"> </w:t>
      </w:r>
      <w:r>
        <w:rPr>
          <w:i/>
          <w:iCs/>
        </w:rPr>
        <w:t xml:space="preserve">its value is monotone in the</w:t>
      </w:r>
      <w:r>
        <w:rPr>
          <w:i/>
          <w:iCs/>
        </w:rP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-averaged register only, and monotonicity there is consistent</w:t>
      </w:r>
      <w:r>
        <w:rPr>
          <w:i/>
          <w:iCs/>
        </w:rPr>
        <w:t xml:space="preserve"> </w:t>
      </w:r>
      <w:r>
        <w:rPr>
          <w:i/>
          <w:iCs/>
        </w:rPr>
        <w:t xml:space="preserve">with a fall at a single state (Remark 1). If a fixed model rule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has a task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rPr>
          <w:i/>
          <w:iCs/>
        </w:rPr>
        <w:t xml:space="preserve">, then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Blackwell-coherent: it violates</w:t>
      </w:r>
      <w:r>
        <w:rPr>
          <w:i/>
          <w:iCs/>
        </w:rPr>
        <w:t xml:space="preserve"> </w:t>
      </w:r>
      <w:r>
        <w:rPr>
          <w:i/>
          <w:iCs/>
        </w:rPr>
        <w:t xml:space="preserve">monotonicity under the garbling order on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. In particular no monotone scalar</w:t>
      </w:r>
      <w:r>
        <w:rPr>
          <w:i/>
          <w:iCs/>
        </w:rPr>
        <w:t xml:space="preserve"> </w:t>
      </w:r>
      <w:r>
        <w:rPr>
          <w:i/>
          <w:iCs/>
        </w:rPr>
        <w:t xml:space="preserve">context-value score can predict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’s behaviour on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.</w:t>
      </w:r>
    </w:p>
    <w:bookmarkEnd w:id="62"/>
    <w:p>
      <w:pPr>
        <w:pStyle w:val="BodyText"/>
      </w:pPr>
      <w:r>
        <w:t xml:space="preserve">Theorem 3 converts the empirical collapse into a structural statement: the harm is</w:t>
      </w:r>
      <w:r>
        <w:t xml:space="preserve"> </w:t>
      </w:r>
      <w:r>
        <w:t xml:space="preserve">not noise but a witness that real LLM decision rules are not Blackwell-coherent in the PASS</w:t>
      </w:r>
      <w:r>
        <w:t xml:space="preserve"> </w:t>
      </w:r>
      <w:r>
        <w:t xml:space="preserve">register, and the comparison is like-for-like: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beaten, at the same state and on the</w:t>
      </w:r>
      <w:r>
        <w:t xml:space="preserve"> </w:t>
      </w:r>
      <w:r>
        <w:t xml:space="preserve">same input, by its own pruned version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∘</m:t>
        </m:r>
        <m:r>
          <m:t>G</m:t>
        </m:r>
      </m:oMath>
      <w:r>
        <w:t xml:space="preserve">. The deficiency</w:t>
      </w:r>
      <w:r>
        <w:t xml:space="preserve"> </w:t>
      </w:r>
      <w:r>
        <w:t xml:space="preserve">surrogate detects this reversal because it tracks realized PASS, whereas every monotone scalar must</w:t>
      </w:r>
      <w:r>
        <w:t xml:space="preserve"> </w:t>
      </w:r>
      <w:r>
        <w:t xml:space="preserve">miss it by construction.</w:t>
      </w:r>
    </w:p>
    <w:bookmarkEnd w:id="63"/>
    <w:bookmarkStart w:id="64" w:name="subsec:fwer"/>
    <w:p>
      <w:pPr>
        <w:pStyle w:val="Heading2"/>
      </w:pPr>
      <w:r>
        <w:t xml:space="preserve">Family-wise error across the verified claims</w:t>
      </w:r>
    </w:p>
    <w:p>
      <w:pPr>
        <w:pStyle w:val="FirstParagraph"/>
      </w:pPr>
      <w:r>
        <w:t xml:space="preserve">Each verification above controls error</w:t>
      </w:r>
      <w:r>
        <w:t xml:space="preserve"> </w:t>
      </w:r>
      <w:r>
        <w:rPr>
          <w:i/>
          <w:iCs/>
        </w:rPr>
        <w:t xml:space="preserve">marginally</w:t>
      </w:r>
      <w:r>
        <w:t xml:space="preserve"> </w:t>
      </w:r>
      <w:r>
        <w:t xml:space="preserve">at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for its own claim</w:t>
      </w:r>
      <w:r>
        <w:t xml:space="preserve"> </w:t>
      </w:r>
      <w:r>
        <w:t xml:space="preserve">(incomparability via Proposition 3; interference via</w:t>
      </w:r>
      <w:r>
        <w:t xml:space="preserve"> </w:t>
      </w:r>
      <w:r>
        <w:t xml:space="preserve">Proposition 4). The unit of accounting is the</w:t>
      </w:r>
      <w:r>
        <w:t xml:space="preserve"> </w:t>
      </w:r>
      <w:r>
        <w:rPr>
          <w:i/>
          <w:iCs/>
        </w:rPr>
        <w:t xml:space="preserve">coverage event</w:t>
      </w:r>
      <w:r>
        <w:t xml:space="preserve">, not the</w:t>
      </w:r>
      <w:r>
        <w:t xml:space="preserve"> </w:t>
      </w:r>
      <w:r>
        <w:t xml:space="preserve">claim. Every statement that is a deterministic consequence of the same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Clopper–Pearson intervals holds simultaneously on the event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Proposition 3, and therefore</w:t>
      </w:r>
      <w:r>
        <w:t xml:space="preserve"> </w:t>
      </w:r>
      <w:r>
        <w:rPr>
          <w:i/>
          <w:iCs/>
        </w:rPr>
        <w:t xml:space="preserve">jointly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with no further</w:t>
      </w:r>
      <w:r>
        <w:t xml:space="preserve"> </w:t>
      </w:r>
      <w:r>
        <w:t xml:space="preserve">correction: this covers both incomparability directions, the dominance control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, whose endpoints are endpoints of those very intervals, and any per-task</w:t>
      </w:r>
      <w:r>
        <w:t xml:space="preserve"> </w:t>
      </w:r>
      <w:r>
        <w:t xml:space="preserve">strict win read off them. Adding a conclusion drawn from intervals already covered does not by</w:t>
      </w:r>
      <w:r>
        <w:t xml:space="preserve"> </w:t>
      </w:r>
      <w:r>
        <w:t xml:space="preserve">itself cost another Bonferroni factor. What does require fresh allocation is a conjunction</w:t>
      </w:r>
      <w:r>
        <w:t xml:space="preserve"> </w:t>
      </w:r>
      <w:r>
        <w:t xml:space="preserve">spanning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events, that is, claims reading cells outside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or intervals built at a</w:t>
      </w:r>
      <w:r>
        <w:t xml:space="preserve"> </w:t>
      </w:r>
      <w:r>
        <w:t xml:space="preserve">different level. The interference verification is of that kind, since it reads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per endpoint, and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intervals are not in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event at all; conjunctions joining it to the incomparability family are</w:t>
      </w:r>
      <w:r>
        <w:t xml:space="preserve"> </w:t>
      </w:r>
      <w:r>
        <w:t xml:space="preserve">therefore reported as marginal per claim, and where a joint statement is wanted we allocate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events involved.</w:t>
      </w:r>
    </w:p>
    <w:p>
      <w:pPr>
        <w:pStyle w:val="BodyText"/>
      </w:pPr>
      <w:r>
        <w:t xml:space="preserve">The two verifications have different effective-</w:t>
      </w:r>
      <m:oMath>
        <m:r>
          <m:t>n</m:t>
        </m:r>
      </m:oMath>
      <w:r>
        <w:t xml:space="preserve"> </w:t>
      </w:r>
      <w:r>
        <w:t xml:space="preserve">requirements: incomparability is</w:t>
      </w:r>
      <w:r>
        <w:t xml:space="preserve"> </w:t>
      </w:r>
      <w:r>
        <w:t xml:space="preserve">carried by stark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cells whose intervals are tight, whereas a harm contrast on a milder</w:t>
      </w:r>
      <w:r>
        <w:t xml:space="preserve"> </w:t>
      </w:r>
      <w:r>
        <w:t xml:space="preserve">collapse spends more of the budget. This is why the four-term interaction bound left Opus short of</w:t>
      </w:r>
      <w:r>
        <w:t xml:space="preserve"> </w:t>
      </w:r>
      <w:r>
        <w:t xml:space="preserve">the margin while the two-arm contrast clears it (§7.4.3); the power analysis</w:t>
      </w:r>
      <w:r>
        <w:t xml:space="preserve"> </w:t>
      </w:r>
      <w:r>
        <w:t xml:space="preserve">is in Appendix A.</w:t>
      </w:r>
    </w:p>
    <w:bookmarkEnd w:id="64"/>
    <w:bookmarkEnd w:id="65"/>
    <w:bookmarkStart w:id="103" w:name="sec:experiments"/>
    <w:p>
      <w:pPr>
        <w:pStyle w:val="Heading1"/>
      </w:pPr>
      <w:r>
        <w:t xml:space="preserve">Experiments</w:t>
      </w:r>
    </w:p>
    <w:p>
      <w:pPr>
        <w:pStyle w:val="FirstParagraph"/>
      </w:pPr>
      <w:r>
        <w:t xml:space="preserve">With the order (§4), its impossibility consequence (§5),</w:t>
      </w:r>
      <w:r>
        <w:t xml:space="preserve"> </w:t>
      </w:r>
      <w:r>
        <w:t xml:space="preserve">and the verification that measures it (§6) in hand, we now instantiate the</w:t>
      </w:r>
      <w:r>
        <w:t xml:space="preserve"> </w:t>
      </w:r>
      <w:r>
        <w:t xml:space="preserve">theory on real language models. The design has three commitments. First, every reported number is an empirical PASS rate from live model</w:t>
      </w:r>
      <w:r>
        <w:t xml:space="preserve"> </w:t>
      </w:r>
      <w:r>
        <w:t xml:space="preserve">calls verified by an executable test harness; no value is modeled, simulated, or extrapolated.</w:t>
      </w:r>
      <w:r>
        <w:t xml:space="preserve"> </w:t>
      </w:r>
      <w:r>
        <w:t xml:space="preserve">Second, the two context sources are constructed to be</w:t>
      </w:r>
      <w:r>
        <w:t xml:space="preserve"> </w:t>
      </w:r>
      <w:r>
        <w:rPr>
          <w:i/>
          <w:iCs/>
        </w:rPr>
        <w:t xml:space="preserve">Blackwell-incomparable by construction</w:t>
      </w:r>
      <w:r>
        <w:t xml:space="preserve"> </w:t>
      </w:r>
      <w:r>
        <w:t xml:space="preserve">(§7.1), so the incomparability theorem (Theorem 2) has a</w:t>
      </w:r>
      <w:r>
        <w:t xml:space="preserve"> </w:t>
      </w:r>
      <w:r>
        <w:t xml:space="preserve">non-vacuous instance to bite on. Third, every verified claim is reported with the exact sample</w:t>
      </w:r>
      <w:r>
        <w:t xml:space="preserve"> </w:t>
      </w:r>
      <w:r>
        <w:t xml:space="preserve">size, the Clopper–Pearson endpoints, and the per-cell PASS counts from which it is derived</w:t>
      </w:r>
      <w:r>
        <w:t xml:space="preserve"> </w:t>
      </w:r>
      <w:r>
        <w:t xml:space="preserve">(§7.4), so the verification is auditable rather than asserted.</w:t>
      </w:r>
    </w:p>
    <w:bookmarkStart w:id="68" w:name="sec:design"/>
    <w:p>
      <w:pPr>
        <w:pStyle w:val="Heading2"/>
      </w:pPr>
      <w:r>
        <w:t xml:space="preserve">Design: two incomparable context sources</w:t>
      </w:r>
    </w:p>
    <w:p>
      <w:pPr>
        <w:pStyle w:val="FirstParagraph"/>
      </w:pPr>
      <w:r>
        <w:t xml:space="preserve">We define two</w:t>
      </w:r>
      <w:r>
        <w:t xml:space="preserve"> </w:t>
      </w:r>
      <w:r>
        <w:rPr>
          <w:i/>
          <w:iCs/>
        </w:rPr>
        <w:t xml:space="preserve">private, unguessable</w:t>
      </w:r>
      <w:r>
        <w:t xml:space="preserve"> </w:t>
      </w:r>
      <w:r>
        <w:t xml:space="preserve">conventions 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module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,</w:t>
      </w:r>
      <w:r>
        <w:t xml:space="preserve"> </w:t>
      </w:r>
      <w:r>
        <w:t xml:space="preserve">matched on every nuisance axis (length, roughly three sentences, exactly one private convention</w:t>
      </w:r>
      <w:r>
        <w:t xml:space="preserve"> </w:t>
      </w:r>
      <w:r>
        <w:t xml:space="preserve">each, same module, same task shape). Because both are on-topic for any</w:t>
      </w:r>
      <w:r>
        <w:t xml:space="preserve"> </w:t>
      </w:r>
      <w:r>
        <w:t xml:space="preserve">“ledger”</w:t>
      </w:r>
      <w:r>
        <w:t xml:space="preserve"> </w:t>
      </w:r>
      <w:r>
        <w:t xml:space="preserve">task, any lexical,</w:t>
      </w:r>
      <w:r>
        <w:t xml:space="preserve"> </w:t>
      </w:r>
      <w:r>
        <w:t xml:space="preserve">embedding, mutual-information, or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score treats them as equally relevant</w:t>
      </w:r>
      <w:r>
        <w:t xml:space="preserve"> </w:t>
      </w:r>
      <w:r>
        <w:t xml:space="preserve">candidates, the precondition for Theorem 2 to apply.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API call contract.</w:t>
      </w:r>
    </w:p>
    <w:p>
      <w:pPr>
        <w:pStyle w:val="Definition"/>
      </w:pPr>
      <w:r>
        <w:rPr>
          <w:rStyle w:val="VerbatimChar"/>
        </w:rPr>
        <w:t xml:space="preserve">ledger.post(account, amount, *, memo)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second positional,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required keyword-only</w:t>
      </w:r>
      <w:r>
        <w:t xml:space="preserve"> </w:t>
      </w:r>
      <w:r>
        <w:t xml:space="preserve">argument;</w:t>
      </w:r>
      <w:r>
        <w:t xml:space="preserve"> </w:t>
      </w:r>
      <w:r>
        <w:t xml:space="preserve">returns an integer entry id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</m:oMath>
      <w:r>
        <w:t xml:space="preserve">; raises</w:t>
      </w:r>
      <w:r>
        <w:t xml:space="preserve"> </w:t>
      </w:r>
      <w:r>
        <w:rPr>
          <w:rStyle w:val="VerbatimChar"/>
        </w:rPr>
        <w:t xml:space="preserve">ledger.PostError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/</w:t>
      </w:r>
      <w:r>
        <w:rPr>
          <w:rStyle w:val="VerbatimChar"/>
        </w:rPr>
        <w:t xml:space="preserve">KeyError</w:t>
      </w:r>
      <w:r>
        <w:t xml:space="preserve">) on failure.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wire-encoding invariant.</w:t>
      </w:r>
    </w:p>
    <w:p>
      <w:pPr>
        <w:pStyle w:val="Definition"/>
      </w:pPr>
      <w:r>
        <w:t xml:space="preserve">Amounts serialize to</w:t>
      </w:r>
      <w:r>
        <w:t xml:space="preserve"> </w:t>
      </w:r>
      <w:r>
        <w:rPr>
          <w:rStyle w:val="VerbatimChar"/>
        </w:rPr>
        <w:t xml:space="preserve">&lt;sign&gt;&lt;minor-unit-digits&gt;#&lt;check&gt;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sum of digits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r>
          <m:t>10</m:t>
        </m:r>
      </m:oMath>
      <w:r>
        <w:t xml:space="preserve">; e.g. $12.30</w:t>
      </w:r>
      <w:r>
        <w:t xml:space="preserve"> </w:t>
      </w:r>
      <m:oMath>
        <m:r>
          <m:rPr>
            <m:sty m:val="p"/>
          </m:rPr>
          <m:t>↦</m:t>
        </m:r>
      </m:oMath>
      <w:r>
        <w:t xml:space="preserve"> </w:t>
      </w:r>
      <w:r>
        <w:rPr>
          <w:rStyle w:val="VerbatimChar"/>
        </w:rPr>
        <w:t xml:space="preserve">"+1230#6"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$</m:t>
        </m:r>
        <m:r>
          <m:t>0.07</m:t>
        </m:r>
        <m:r>
          <m:rPr>
            <m:sty m:val="p"/>
          </m:rPr>
          <m:t>↦</m:t>
        </m:r>
      </m:oMath>
      <w:r>
        <w:t xml:space="preserve"> </w:t>
      </w:r>
      <w:r>
        <w:rPr>
          <w:rStyle w:val="VerbatimChar"/>
        </w:rPr>
        <w:t xml:space="preserve">"-7#7"</w:t>
      </w:r>
      <w:r>
        <w:t xml:space="preserve">. Decoding rejects a wrong check digit.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literal superset.</w:t>
      </w:r>
    </w:p>
    <w:p>
      <w:pPr>
        <w:pStyle w:val="Definition"/>
      </w:pP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the concatenation of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’s. As a deterministic source revealing both coordinates, it</w:t>
      </w:r>
      <w:r>
        <w:t xml:space="preserve"> </w:t>
      </w:r>
      <w:r>
        <w:t xml:space="preserve">Blackwell-dominates both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);</w:t>
      </w:r>
      <w:r>
        <w:t xml:space="preserve"> </w:t>
      </w:r>
      <w:r>
        <w:t xml:space="preserve">it is the anti-monotonicity / dominance probe. We also use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first) as an order control.</w:t>
      </w:r>
    </w:p>
    <w:bookmarkStart w:id="66" w:name="why-incomparable-garbling-argument."/>
    <w:p>
      <w:pPr>
        <w:pStyle w:val="Heading4"/>
      </w:pPr>
      <w:r>
        <w:t xml:space="preserve">Why incomparable (garbling argument).</w:t>
      </w:r>
    </w:p>
    <w:p>
      <w:pPr>
        <w:pStyle w:val="FirstParagraph"/>
      </w:pPr>
      <w:r>
        <w:t xml:space="preserve">The argument is simple. From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wire format you cannot recover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private argument order,</w:t>
      </w:r>
      <w:r>
        <w:t xml:space="preserve"> </w:t>
      </w:r>
      <w:r>
        <w:t xml:space="preserve">its required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keyword, or its error type;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contract you cannot recover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cents scale, its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separator, or its mod-10 check. Each source states a fact the</w:t>
      </w:r>
      <w:r>
        <w:t xml:space="preserve"> </w:t>
      </w:r>
      <w:r>
        <w:t xml:space="preserve">other leaves out, so neither is a blurred copy of the other, 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incomparable. This</w:t>
      </w:r>
      <w:r>
        <w:t xml:space="preserve"> </w:t>
      </w:r>
      <w:r>
        <w:t xml:space="preserve">is exactly the coordinate picture of §3: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reveal different,</w:t>
      </w:r>
      <w:r>
        <w:t xml:space="preserve"> </w:t>
      </w:r>
      <w:r>
        <w:t xml:space="preserve">non-overlapping facts about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(Lemma 1).</w:t>
      </w:r>
    </w:p>
    <w:bookmarkEnd w:id="66"/>
    <w:bookmarkStart w:id="67" w:name="confound-defense-the-double-crossover."/>
    <w:p>
      <w:pPr>
        <w:pStyle w:val="Heading4"/>
      </w:pPr>
      <w:r>
        <w:t xml:space="preserve">Confound defense: the double crossover.</w:t>
      </w:r>
    </w:p>
    <w:p>
      <w:pPr>
        <w:pStyle w:val="FirstParagraph"/>
      </w:pPr>
      <w:r>
        <w:t xml:space="preserve">The key pattern is a</w:t>
      </w:r>
      <w:r>
        <w:t xml:space="preserve"> </w:t>
      </w:r>
      <w:r>
        <w:rPr>
          <w:i/>
          <w:iCs/>
        </w:rPr>
        <w:t xml:space="preserve">double crossover</w:t>
      </w:r>
      <w:r>
        <w:t xml:space="preserve">, measured against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(no note</w:t>
      </w:r>
      <w:r>
        <w:t xml:space="preserve"> </w:t>
      </w:r>
      <w:r>
        <w:t xml:space="preserve">supplied):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raises the API tasks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encoding task,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raises the</w:t>
      </w:r>
      <w:r>
        <w:t xml:space="preserve"> </w:t>
      </w:r>
      <w:r>
        <w:t xml:space="preserve">encoding task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API tasks. If encoding were simply</w:t>
      </w:r>
      <w:r>
        <w:t xml:space="preserve"> </w:t>
      </w:r>
      <w:r>
        <w:t xml:space="preserve">“harder,”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would fail to</w:t>
      </w:r>
      <w:r>
        <w:t xml:space="preserve"> </w:t>
      </w:r>
      <w:r>
        <w:t xml:space="preserve">help it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would still have to raise it from the same floor. In the clean carrying cells the</w:t>
      </w:r>
      <w:r>
        <w:t xml:space="preserve"> </w:t>
      </w:r>
      <w:r>
        <w:t xml:space="preserve">deprived arms floor at or near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baseline, so the two task families are equally hard on</w:t>
      </w:r>
      <w:r>
        <w:t xml:space="preserve"> </w:t>
      </w:r>
      <w:r>
        <w:t xml:space="preserve">their own and any difference comes from the matching private fact, not from one family being harder;</w:t>
      </w:r>
      <w:r>
        <w:t xml:space="preserve"> </w:t>
      </w:r>
      <w:r>
        <w:t xml:space="preserve">when a model prior leaks a convention (Table A1), we report that leakage explicitly and</w:t>
      </w:r>
      <w:r>
        <w:t xml:space="preserve"> </w:t>
      </w:r>
      <w:r>
        <w:t xml:space="preserve">do not use those cells for claims that require a near-zero baseline.</w:t>
      </w:r>
    </w:p>
    <w:bookmarkEnd w:id="67"/>
    <w:bookmarkEnd w:id="68"/>
    <w:bookmarkStart w:id="71" w:name="sec:tasks"/>
    <w:p>
      <w:pPr>
        <w:pStyle w:val="Heading2"/>
      </w:pPr>
      <w:r>
        <w:t xml:space="preserve">Tasks</w:t>
      </w:r>
    </w:p>
    <w:p>
      <w:pPr>
        <w:pStyle w:val="FirstParagraph"/>
      </w:pPr>
      <w:r>
        <w:t xml:space="preserve">The full design comprises seven tasks with stub-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verifiers (return code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</m:oMath>
      <w:r>
        <w:t xml:space="preserve"> </w:t>
      </w:r>
      <w:r>
        <w:t xml:space="preserve">PASS):</w:t>
      </w:r>
      <w:r>
        <w:t xml:space="preserve"> </w:t>
      </w:r>
      <w:r>
        <w:t xml:space="preserve">four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-decisive API tasks (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api_error_type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api_memo_required</w:t>
      </w:r>
      <w:r>
        <w:t xml:space="preserve">), two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-decisive encoding tasks (</w:t>
      </w:r>
      <w:r>
        <w:rPr>
          <w:rStyle w:val="VerbatimChar"/>
        </w:rPr>
        <w:t xml:space="preserve">enc_amount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dec_amount</w:t>
      </w:r>
      <w:r>
        <w:t xml:space="preserve">),</w:t>
      </w:r>
      <w:r>
        <w:t xml:space="preserve"> </w:t>
      </w:r>
      <w:r>
        <w:t xml:space="preserve">and one relevance trap (</w:t>
      </w:r>
      <w:r>
        <w:rPr>
          <w:rStyle w:val="VerbatimChar"/>
        </w:rPr>
        <w:t xml:space="preserve">trap_store_wire</w:t>
      </w:r>
      <w:r>
        <w:t xml:space="preserve">). The verifier stubs a fake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that</w:t>
      </w:r>
      <w:r>
        <w:t xml:space="preserve"> </w:t>
      </w:r>
      <w:r>
        <w:t xml:space="preserve">accepts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exact private contract (rejecting wrong positional order, a missing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, or the wrong exception type).</w:t>
      </w:r>
    </w:p>
    <w:bookmarkStart w:id="69" w:name="verified-battery."/>
    <w:p>
      <w:pPr>
        <w:pStyle w:val="Heading4"/>
      </w:pPr>
      <w:r>
        <w:t xml:space="preserve">Verified battery.</w:t>
      </w:r>
    </w:p>
    <w:p>
      <w:pPr>
        <w:pStyle w:val="FirstParagraph"/>
      </w:pPr>
      <w:r>
        <w:t xml:space="preserve">The verified runs use a fixed four-cell battery: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(hardened so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arrives through a parameter, forcing reliance on the keyword-only fact),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and the trap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. We disclose this reduction explicitly:</w:t>
      </w:r>
      <w:r>
        <w:t xml:space="preserve"> </w:t>
      </w:r>
      <w:r>
        <w:t xml:space="preserve">the three remaining designed cells (</w:t>
      </w:r>
      <w:r>
        <w:rPr>
          <w:rStyle w:val="VerbatimChar"/>
        </w:rPr>
        <w:t xml:space="preserve">api_error_type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api_memo_required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dec_amount</w:t>
      </w:r>
      <w:r>
        <w:t xml:space="preserve">) are not part of the verified battery. The four-cell selection was made to</w:t>
      </w:r>
      <w:r>
        <w:t xml:space="preserve"> </w:t>
      </w:r>
      <w:r>
        <w:t xml:space="preserve">retain at least one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-decisive, one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-decisive, and the trap cell while keeping the</w:t>
      </w:r>
      <w:r>
        <w:t xml:space="preserve"> </w:t>
      </w:r>
      <w:r>
        <w:t xml:space="preserve">cross-model spend tractable; we report below that this is best understood as a fixed adversarial</w:t>
      </w:r>
      <w:r>
        <w:t xml:space="preserve"> </w:t>
      </w:r>
      <w:r>
        <w:t xml:space="preserve">four-cell battery, not a sampled task distribution, and we state the effective support of the</w:t>
      </w:r>
      <w:r>
        <w:t xml:space="preserve"> </w:t>
      </w:r>
      <w:r>
        <w:t xml:space="preserve">deficiency surrogate accordingly (§7.4.1).</w:t>
      </w:r>
    </w:p>
    <w:bookmarkEnd w:id="69"/>
    <w:bookmarkStart w:id="70" w:name="the-relevance-trap."/>
    <w:p>
      <w:pPr>
        <w:pStyle w:val="Heading4"/>
      </w:pPr>
      <w:r>
        <w:t xml:space="preserve">The relevance trap.</w:t>
      </w:r>
    </w:p>
    <w:p>
      <w:pPr>
        <w:pStyle w:val="FirstParagraph"/>
      </w:pPr>
      <w:r>
        <w:t xml:space="preserve">The trap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is a constructed test of the topicality condition in Proposition 2. Its</w:t>
      </w:r>
      <w:r>
        <w:t xml:space="preserve"> </w:t>
      </w:r>
      <w:r>
        <w:t xml:space="preserve">prompt is lexically saturated with encoding vocabulary, so a</w:t>
      </w:r>
      <w:r>
        <w:t xml:space="preserve"> </w:t>
      </w:r>
      <w:r>
        <w:rPr>
          <w:i/>
          <w:iCs/>
        </w:rPr>
        <w:t xml:space="preserve">query-conditioned</w:t>
      </w:r>
      <w:r>
        <w:t xml:space="preserve"> </w:t>
      </w:r>
      <w:r>
        <w:t xml:space="preserve">lexical</w:t>
      </w:r>
      <w:r>
        <w:t xml:space="preserve"> </w:t>
      </w:r>
      <w:r>
        <w:t xml:space="preserve">relevance score ranks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but its graded requirement is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call contract (it must</w:t>
      </w:r>
      <w:r>
        <w:t xml:space="preserve"> </w:t>
      </w:r>
      <w:r>
        <w:t xml:space="preserve">post an already-encoded wire string through</w:t>
      </w:r>
      <w:r>
        <w:t xml:space="preserve"> </w:t>
      </w:r>
      <w:r>
        <w:rPr>
          <w:rStyle w:val="VerbatimChar"/>
        </w:rPr>
        <w:t xml:space="preserve">post</w:t>
      </w:r>
      <w:r>
        <w:t xml:space="preserve">), so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 This</w:t>
      </w:r>
      <w:r>
        <w:t xml:space="preserve"> </w:t>
      </w:r>
      <w:r>
        <w:t xml:space="preserve">defeats the query-conditioned relevance score practitioners actually use, not merely a</w:t>
      </w:r>
      <w:r>
        <w:t xml:space="preserve"> </w:t>
      </w:r>
      <w:r>
        <w:t xml:space="preserve">query-independent ranking. We measure relevance as bag-of-words cosine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a source and the task prompt, computed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model is run. We use lexical</w:t>
      </w:r>
      <w:r>
        <w:t xml:space="preserve"> </w:t>
      </w:r>
      <w:r>
        <w:t xml:space="preserve">cosine as the</w:t>
      </w:r>
      <w:r>
        <w:t xml:space="preserve"> </w:t>
      </w:r>
      <w:r>
        <w:rPr>
          <w:i/>
          <w:iCs/>
        </w:rPr>
        <w:t xml:space="preserve">minimal</w:t>
      </w:r>
      <w:r>
        <w:t xml:space="preserve"> </w:t>
      </w:r>
      <w:r>
        <w:t xml:space="preserve">instantiation of Proposition 2, the</w:t>
      </w:r>
      <w:r>
        <w:t xml:space="preserve"> </w:t>
      </w:r>
      <w:r>
        <w:t xml:space="preserve">cheapest member of the topical class; stronger learned rankers (dense bi-encoders, a</w:t>
      </w:r>
      <w:r>
        <w:t xml:space="preserve"> </w:t>
      </w:r>
      <w:r>
        <w:t xml:space="preserve">cross-encoder, and an LLM listwise reranker) are tested against the same trap separately in</w:t>
      </w:r>
      <w:r>
        <w:t xml:space="preserve"> </w:t>
      </w:r>
      <w:r>
        <w:t xml:space="preserve">§7.4.2, while the theorem (Theorem 2) is the general</w:t>
      </w:r>
      <w:r>
        <w:t xml:space="preserve"> </w:t>
      </w:r>
      <w:r>
        <w:t xml:space="preserve">claim for query-independent scalars.</w:t>
      </w:r>
    </w:p>
    <w:bookmarkEnd w:id="70"/>
    <w:bookmarkEnd w:id="71"/>
    <w:bookmarkStart w:id="83" w:name="sec:methodology"/>
    <w:p>
      <w:pPr>
        <w:pStyle w:val="Heading2"/>
      </w:pPr>
      <w:r>
        <w:t xml:space="preserve">Materials and Methods</w:t>
      </w:r>
    </w:p>
    <w:bookmarkStart w:id="72" w:name="models-and-vendors."/>
    <w:p>
      <w:pPr>
        <w:pStyle w:val="Heading4"/>
      </w:pPr>
      <w:r>
        <w:t xml:space="preserve">Models and vendors.</w:t>
      </w:r>
    </w:p>
    <w:p>
      <w:pPr>
        <w:pStyle w:val="FirstParagraph"/>
      </w:pPr>
      <w:r>
        <w:t xml:space="preserve">We evaluate six models across four vendors: Anthropic Haiku-4.5, Sonnet-4.6, and Opus-4.8; OpenAI</w:t>
      </w:r>
      <w:r>
        <w:t xml:space="preserve"> </w:t>
      </w:r>
      <w:r>
        <w:t xml:space="preserve">GPT-5.5; DeepSeek-V4-Pro; and Moonshot Kimi-K2.6. Nothing in this paper is trained or fine-tuned:</w:t>
      </w:r>
      <w:r>
        <w:t xml:space="preserve"> </w:t>
      </w:r>
      <w:r>
        <w:t xml:space="preserve">all six are fixed production systems accessed through their public APIs, so there are no training</w:t>
      </w:r>
      <w:r>
        <w:t xml:space="preserve"> </w:t>
      </w:r>
      <w:r>
        <w:t xml:space="preserve">or validation curves to report; the released measurement record, per-cell PASS tables, exact</w:t>
      </w:r>
      <w:r>
        <w:t xml:space="preserve"> </w:t>
      </w:r>
      <w:r>
        <w:t xml:space="preserve">intervals, and raw run logs, is the complete empirical object.</w:t>
      </w:r>
    </w:p>
    <w:bookmarkEnd w:id="72"/>
    <w:bookmarkStart w:id="74" w:name="harness-and-arms."/>
    <w:p>
      <w:pPr>
        <w:pStyle w:val="Heading4"/>
      </w:pPr>
      <w:r>
        <w:t xml:space="preserve">Harness and arms.</w:t>
      </w:r>
    </w:p>
    <w:p>
      <w:pPr>
        <w:pStyle w:val="FirstParagraph"/>
      </w:pPr>
      <w:r>
        <w:t xml:space="preserve">The harness (</w:t>
      </w:r>
      <w:r>
        <w:rPr>
          <w:rStyle w:val="VerbatimChar"/>
        </w:rPr>
        <w:t xml:space="preserve">harness/measure_blackwell.py</w:t>
      </w:r>
      <w:r>
        <w:t xml:space="preserve">; released with all run logs at</w:t>
      </w:r>
      <w:r>
        <w:t xml:space="preserve"> 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) is Python-standard-library only (zero</w:t>
      </w:r>
      <w:r>
        <w:t xml:space="preserve"> </w:t>
      </w:r>
      <w:r>
        <w:t xml:space="preserve">external dependencies); it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directions, the uniform</w:t>
      </w:r>
      <w:r>
        <w:t xml:space="preserve"> </w:t>
      </w:r>
      <w:r>
        <w:t xml:space="preserve">Clopper–Pearson/Bonferroni verification, the interference verification, and the lexical relevance</w:t>
      </w:r>
      <w:r>
        <w:t xml:space="preserve"> </w:t>
      </w:r>
      <w:r>
        <w:t xml:space="preserve">score, and it implements the launchers for the Anthropic CLI, the Azure Responses API, and</w:t>
      </w:r>
      <w:r>
        <w:t xml:space="preserve"> </w:t>
      </w:r>
      <w:r>
        <w:t xml:space="preserve">OpenAI-compatible chat completions. Each cell is run under the arms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. PASS is measured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completions per cell.</w:t>
      </w:r>
    </w:p>
    <w:bookmarkEnd w:id="74"/>
    <w:bookmarkStart w:id="75" w:name="one-turn-budget-two-transports."/>
    <w:p>
      <w:pPr>
        <w:pStyle w:val="Heading4"/>
      </w:pPr>
      <w:r>
        <w:t xml:space="preserve">One turn budget, two transports.</w:t>
      </w:r>
    </w:p>
    <w:p>
      <w:pPr>
        <w:pStyle w:val="FirstParagraph"/>
      </w:pPr>
      <w:r>
        <w:t xml:space="preserve">Every model gets a single completion per attempt, from which we extract the candidate code and</w:t>
      </w:r>
      <w:r>
        <w:t xml:space="preserve"> </w:t>
      </w:r>
      <w:r>
        <w:t xml:space="preserve">grade it. The transport is not the same for all six. The Anthropic models are reached through</w:t>
      </w:r>
      <w:r>
        <w:t xml:space="preserve"> </w:t>
      </w:r>
      <w:r>
        <w:rPr>
          <w:rStyle w:val="VerbatimChar"/>
        </w:rPr>
        <w:t xml:space="preserve">claude -p</w:t>
      </w:r>
      <w:r>
        <w:t xml:space="preserve"> </w:t>
      </w:r>
      <w:r>
        <w:t xml:space="preserve">with a one-turn budget and no tools; the other three through an OpenAI-style</w:t>
      </w:r>
      <w:r>
        <w:t xml:space="preserve"> </w:t>
      </w:r>
      <w:r>
        <w:t xml:space="preserve">HTTP call the harness composes itself. What this matches across vendors is the</w:t>
      </w:r>
      <w:r>
        <w:t xml:space="preserve"> </w:t>
      </w:r>
      <w:r>
        <w:rPr>
          <w:i/>
          <w:iCs/>
        </w:rPr>
        <w:t xml:space="preserve">turn budget</w:t>
      </w:r>
      <w:r>
        <w:t xml:space="preserve">:</w:t>
      </w:r>
      <w:r>
        <w:t xml:space="preserve"> </w:t>
      </w:r>
      <w:r>
        <w:t xml:space="preserve">one pass, no agentic exploration, so the model must use what it is given. What it does not match</w:t>
      </w:r>
      <w:r>
        <w:t xml:space="preserve"> </w:t>
      </w:r>
      <w:r>
        <w:t xml:space="preserve">is the request. The command-line path carries that tool’s own system prompt, which the harness</w:t>
      </w:r>
      <w:r>
        <w:t xml:space="preserve"> </w:t>
      </w:r>
      <w:r>
        <w:t xml:space="preserve">neither sets nor observes, while the HTTP path carries only the task prompt. A between-vendor</w:t>
      </w:r>
      <w:r>
        <w:t xml:space="preserve"> </w:t>
      </w:r>
      <w:r>
        <w:t xml:space="preserve">difference in this table is therefore a difference between (model, transport) pairs, and the</w:t>
      </w:r>
      <w:r>
        <w:t xml:space="preserve"> </w:t>
      </w:r>
      <w:r>
        <w:t xml:space="preserve">transport split falls exactly along the Anthropic / non-Anthropic line, so we do not read the</w:t>
      </w:r>
      <w:r>
        <w:t xml:space="preserve"> </w:t>
      </w:r>
      <w:r>
        <w:t xml:space="preserve">cross-vendor</w:t>
      </w:r>
      <w:r>
        <w:t xml:space="preserve"> </w:t>
      </w:r>
      <w:r>
        <w:rPr>
          <w:i/>
          <w:iCs/>
        </w:rPr>
        <w:t xml:space="preserve">magnitudes</w:t>
      </w:r>
      <w:r>
        <w:t xml:space="preserve"> </w:t>
      </w:r>
      <w:r>
        <w:t xml:space="preserve">as properties of the models alone (§8.4).</w:t>
      </w:r>
      <w:r>
        <w:t xml:space="preserve"> </w:t>
      </w:r>
      <w:r>
        <w:t xml:space="preserve">The claims the paper verifies are within-model comparisons between arms, where the transport is</w:t>
      </w:r>
      <w:r>
        <w:t xml:space="preserve"> </w:t>
      </w:r>
      <w:r>
        <w:t xml:space="preserve">held fixed and cancels.</w:t>
      </w:r>
    </w:p>
    <w:bookmarkEnd w:id="75"/>
    <w:bookmarkStart w:id="76" w:name="statistical-reporting."/>
    <w:p>
      <w:pPr>
        <w:pStyle w:val="Heading4"/>
      </w:pPr>
      <w:r>
        <w:t xml:space="preserve">Statistical reporting.</w:t>
      </w:r>
    </w:p>
    <w:p>
      <w:pPr>
        <w:pStyle w:val="FirstParagraph"/>
      </w:pPr>
      <w:r>
        <w:t xml:space="preserve">Each cell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independent completions scored by an executable verifier, summarised as a</w:t>
      </w:r>
      <w:r>
        <w:t xml:space="preserve"> </w:t>
      </w:r>
      <w:r>
        <w:t xml:space="preserve">count. Uncertainty is carried by exact Clopper–Pearson intervals rather than a normal</w:t>
      </w:r>
      <w:r>
        <w:t xml:space="preserve"> </w:t>
      </w:r>
      <w:r>
        <w:t xml:space="preserve">approximation, which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 proportions near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where the approximation is worst</w:t>
      </w:r>
      <w:r>
        <w:t xml:space="preserve"> </w:t>
      </w:r>
      <w:r>
        <w:t xml:space="preserve">(). Multiplicity is paid explicitly by a union bound whose family is stated</w:t>
      </w:r>
      <w:r>
        <w:t xml:space="preserve"> </w:t>
      </w:r>
      <w:r>
        <w:t xml:space="preserve">with each claim: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intervals for an incomparability verification</w:t>
      </w:r>
      <w:r>
        <w:t xml:space="preserve"> </w:t>
      </w:r>
      <w:r>
        <w:t xml:space="preserve">(Proposition 3), two endpoints for a harm contrast</w:t>
      </w:r>
      <w:r>
        <w:t xml:space="preserve"> </w:t>
      </w:r>
      <w:r>
        <w:t xml:space="preserve">(Proposition 4). No result is reported as significant without naming the</w:t>
      </w:r>
      <w:r>
        <w:t xml:space="preserve"> </w:t>
      </w:r>
      <w:r>
        <w:t xml:space="preserve">family it was corrected in, and §6.5 states which conjunctions are controlled</w:t>
      </w:r>
      <w:r>
        <w:t xml:space="preserve"> </w:t>
      </w:r>
      <w:r>
        <w:t xml:space="preserve">jointly and which only marginally. We report no</w:t>
      </w:r>
      <w:r>
        <w:t xml:space="preserve"> </w:t>
      </w:r>
      <m:oMath>
        <m:r>
          <m:t>p</m:t>
        </m:r>
      </m:oMath>
      <w:r>
        <w:t xml:space="preserve">-values and fit no model to the data.</w:t>
      </w:r>
    </w:p>
    <w:bookmarkEnd w:id="76"/>
    <w:bookmarkStart w:id="77" w:name="reproducibility-artifacts."/>
    <w:p>
      <w:pPr>
        <w:pStyle w:val="Heading4"/>
      </w:pPr>
      <w:r>
        <w:t xml:space="preserve">Reproducibility artifacts.</w:t>
      </w:r>
    </w:p>
    <w:p>
      <w:pPr>
        <w:pStyle w:val="FirstParagraph"/>
      </w:pPr>
      <w:r>
        <w:t xml:space="preserve">The measurement harness, every per-cell run log, every result file and the analysis scripts are</w:t>
      </w:r>
      <w:r>
        <w:t xml:space="preserve"> </w:t>
      </w:r>
      <w:r>
        <w:t xml:space="preserve">released (Data Availability Statement).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pins each record by SHA-256</w:t>
      </w:r>
      <w:r>
        <w:t xml:space="preserve"> </w:t>
      </w:r>
      <w:r>
        <w:t xml:space="preserve">and maps every table and figure to the files it is computed from, and</w:t>
      </w:r>
      <w:r>
        <w:t xml:space="preserve"> </w:t>
      </w:r>
      <w:r>
        <w:rPr>
          <w:rStyle w:val="VerbatimChar"/>
        </w:rPr>
        <w:t xml:space="preserve">harness/diag/check_regimes.py</w:t>
      </w:r>
      <w:r>
        <w:t xml:space="preserve"> </w:t>
      </w:r>
      <w:r>
        <w:t xml:space="preserve">reports the transport and turn budget of each cited run</w:t>
      </w:r>
      <w:r>
        <w:t xml:space="preserve"> </w:t>
      </w:r>
      <w:r>
        <w:t xml:space="preserve">with the evidence for it. Appendix E gives the decoding configuration, the retry and</w:t>
      </w:r>
      <w:r>
        <w:t xml:space="preserve"> </w:t>
      </w:r>
      <w:r>
        <w:t xml:space="preserve">outage policy, and the cells that were re-measured, with why.</w:t>
      </w:r>
    </w:p>
    <w:bookmarkEnd w:id="77"/>
    <w:bookmarkStart w:id="78" w:name="what-verified-means-in-plain-terms."/>
    <w:p>
      <w:pPr>
        <w:pStyle w:val="Heading4"/>
      </w:pPr>
      <w:r>
        <w:t xml:space="preserve">What</w:t>
      </w:r>
      <w:r>
        <w:t xml:space="preserve"> </w:t>
      </w:r>
      <w:r>
        <w:t xml:space="preserve">“verified”</w:t>
      </w:r>
      <w:r>
        <w:t xml:space="preserve"> </w:t>
      </w:r>
      <w:r>
        <w:t xml:space="preserve">means, in plain terms.</w:t>
      </w:r>
    </w:p>
    <w:p>
      <w:pPr>
        <w:pStyle w:val="FirstParagraph"/>
      </w:pPr>
      <w:r>
        <w:t xml:space="preserve">Every claim labeled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is statistically significant in the standard sense and then</w:t>
      </w:r>
      <w:r>
        <w:t xml:space="preserve"> </w:t>
      </w:r>
      <w:r>
        <w:t xml:space="preserve">corrected for multiplicity: PASS rates are estimated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independent completions per cell,</w:t>
      </w:r>
      <w:r>
        <w:t xml:space="preserve"> </w:t>
      </w:r>
      <w:r>
        <w:t xml:space="preserve">uncertainty is carried by exact binomial (Clopper–Pearson) confidence intervals under the</w:t>
      </w:r>
      <w:r>
        <w:t xml:space="preserve"> </w:t>
      </w:r>
      <w:r>
        <w:t xml:space="preserve">per-cell Bernoulli model of Assumption 2, and each family of claims is corrected by a</w:t>
      </w:r>
      <w:r>
        <w:t xml:space="preserve"> </w:t>
      </w:r>
      <w:r>
        <w:t xml:space="preserve">union bound, so the</w:t>
      </w:r>
      <w:r>
        <w:t xml:space="preserve"> </w:t>
      </w:r>
      <w:r>
        <w:t xml:space="preserve">statements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family (all incomparability cells, or the arms of one interference</w:t>
      </w:r>
      <w:r>
        <w:t xml:space="preserve"> </w:t>
      </w:r>
      <w:r>
        <w:t xml:space="preserve">contrast) hold jointly with probability at least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. We do not claim joint control across</w:t>
      </w:r>
      <w:r>
        <w:t xml:space="preserve"> </w:t>
      </w:r>
      <w:r>
        <w:t xml:space="preserve">families drawn from the same run; that limitation is stated where it bites</w:t>
      </w:r>
      <w:r>
        <w:t xml:space="preserve"> </w:t>
      </w:r>
      <w:r>
        <w:t xml:space="preserve">(§6.5). For the effect sizes at stake, near-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versus near-</w:t>
      </w:r>
      <m:oMath>
        <m:r>
          <m:t>100</m:t>
        </m:r>
        <m:r>
          <m:rPr>
            <m:sty m:val="p"/>
          </m:rPr>
          <m:t>%</m:t>
        </m:r>
      </m:oMath>
      <w:r>
        <w:t xml:space="preserve">,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intervals stay separated by a wide margin even after correction.</w:t>
      </w:r>
      <w:r>
        <w:t xml:space="preserve"> </w:t>
      </w:r>
      <w:r>
        <w:t xml:space="preserve">Results whose intervals did not separate are labeled</w:t>
      </w:r>
      <w:r>
        <w:t xml:space="preserve"> </w:t>
      </w:r>
      <w:r>
        <w:rPr>
          <w:i/>
          <w:iCs/>
        </w:rPr>
        <w:t xml:space="preserve">reproduced but not verified</w:t>
      </w:r>
      <w:r>
        <w:t xml:space="preserve"> </w:t>
      </w:r>
      <w:r>
        <w:t xml:space="preserve">and are</w:t>
      </w:r>
      <w:r>
        <w:t xml:space="preserve"> </w:t>
      </w:r>
      <w:r>
        <w:t xml:space="preserve">never used as evidence; the protocol reports its own insufficiency rather than hiding it.</w:t>
      </w:r>
    </w:p>
    <w:bookmarkEnd w:id="78"/>
    <w:bookmarkStart w:id="79" w:name="verification-parameters."/>
    <w:p>
      <w:pPr>
        <w:pStyle w:val="Heading4"/>
      </w:pPr>
      <w:r>
        <w:t xml:space="preserve">Verification parameters.</w:t>
      </w:r>
    </w:p>
    <w:p>
      <w:pPr>
        <w:pStyle w:val="FirstParagraph"/>
      </w:pPr>
      <w:r>
        <w:t xml:space="preserve">All verifications use confidence budget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. Incomparability uses exact Clopper–Pearson</w:t>
      </w:r>
      <w:r>
        <w:t xml:space="preserve"> </w:t>
      </w:r>
      <w:r>
        <w:t xml:space="preserve">intervals at per-cell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over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proportions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 so by the union bound all hold jointly with 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and both directions read off the same intervals. The harm verification uses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on the two arms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and the threshold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, verifying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via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r>
              <m:t>T</m:t>
            </m:r>
          </m:sub>
        </m:sSub>
      </m:oMath>
      <w:r>
        <w:t xml:space="preserve">; the four-term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reported descriptively only</w:t>
      </w:r>
      <w:r>
        <w:t xml:space="preserve"> </w:t>
      </w:r>
      <w:r>
        <w:t xml:space="preserve">(Remark 9). We report each verification as marginally controlled at</w:t>
      </w:r>
      <w:r>
        <w:t xml:space="preserve"> </w:t>
      </w:r>
      <m:oMath>
        <m:r>
          <m:t>η</m:t>
        </m:r>
      </m:oMath>
      <w:r>
        <w:t xml:space="preserve">; we do not</w:t>
      </w:r>
      <w:r>
        <w:t xml:space="preserve"> </w:t>
      </w:r>
      <w:r>
        <w:t xml:space="preserve">claim joint family-wise control across the incomparability, dominance, and interference claims drawn</w:t>
      </w:r>
      <w:r>
        <w:t xml:space="preserve"> </w:t>
      </w:r>
      <w:r>
        <w:t xml:space="preserve">from a single run (§6.5, §8.4).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interval becomes one-sided but does not degenerate to a point: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 the level Figure</w:t>
      </w:r>
      <w:r>
        <w:t xml:space="preserve"> </w:t>
      </w:r>
      <w:r>
        <w:t xml:space="preserve">1 uses,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 </m:t>
        </m:r>
        <m:r>
          <m:t>0.128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0.872</m:t>
        </m:r>
        <m:r>
          <m:rPr>
            <m:sty m:val="p"/>
          </m:rPr>
          <m:t>,</m:t>
        </m:r>
        <m:r>
          <m:t> </m:t>
        </m:r>
        <m:r>
          <m:t>1</m:t>
        </m:r>
        <m:r>
          <m:rPr>
            <m:sty m:val="p"/>
          </m:rPr>
          <m:t>]</m:t>
        </m:r>
      </m:oMath>
      <w:r>
        <w:t xml:space="preserve">. It is that</w:t>
      </w:r>
      <w:r>
        <w:t xml:space="preserve"> </w:t>
      </w:r>
      <w:r>
        <w:t xml:space="preserve">residual width the crossing must beat, which is why the stark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cells verify at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cells with intermediate proportions need a 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the same margin.</w:t>
      </w:r>
    </w:p>
    <w:bookmarkEnd w:id="79"/>
    <w:bookmarkStart w:id="80" w:name="why-these-constants."/>
    <w:p>
      <w:pPr>
        <w:pStyle w:val="Heading4"/>
      </w:pPr>
      <w:r>
        <w:t xml:space="preserve">Why these constants.</w:t>
      </w:r>
    </w:p>
    <w:p>
      <w:pPr>
        <w:pStyle w:val="FirstParagraph"/>
      </w:pPr>
      <w:r>
        <w:t xml:space="preserve">Both constants were fixed before the runs and neither is load-bearing.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conventional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family level; the headline separations are near-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against near-</w:t>
      </w:r>
      <m:oMath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so the verified conclusions are not sensitive to tightening it.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is an a priori</w:t>
      </w:r>
      <w:r>
        <w:t xml:space="preserve"> </w:t>
      </w:r>
      <w:r>
        <w:t xml:space="preserve">materiality threshold: to count, interference must destroy at least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PASS points, well above</w:t>
      </w:r>
      <w:r>
        <w:t xml:space="preserve"> </w:t>
      </w:r>
      <w:r>
        <w:t xml:space="preserve">the interval widths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, so noise cannot clear it. The data show the threshold doing real</w:t>
      </w:r>
      <w:r>
        <w:t xml:space="preserve"> </w:t>
      </w:r>
      <w:r>
        <w:t xml:space="preserve">work. The verified collapses clear it with upper confidence bounds from</w:t>
      </w:r>
      <w:r>
        <w:t xml:space="preserve"> </w:t>
      </w:r>
      <m:oMath>
        <m:r>
          <m:rPr>
            <m:sty m:val="p"/>
          </m:rPr>
          <m:t>−</m:t>
        </m:r>
        <m:r>
          <m:t>0.38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0.85</m:t>
        </m:r>
      </m:oMath>
      <w:r>
        <w:t xml:space="preserve"> </w:t>
      </w:r>
      <w:r>
        <w:t xml:space="preserve">(Table 4), and the character-matched padding control clears it at</w:t>
      </w:r>
      <w:r>
        <w:t xml:space="preserve"> </w:t>
      </w:r>
      <m:oMath>
        <m:r>
          <m:rPr>
            <m:sty m:val="p"/>
          </m:rPr>
          <m:t>−</m:t>
        </m:r>
        <m:r>
          <m:t>0.67</m:t>
        </m:r>
      </m:oMath>
      <w:r>
        <w:t xml:space="preserve">. One</w:t>
      </w:r>
      <w:r>
        <w:t xml:space="preserve"> </w:t>
      </w:r>
      <w:r>
        <w:t xml:space="preserve">real effect fails it and is reported as unverified rather than folded in: Haiku’s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cell (upper</w:t>
      </w:r>
      <w:r>
        <w:t xml:space="preserve"> </w:t>
      </w:r>
      <m:oMath>
        <m:r>
          <m:rPr>
            <m:sty m:val="p"/>
          </m:rPr>
          <m:t>−</m:t>
        </m:r>
        <m:r>
          <m:t>0.11</m:t>
        </m:r>
      </m:oMath>
      <w:r>
        <w:t xml:space="preserve">; a ceiling the raw-failure audit traces to an omitted</w:t>
      </w:r>
      <w:r>
        <w:t xml:space="preserve"> </w:t>
      </w:r>
      <w:r>
        <w:t xml:space="preserve">import line, not to the contract, ), which still falls short at</w:t>
      </w:r>
      <w:r>
        <w:t xml:space="preserve"> </w:t>
      </w:r>
      <m:oMath>
        <m:r>
          <m:rPr>
            <m:sty m:val="p"/>
          </m:rPr>
          <m:t>−</m:t>
        </m:r>
        <m:r>
          <m:t>0.26</m:t>
        </m:r>
      </m:oMath>
      <w:r>
        <w:t xml:space="preserve"> </w:t>
      </w:r>
      <w:r>
        <w:t xml:space="preserve">once the import is neutralized. A threshold that a genuine effect fails is evidence it was not</w:t>
      </w:r>
      <w:r>
        <w:t xml:space="preserve"> </w:t>
      </w:r>
      <w:r>
        <w:t xml:space="preserve">tuned to pass the data. We note that the second-pair contrast, reported in an earlier version as</w:t>
      </w:r>
      <w:r>
        <w:t xml:space="preserve"> </w:t>
      </w:r>
      <w:r>
        <w:t xml:space="preserve">sign-only, clears the margin at</w:t>
      </w:r>
      <w:r>
        <w:t xml:space="preserve"> </w:t>
      </w:r>
      <m:oMath>
        <m:r>
          <m:rPr>
            <m:sty m:val="p"/>
          </m:rPr>
          <m:t>−</m:t>
        </m:r>
        <m:r>
          <m:t>0.33</m:t>
        </m:r>
      </m:oMath>
      <w:r>
        <w:t xml:space="preserve"> </w:t>
      </w:r>
      <w:r>
        <w:t xml:space="preserve">once the confidence budget is allocated correctly</w:t>
      </w:r>
      <w:r>
        <w:t xml:space="preserve"> </w:t>
      </w:r>
      <w:r>
        <w:t xml:space="preserve">(§7.5); the earlier shortfall was an artifact of spending two-sided</w:t>
      </w:r>
      <w:r>
        <w:t xml:space="preserve"> </w:t>
      </w:r>
      <w:r>
        <w:t xml:space="preserve">intervals on a one-sided bound, not a property of that effect.</w:t>
      </w:r>
    </w:p>
    <w:bookmarkEnd w:id="80"/>
    <w:bookmarkStart w:id="81" w:name="what-the-intervals-do-not-cover."/>
    <w:p>
      <w:pPr>
        <w:pStyle w:val="Heading4"/>
      </w:pPr>
      <w:r>
        <w:t xml:space="preserve">What the intervals do not cover.</w:t>
      </w:r>
    </w:p>
    <w:p>
      <w:pPr>
        <w:pStyle w:val="FirstParagraph"/>
      </w:pPr>
      <w:r>
        <w:t xml:space="preserve">The Clopper–Pearson intervals carry sampling error under Assumption 2, a fixed</w:t>
      </w:r>
      <w:r>
        <w:t xml:space="preserve"> </w:t>
      </w:r>
      <w:r>
        <w:t xml:space="preserve">success probability per cell. They carry nothing else, and two components outside them are larger</w:t>
      </w:r>
      <w:r>
        <w:t xml:space="preserve"> </w:t>
      </w:r>
      <w:r>
        <w:t xml:space="preserve">than they are.</w:t>
      </w:r>
      <w:r>
        <w:t xml:space="preserve"> </w:t>
      </w:r>
      <w:r>
        <w:rPr>
          <w:i/>
          <w:iCs/>
        </w:rPr>
        <w:t xml:space="preserve">Model drift</w:t>
      </w:r>
      <w:r>
        <w:t xml:space="preserve">: the re-measurement of moved Opus’s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superset arm from</w:t>
      </w:r>
      <w:r>
        <w:t xml:space="preserve"> </w:t>
      </w:r>
      <m:oMath>
        <m:r>
          <m:t>38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t xml:space="preserve">and DeepSeek’s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from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43</m:t>
        </m:r>
        <m:r>
          <m:rPr>
            <m:sty m:val="p"/>
          </m:rPr>
          <m:t>%</m:t>
        </m:r>
      </m:oMath>
      <w:r>
        <w:t xml:space="preserve">, both far outside the nominal intervals for those cells, and Sonnet’s failure mode changed</w:t>
      </w:r>
      <w:r>
        <w:t xml:space="preserve"> </w:t>
      </w:r>
      <w:r>
        <w:t xml:space="preserve">category entirely.</w:t>
      </w:r>
      <w:r>
        <w:t xml:space="preserve"> </w:t>
      </w:r>
      <w:r>
        <w:rPr>
          <w:i/>
          <w:iCs/>
        </w:rPr>
        <w:t xml:space="preserve">Prompt wording</w:t>
      </w:r>
      <w:r>
        <w:t xml:space="preserve">: the raw-failure audit traces a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52</m:t>
        </m:r>
        <m:r>
          <m:rPr>
            <m:sty m:val="p"/>
          </m:rPr>
          <m:t>%</m:t>
        </m:r>
      </m:oMath>
      <w:r>
        <w:t xml:space="preserve"> </w:t>
      </w:r>
      <w:r>
        <w:t xml:space="preserve">swing on</w:t>
      </w:r>
      <w:r>
        <w:t xml:space="preserve"> </w:t>
      </w:r>
      <w:r>
        <w:t xml:space="preserve">one cell to the prompt naming the call as</w:t>
      </w:r>
      <w:r>
        <w:t xml:space="preserve"> </w:t>
      </w:r>
      <w:r>
        <w:rPr>
          <w:rStyle w:val="VerbatimChar"/>
        </w:rPr>
        <w:t xml:space="preserve">ledger.post</w:t>
      </w:r>
      <w:r>
        <w:t xml:space="preserve">, an effect an order of magnitude</w:t>
      </w:r>
      <w:r>
        <w:t xml:space="preserve"> </w:t>
      </w:r>
      <w:r>
        <w:t xml:space="preserve">wider than any interval here, and each cell has exactly one prompt, so this component is not</w:t>
      </w:r>
      <w:r>
        <w:t xml:space="preserve"> </w:t>
      </w:r>
      <w:r>
        <w:t xml:space="preserve">modelled at all. Every verified quantity is therefore an inference about a</w:t>
      </w:r>
      <w:r>
        <w:t xml:space="preserve"> </w:t>
      </w:r>
      <w:r>
        <w:t xml:space="preserve">(model snapshot, prompt, default decoder) triple, indexed by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(§3.3), and</w:t>
      </w:r>
      <w:r>
        <w:t xml:space="preserve"> </w:t>
      </w:r>
      <w:r>
        <w:t xml:space="preserve">not a property of a vendor’s model line. The estimates apply to the evaluated model snapshot,</w:t>
      </w:r>
      <w:r>
        <w:t xml:space="preserve"> </w:t>
      </w:r>
      <w:r>
        <w:t xml:space="preserve">prompt and decoder configuration, and we read them as a</w:t>
      </w:r>
      <w:r>
        <w:t xml:space="preserve"> </w:t>
      </w:r>
      <w:r>
        <w:t xml:space="preserve">weakness: the re-measurement bounds the drift component empirically, and the direction of every</w:t>
      </w:r>
      <w:r>
        <w:t xml:space="preserve"> </w:t>
      </w:r>
      <w:r>
        <w:t xml:space="preserve">verdict survived it.</w:t>
      </w:r>
    </w:p>
    <w:bookmarkEnd w:id="81"/>
    <w:bookmarkStart w:id="82" w:name="sampling-regime."/>
    <w:p>
      <w:pPr>
        <w:pStyle w:val="Heading4"/>
      </w:pPr>
      <w:r>
        <w:t xml:space="preserve">Sampling regime.</w:t>
      </w:r>
    </w:p>
    <w:p>
      <w:pPr>
        <w:pStyle w:val="FirstParagraph"/>
      </w:pPr>
      <w:r>
        <w:t xml:space="preserve">The verification models each cell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Bernoulli PASS draws (Assumption 2); the four</w:t>
      </w:r>
      <w:r>
        <w:t xml:space="preserve"> </w:t>
      </w:r>
      <w:r>
        <w:t xml:space="preserve">arms within a cell are separate completions, and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is an independent call with no</w:t>
      </w:r>
      <w:r>
        <w:t xml:space="preserve"> </w:t>
      </w:r>
      <w:r>
        <w:t xml:space="preserve">shared state. We report the decoding parameters, seeding</w:t>
      </w:r>
      <w:r>
        <w:t xml:space="preserve"> </w:t>
      </w:r>
      <w:r>
        <w:t xml:space="preserve">policy, and retry policy in Appendix E.</w:t>
      </w:r>
    </w:p>
    <w:bookmarkEnd w:id="82"/>
    <w:bookmarkEnd w:id="83"/>
    <w:bookmarkStart w:id="96" w:name="sec: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We report four findings: incomparability (§7.4.1), the relevance mis-rank</w:t>
      </w:r>
      <w:r>
        <w:t xml:space="preserve"> </w:t>
      </w:r>
      <w:r>
        <w:t xml:space="preserve">(§7.4.2), anti-monotonicity (§7.4.3), and the</w:t>
      </w:r>
      <w:r>
        <w:t xml:space="preserve"> </w:t>
      </w:r>
      <w:r>
        <w:t xml:space="preserve">model-relative value of private context (§7.4.4). Table 2</w:t>
      </w:r>
      <w:r>
        <w:t xml:space="preserve"> </w:t>
      </w:r>
      <w:r>
        <w:t xml:space="preserve">consolidates the per-model verdicts; Tables 4 and A1 give the</w:t>
      </w:r>
      <w:r>
        <w:t xml:space="preserve"> </w:t>
      </w:r>
      <w:r>
        <w:t xml:space="preserve">underlying quantities.</w:t>
      </w:r>
    </w:p>
    <w:bookmarkStart w:id="85" w:name="sec:results-incomp"/>
    <w:p>
      <w:pPr>
        <w:pStyle w:val="Heading3"/>
      </w:pPr>
      <w:r>
        <w:t xml:space="preserve">Incomparability verified on all six models</w:t>
      </w:r>
    </w:p>
    <w:p>
      <w:pPr>
        <w:pStyle w:val="FirstParagraph"/>
      </w:pPr>
      <w:r>
        <w:rPr>
          <w:i/>
          <w:iCs/>
        </w:rPr>
        <w:t xml:space="preserve">Question: do the two sources cross in realized pass rate, and does the crossing survive the multiplicity of choosing which cell carries it?</w:t>
      </w:r>
    </w:p>
    <w:p>
      <w:pPr>
        <w:pStyle w:val="BodyText"/>
      </w:pPr>
      <w:r>
        <w:t xml:space="preserve">On every model the empirical deficiency is mutually positive,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and the uniform lower bounds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 clear zero,</w:t>
      </w:r>
      <w:r>
        <w:t xml:space="preserve"> </w:t>
      </w:r>
      <w:r>
        <w:t xml:space="preserve">verifying empirical incomparability 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2). The crossover is stark: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solves the API and trap cells and fails encoding,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solves encoding and fails the API</w:t>
      </w:r>
      <w:r>
        <w:t xml:space="preserve"> </w:t>
      </w:r>
      <w:r>
        <w:t xml:space="preserve">and trap cells. For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carrying cells are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 and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), giving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0.762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0.762</m:t>
        </m:r>
      </m:oMath>
      <w:r>
        <w:t xml:space="preserve">, far clear of zero.</w:t>
      </w:r>
    </w:p>
    <w:bookmarkStart w:id="84" w:name="the-six-model-claim-made-jointly."/>
    <w:p>
      <w:pPr>
        <w:pStyle w:val="Heading4"/>
      </w:pPr>
      <w:r>
        <w:t xml:space="preserve">The six-model claim, made jointly.</w:t>
      </w:r>
    </w:p>
    <w:p>
      <w:pPr>
        <w:pStyle w:val="FirstParagraph"/>
      </w:pPr>
      <w:r>
        <w:t xml:space="preserve">Proposition 3 controls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intervals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model’s run, so the per-model verifications above are each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and their conjunction across the roster is not. Rather than leave the six-model</w:t>
      </w:r>
      <w:r>
        <w:t xml:space="preserve"> </w:t>
      </w:r>
      <w:r>
        <w:t xml:space="preserve">statement marginal we pay for it: allocating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the six runs, i.e. per-</w:t>
      </w:r>
      <w:r>
        <w:rPr>
          <w:i/>
          <w:iCs/>
        </w:rPr>
        <w:t xml:space="preserve">interval</w:t>
      </w:r>
      <w:r>
        <w:t xml:space="preserve"> </w:t>
      </w:r>
      <w:r>
        <w:t xml:space="preserve">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48</m:t>
        </m:r>
      </m:oMath>
      <w:r>
        <w:t xml:space="preserve">, which places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96</m:t>
        </m:r>
      </m:oMath>
      <w:r>
        <w:t xml:space="preserve"> </w:t>
      </w:r>
      <w:r>
        <w:t xml:space="preserve">in each tail, every one of the</w:t>
      </w:r>
      <w:r>
        <w:t xml:space="preserve"> </w:t>
      </w:r>
      <w:r>
        <w:t xml:space="preserve">twelve directions remains strictly positive,</w:t>
      </w:r>
      <w:r>
        <w:t xml:space="preserve"> </w:t>
      </w:r>
      <w:r>
        <w:t xml:space="preserve">binding at DeepSeek-V4-Pro’s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0.263</m:t>
        </m:r>
      </m:oMath>
      <w:r>
        <w:t xml:space="preserve"> </w:t>
      </w:r>
      <w:r>
        <w:t xml:space="preserve">and reaching</w:t>
      </w:r>
      <w:r>
        <w:t xml:space="preserve"> </w:t>
      </w:r>
      <m:oMath>
        <m:r>
          <m:rPr>
            <m:sty m:val="p"/>
          </m:rPr>
          <m:t>+</m:t>
        </m:r>
        <m:r>
          <m:t>0.684</m:t>
        </m:r>
      </m:oMath>
      <w:r>
        <w:t xml:space="preserve"> </w:t>
      </w:r>
      <w:r>
        <w:t xml:space="preserve">on the stark cells.</w:t>
      </w:r>
      <w:r>
        <w:t xml:space="preserve"> </w:t>
      </w:r>
      <w:r>
        <w:t xml:space="preserve">The claim</w:t>
      </w:r>
      <w:r>
        <w:t xml:space="preserve"> </w:t>
      </w:r>
      <w:r>
        <w:t xml:space="preserve">“all six models are empirically incomparable”</w:t>
      </w:r>
      <w:r>
        <w:t xml:space="preserve"> </w:t>
      </w:r>
      <w:r>
        <w:t xml:space="preserve">therefore holds</w:t>
      </w:r>
      <w:r>
        <w:t xml:space="preserve"> </w:t>
      </w:r>
      <w:r>
        <w:rPr>
          <w:i/>
          <w:iCs/>
        </w:rPr>
        <w:t xml:space="preserve">simultaneously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, not merely model by model. Table 2 reports the per-model bounds;</w:t>
      </w:r>
      <w:r>
        <w:t xml:space="preserve"> </w:t>
      </w:r>
      <w:r>
        <w:t xml:space="preserve">the simultaneous ones are uniformly smaller by</w:t>
      </w:r>
      <w:r>
        <w:t xml:space="preserve"> </w:t>
      </w:r>
      <m:oMath>
        <m:r>
          <m:t>0.077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0.084</m:t>
        </m:r>
      </m:oMath>
      <w:r>
        <w:t xml:space="preserve"> </w:t>
      </w:r>
      <w:r>
        <w:t xml:space="preserve">and change no verdict.</w:t>
      </w:r>
    </w:p>
    <w:p>
      <w:pPr>
        <w:pStyle w:val="BodyText"/>
      </w:pPr>
      <w:r>
        <w:t xml:space="preserve">Because incomparability is a two-directional claim, both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bounds must be positive; the</w:t>
      </w:r>
      <w:r>
        <w:t xml:space="preserve"> </w:t>
      </w:r>
      <w:r>
        <w:t xml:space="preserve">smaller of the two is the binding one. Two cells carry each model’s verification, and which two</w:t>
      </w:r>
      <w:r>
        <w:t xml:space="preserve"> </w:t>
      </w:r>
      <w:r>
        <w:t xml:space="preserve">is model-specific: on five models they are one API cell and the encoding cell, while on</w:t>
      </w:r>
      <w:r>
        <w:t xml:space="preserve"> </w:t>
      </w:r>
      <w:r>
        <w:t xml:space="preserve">DeepSeek-V4-Pro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-over-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direction is carried by the</w:t>
      </w:r>
      <w:r>
        <w:t xml:space="preserve"> </w:t>
      </w:r>
      <w:r>
        <w:rPr>
          <w:i/>
          <w:iCs/>
        </w:rPr>
        <w:t xml:space="preserve">trap</w:t>
      </w:r>
      <w:r>
        <w:t xml:space="preserve"> </w:t>
      </w:r>
      <w:r>
        <w:t xml:space="preserve">cell rather than an</w:t>
      </w:r>
      <w:r>
        <w:t xml:space="preserve"> </w:t>
      </w:r>
      <w:r>
        <w:t xml:space="preserve">API cell (its API margins being smaller). The effective support of the surrogate is therefore two</w:t>
      </w:r>
      <w:r>
        <w:t xml:space="preserve"> </w:t>
      </w:r>
      <w:r>
        <w:t xml:space="preserve">cells per model, drawn from a battery of four. We therefore describe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as a fixed adversarial four-cell battery rather than a sampled task distribution: the</w:t>
      </w:r>
      <w:r>
        <w:t xml:space="preserve"> </w:t>
      </w:r>
      <w:r>
        <w:t xml:space="preserve">verification is valid for what it covers, and what it covers is a single hand-built API-versus-encoding</w:t>
      </w:r>
      <w:r>
        <w:t xml:space="preserve"> </w:t>
      </w:r>
      <w:r>
        <w:t xml:space="preserve">opposition replicated across six models.</w:t>
      </w:r>
    </w:p>
    <w:bookmarkEnd w:id="84"/>
    <w:bookmarkEnd w:id="85"/>
    <w:bookmarkStart w:id="87" w:name="sec:results-misrank"/>
    <w:p>
      <w:pPr>
        <w:pStyle w:val="Heading3"/>
      </w:pPr>
      <w:r>
        <w:t xml:space="preserve">The relevance score mis-ranks the sources</w:t>
      </w:r>
    </w:p>
    <w:p>
      <w:pPr>
        <w:pStyle w:val="FirstParagraph"/>
      </w:pPr>
      <w:r>
        <w:rPr>
          <w:i/>
          <w:iCs/>
        </w:rPr>
        <w:t xml:space="preserve">Question: on a task whose vocabulary points the wrong way, which source do deployed relevance scorers put first, and does any of them recover the one that passes?</w:t>
      </w:r>
    </w:p>
    <w:p>
      <w:pPr>
        <w:pStyle w:val="BodyText"/>
      </w:pPr>
      <w:r>
        <w:t xml:space="preserve">On the trap, query-conditioned lexical relevance ranks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&lt;</m:t>
        </m:r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0.44</m:t>
        </m:r>
      </m:oMath>
      <w:r>
        <w:t xml:space="preserve">, so it prefers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; yet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all</w:t>
      </w:r>
      <w:r>
        <w:t xml:space="preserve"> </w:t>
      </w:r>
      <w:r>
        <w:t xml:space="preserve">six models (Haiku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; Sonnet, Opus, GPT-5.5, and Kimi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DeepSeek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). On the two non-trap cells relevance</w:t>
      </w:r>
      <w:r>
        <w:t xml:space="preserve"> </w:t>
      </w:r>
      <w:r>
        <w:rPr>
          <w:i/>
          <w:iCs/>
        </w:rPr>
        <w:t xml:space="preserve">agrees</w:t>
      </w:r>
      <w:r>
        <w:t xml:space="preserve"> </w:t>
      </w:r>
      <w:r>
        <w:t xml:space="preserve">with PASS, on the API cells relevance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so does PASS, and on the encoding cell</w:t>
      </w:r>
      <w:r>
        <w:t xml:space="preserve"> </w:t>
      </w:r>
      <w:r>
        <w:t xml:space="preserve">relevance ranks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so does PASS, so the score fails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where utility diverges</w:t>
      </w:r>
      <w:r>
        <w:t xml:space="preserve"> </w:t>
      </w:r>
      <w:r>
        <w:t xml:space="preserve">from topicality, exactly the regime Theorem 2 and</w:t>
      </w:r>
      <w:r>
        <w:t xml:space="preserve"> </w:t>
      </w:r>
      <w:r>
        <w:t xml:space="preserve">Proposition 2 isolate.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floor on the trap is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all six models,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scores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there too, confirming both that the convention is</w:t>
      </w:r>
      <w:r>
        <w:t xml:space="preserve"> </w:t>
      </w:r>
      <w:r>
        <w:t xml:space="preserve">unguessable and that encoding knowledge is useless on this task.</w:t>
      </w:r>
    </w:p>
    <w:bookmarkStart w:id="86" w:name="X92ef9457b97ee405b154a7eb0fa1aa3a6f2d684"/>
    <w:p>
      <w:pPr>
        <w:pStyle w:val="Heading4"/>
      </w:pPr>
      <w:r>
        <w:t xml:space="preserve">The ranker spectrum: dense retrievers and a cross-encoder fall for the trap; a</w:t>
      </w:r>
      <w:r>
        <w:t xml:space="preserve"> </w:t>
      </w:r>
      <w:r>
        <w:t xml:space="preserve">listwise reranker escapes it.</w:t>
      </w:r>
    </w:p>
    <w:p>
      <w:pPr>
        <w:pStyle w:val="FirstParagraph"/>
      </w:pPr>
      <w:r>
        <w:t xml:space="preserve">To test whether the mis-rank extends beyond bag-of-words, we scored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against the</w:t>
      </w:r>
      <w:r>
        <w:t xml:space="preserve"> </w:t>
      </w:r>
      <w:r>
        <w:t xml:space="preserve">probe tasks with representative open-weight rankers, two dense bi-encoders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bge-small-en-v1.5</w:t>
      </w:r>
      <w:r>
        <w:t xml:space="preserve">,</w:t>
      </w:r>
      <w:r>
        <w:t xml:space="preserve"> </w:t>
      </w:r>
      <w:r>
        <w:rPr>
          <w:rStyle w:val="VerbatimChar"/>
        </w:rPr>
        <w:t xml:space="preserve">e5-small-v2</w:t>
      </w:r>
      <w:r>
        <w:t xml:space="preserve">) and a cross-encoder reranker</w:t>
      </w:r>
      <w:r>
        <w:t xml:space="preserve"> </w:t>
      </w:r>
      <w:r>
        <w:t xml:space="preserve">(</w:t>
      </w:r>
      <w:r>
        <w:rPr>
          <w:rStyle w:val="VerbatimChar"/>
        </w:rPr>
        <w:t xml:space="preserve">ms-marco-MiniLM-L-6-v2</w:t>
      </w:r>
      <w:r>
        <w:t xml:space="preserve">), and with a RankGPT-style LLM</w:t>
      </w:r>
      <w:r>
        <w:t xml:space="preserve"> </w:t>
      </w:r>
      <w:r>
        <w:rPr>
          <w:i/>
          <w:iCs/>
        </w:rPr>
        <w:t xml:space="preserve">listwise</w:t>
      </w:r>
      <w:r>
        <w:t xml:space="preserve"> </w:t>
      </w:r>
      <w:r>
        <w:t xml:space="preserve">reranker (Haiku</w:t>
      </w:r>
      <w:r>
        <w:t xml:space="preserve"> </w:t>
      </w:r>
      <w:r>
        <w:t xml:space="preserve">single-shot, seeing the task and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sources; both presentation orders;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judgments</w:t>
      </w:r>
      <w:r>
        <w:t xml:space="preserve"> </w:t>
      </w:r>
      <w:r>
        <w:t xml:space="preserve">per task). Table 3 reports the induced rankings.</w:t>
      </w:r>
      <w:r>
        <w:t xml:space="preserve"> </w:t>
      </w:r>
      <w:r>
        <w:rPr>
          <w:b/>
          <w:bCs/>
        </w:rPr>
        <w:t xml:space="preserve">Every feature-based</w:t>
      </w:r>
      <w:r>
        <w:rPr>
          <w:b/>
          <w:bCs/>
        </w:rPr>
        <w:t xml:space="preserve"> </w:t>
      </w:r>
      <w:r>
        <w:rPr>
          <w:b/>
          <w:bCs/>
        </w:rPr>
        <w:t xml:space="preserve">ranker we tested mis-ranks the trap</w:t>
      </w:r>
      <w:r>
        <w:t xml:space="preserve">: both dense bi-encoders prefer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 while</w:t>
      </w:r>
      <w:r>
        <w:t xml:space="preserve"> </w:t>
      </w:r>
      <w:r>
        <w:t xml:space="preserve">ranking both non-trap cells correctly, textbook topical behaviour, and the cross-encoder prefers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 with maximal confidence (logits</w:t>
      </w:r>
      <w:r>
        <w:t xml:space="preserve"> </w:t>
      </w:r>
      <m:oMath>
        <m:r>
          <m:rPr>
            <m:sty m:val="p"/>
          </m:rPr>
          <m:t>−</m:t>
        </m:r>
        <m:r>
          <m:t>5.63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vs</w:t>
      </w:r>
      <w:r>
        <w:t xml:space="preserve"> </w:t>
      </w:r>
      <m:oMath>
        <m:r>
          <m:rPr>
            <m:sty m:val="p"/>
          </m:rPr>
          <m:t>+</m:t>
        </m:r>
        <m:r>
          <m:t>3.24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 while</w:t>
      </w:r>
      <w:r>
        <w:t xml:space="preserve"> </w:t>
      </w:r>
      <w:r>
        <w:t xml:space="preserve">being near-tied (and narrowly wrong) on the encoding cell. The LLM listwise reranker,</w:t>
      </w:r>
      <w:r>
        <w:t xml:space="preserve"> </w:t>
      </w:r>
      <w:r>
        <w:t xml:space="preserve">which can read the verifier-decisive coordinate rather than match surface features, tracks</w:t>
      </w:r>
      <w:r>
        <w:t xml:space="preserve"> </w:t>
      </w:r>
      <w:r>
        <w:t xml:space="preserve">realized PASS everywhere (</w:t>
      </w:r>
      <m:oMath>
        <m:r>
          <m:t>30</m:t>
        </m:r>
        <m:r>
          <m:rPr>
            <m:sty m:val="p"/>
          </m:rPr>
          <m:t>/</m:t>
        </m:r>
        <m:r>
          <m:t>30</m:t>
        </m:r>
      </m:oMath>
      <w:r>
        <w:t xml:space="preserve"> </w:t>
      </w:r>
      <w:r>
        <w:t xml:space="preserve">per task, both orders). This sits on the boundary</w:t>
      </w:r>
      <w:r>
        <w:t xml:space="preserve"> </w:t>
      </w:r>
      <w:r>
        <w:t xml:space="preserve">Proposition 2 draws: its hypothesis is</w:t>
      </w:r>
      <w:r>
        <w:t xml:space="preserve"> </w:t>
      </w:r>
      <w:r>
        <w:rPr>
          <w:i/>
          <w:iCs/>
        </w:rPr>
        <w:t xml:space="preserve">topicality</w:t>
      </w:r>
      <w:r>
        <w:t xml:space="preserve">, invariance to</w:t>
      </w:r>
      <w:r>
        <w:t xml:space="preserve"> </w:t>
      </w:r>
      <w:r>
        <w:t xml:space="preserve">the decisive coordinate, and the trap defeats the lexical, dense and cross-encoder checkpoints we</w:t>
      </w:r>
      <w:r>
        <w:t xml:space="preserve"> </w:t>
      </w:r>
      <w:r>
        <w:t xml:space="preserve">ran while sparing the one ranker that reads content. Two limits on how far this generalizes. The</w:t>
      </w:r>
      <w:r>
        <w:t xml:space="preserve"> </w:t>
      </w:r>
      <w:r>
        <w:t xml:space="preserve">three families are three checkpoints on one trap, so their failure is measured, not proved for the</w:t>
      </w:r>
      <w:r>
        <w:t xml:space="preserve"> </w:t>
      </w:r>
      <w:r>
        <w:t xml:space="preserve">families at large; and the proposition does not establish that a model call per candidate is</w:t>
      </w:r>
      <w:r>
        <w:t xml:space="preserve"> </w:t>
      </w:r>
      <w:r>
        <w:rPr>
          <w:i/>
          <w:iCs/>
        </w:rPr>
        <w:t xml:space="preserve">necessary</w:t>
      </w:r>
      <w:r>
        <w:t xml:space="preserve"> </w:t>
      </w:r>
      <w:r>
        <w:t xml:space="preserve">to escape, since a router reading public task metadata would also escape at no</w:t>
      </w:r>
      <w:r>
        <w:t xml:space="preserve"> </w:t>
      </w:r>
      <w:r>
        <w:t xml:space="preserve">such cost (Remark 6). What the measurement does show is that the scorers</w:t>
      </w:r>
      <w:r>
        <w:t xml:space="preserve"> </w:t>
      </w:r>
      <w:r>
        <w:t xml:space="preserve">actually deployed here, which read text, pay that price.</w:t>
      </w:r>
    </w:p>
    <w:bookmarkEnd w:id="86"/>
    <w:bookmarkEnd w:id="87"/>
    <w:bookmarkStart w:id="93" w:name="sec:results-antimono"/>
    <w:p>
      <w:pPr>
        <w:pStyle w:val="Heading3"/>
      </w:pPr>
      <w:r>
        <w:t xml:space="preserve">Anti-monotonicity: a verified superset that hurts</w:t>
      </w:r>
    </w:p>
    <w:p>
      <w:pPr>
        <w:pStyle w:val="FirstParagraph"/>
      </w:pPr>
      <w:r>
        <w:rPr>
          <w:i/>
          <w:iCs/>
        </w:rPr>
        <w:t xml:space="preserve">Question: does adding a second correct source to a working prompt lower the pass rate, and is the drop larger than the margin</w:t>
      </w:r>
      <w:r>
        <w:rPr>
          <w:i/>
          <w:iCs/>
        </w:rPr>
        <w:t xml:space="preserve"> </w:t>
      </w:r>
      <m:oMath>
        <m:r>
          <m:t>τ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we fixed in advance?</w:t>
      </w:r>
    </w:p>
    <w:p>
      <w:pPr>
        <w:pStyle w:val="BodyText"/>
      </w:pPr>
      <w:r>
        <w:t xml:space="preserve">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which literally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signal, sharply degrades the API cells</w:t>
      </w:r>
      <w:r>
        <w:t xml:space="preserve"> </w:t>
      </w:r>
      <w:r>
        <w:t xml:space="preserve">relative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alone. The per-task harm contrast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verified negative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) on eleven of the twelve API cells, two per</w:t>
      </w:r>
      <w:r>
        <w:t xml:space="preserve"> </w:t>
      </w:r>
      <w:r>
        <w:t xml:space="preserve">model, and so on at least one cell for all six models (Table 4). Those</w:t>
      </w:r>
      <w:r>
        <w:t xml:space="preserve"> </w:t>
      </w:r>
      <w:r>
        <w:t xml:space="preserve">eleven are</w:t>
      </w:r>
      <w:r>
        <w:t xml:space="preserve"> </w:t>
      </w:r>
      <w:r>
        <w:rPr>
          <w:i/>
          <w:iCs/>
        </w:rPr>
        <w:t xml:space="preserve">marginal</w:t>
      </w:r>
      <w:r>
        <w:t xml:space="preserve"> </w:t>
      </w:r>
      <w:r>
        <w:t xml:space="preserve">verifications, each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for its own cell. The conjunction</w:t>
      </w:r>
      <w:r>
        <w:t xml:space="preserve"> </w:t>
      </w:r>
      <w:r>
        <w:t xml:space="preserve">can be bought from the same records: allocating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all twelve contrasts, i.e. a</w:t>
      </w:r>
      <w:r>
        <w:t xml:space="preserve"> </w:t>
      </w:r>
      <w:r>
        <w:t xml:space="preserve">per-interval level of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over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endpoints, ten of the twelve still clear</w:t>
      </w:r>
      <w:r>
        <w:t xml:space="preserve"> </w:t>
      </w:r>
      <m:oMath>
        <m:r>
          <m:rPr>
            <m:sty m:val="p"/>
          </m:rPr>
          <m:t>−</m:t>
        </m:r>
        <m:r>
          <m:t>τ</m:t>
        </m:r>
      </m:oMath>
      <w:r>
        <w:t xml:space="preserve">,</w:t>
      </w:r>
      <w:r>
        <w:t xml:space="preserve"> </w:t>
      </w:r>
      <w:r>
        <w:t xml:space="preserve">and every one of the six models keeps at least one cell that does. The roster-level statement</w:t>
      </w:r>
      <w:r>
        <w:t xml:space="preserve"> </w:t>
      </w:r>
      <w:r>
        <w:t xml:space="preserve">“on each of these six models some strict superset verifiably harms some cell”</w:t>
      </w:r>
      <w:r>
        <w:t xml:space="preserve"> </w:t>
      </w:r>
      <w:r>
        <w:t xml:space="preserve">therefore holds</w:t>
      </w:r>
      <w:r>
        <w:t xml:space="preserve"> </w:t>
      </w:r>
      <w:r>
        <w:rPr>
          <w:i/>
          <w:iCs/>
        </w:rPr>
        <w:t xml:space="preserve">simultaneously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, not merely model by model. The two cells that drop out</w:t>
      </w:r>
      <w:r>
        <w:t xml:space="preserve"> </w:t>
      </w:r>
      <w:r>
        <w:t xml:space="preserve">under the joint budget are Haiku’s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(which does not clear marginally</w:t>
      </w:r>
      <w:r>
        <w:t xml:space="preserve"> </w:t>
      </w:r>
      <w:r>
        <w:t xml:space="preserve">either) and DeepSeek’s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; the mildest verified collapse is DeepSeek’s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at</w:t>
      </w:r>
      <w:r>
        <w:t xml:space="preserve"> </w:t>
      </w:r>
      <m:oMath>
        <m:r>
          <m:t>68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with upper bound</w:t>
      </w:r>
      <w:r>
        <w:t xml:space="preserve"> </w:t>
      </w:r>
      <m:oMath>
        <m:r>
          <m:rPr>
            <m:sty m:val="p"/>
          </m:rPr>
          <m:t>−</m:t>
        </m:r>
        <m:r>
          <m:t>0.38</m:t>
        </m:r>
      </m:oMath>
      <w:r>
        <w:t xml:space="preserve">, and the one cell that does</w:t>
      </w:r>
      <w:r>
        <w:t xml:space="preserve"> </w:t>
      </w:r>
      <w:r>
        <w:t xml:space="preserve">not clear is Haiku’s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 whose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is depressed by an unrelated import</w:t>
      </w:r>
      <w:r>
        <w:t xml:space="preserve"> </w:t>
      </w:r>
      <w:r>
        <w:t xml:space="preserve">slip (). All eleven survive a Bonferroni correction across the two cells</w:t>
      </w:r>
      <w:r>
        <w:t xml:space="preserve"> </w:t>
      </w:r>
      <w:r>
        <w:t xml:space="preserve">within each model, the tightest being DeepSeek’s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0.33</m:t>
        </m:r>
      </m:oMath>
      <w:r>
        <w:t xml:space="preserve">. This is a</w:t>
      </w:r>
      <w:r>
        <w:t xml:space="preserve"> </w:t>
      </w:r>
      <w:r>
        <w:t xml:space="preserve">verified empirical falsification of superset-</w:t>
      </w:r>
      <w:r>
        <w:rPr>
          <w:i/>
          <w:iCs/>
        </w:rPr>
        <w:t xml:space="preserve">monotonicity</w:t>
      </w:r>
      <w:r>
        <w:t xml:space="preserve"> </w:t>
      </w:r>
      <w:r>
        <w:t xml:space="preserve">for these fixed rules</w:t>
      </w:r>
      <w:r>
        <w:t xml:space="preserve"> </w:t>
      </w:r>
      <w:r>
        <w:t xml:space="preserve">(Theorem 3): strictly-more-informative context can hurt, and the deficiency</w:t>
      </w:r>
      <w:r>
        <w:t xml:space="preserve"> </w:t>
      </w:r>
      <w:r>
        <w:t xml:space="preserve">framework detects it precisely where every monotone scalar must miss it.</w:t>
      </w:r>
      <w:r>
        <w:t xml:space="preserve"> </w:t>
      </w:r>
      <w:r>
        <w:t xml:space="preserve">Table A1 gives the same collapse arm by arm for every model; Haiku’s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reads</w:t>
      </w:r>
      <w:r>
        <w:t xml:space="preserve"> </w:t>
      </w:r>
      <m:oMath>
        <m:r>
          <m:t>52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only because about half its replies omit the</w:t>
      </w:r>
      <w:r>
        <w:t xml:space="preserve"> </w:t>
      </w:r>
      <w:r>
        <w:rPr>
          <w:rStyle w:val="VerbatimChar"/>
        </w:rPr>
        <w:t xml:space="preserve">import ledger</w:t>
      </w:r>
      <w:r>
        <w:t xml:space="preserve"> </w:t>
      </w:r>
      <w:r>
        <w:t xml:space="preserve">line while calling the contract correctly (), and its verified collapse is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%</m:t>
        </m:r>
      </m:oMath>
      <w:r>
        <w:t xml:space="preserve">.</w:t>
      </w:r>
    </w:p>
    <w:bookmarkStart w:id="90" w:name="Xad950c9ad2efcae5ca328fe88a654bcb87f62fc"/>
    <w:p>
      <w:pPr>
        <w:pStyle w:val="Heading4"/>
      </w:pPr>
      <w:r>
        <w:t xml:space="preserve">The empirical order inverts the idealized one.</w:t>
      </w:r>
    </w:p>
    <w:p>
      <w:pPr>
        <w:pStyle w:val="FirstParagraph"/>
      </w:pPr>
      <w:r>
        <w:t xml:space="preserve">The idealized Blackwell order on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collapses the choice to the</w:t>
      </w:r>
      <w:r>
        <w:t xml:space="preserve"> </w:t>
      </w:r>
      <w:r>
        <w:t xml:space="preserve">superset: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reveals both coordinates,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w:r>
        <w:t xml:space="preserve">“more signal is better”</w:t>
      </w:r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alone. The verified empirical relation for the</w:t>
      </w:r>
      <w:r>
        <w:t xml:space="preserve"> </w:t>
      </w:r>
      <w:r>
        <w:t xml:space="preserve">fixed rule is the opposite shape: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on the API cells,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w:r>
        <w:t xml:space="preserve">the encoding cell, 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verified incomparable pair, so the empirical</w:t>
      </w:r>
      <w:r>
        <w:t xml:space="preserve"> </w:t>
      </w:r>
      <w:r>
        <w:t xml:space="preserve">summary is the two-element Pareto front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, an object no scalar top-</w:t>
      </w:r>
      <m:oMath>
        <m:r>
          <m:t>1</m:t>
        </m:r>
      </m:oMath>
      <w:r>
        <w:t xml:space="preserve"> </w:t>
      </w:r>
      <w:r>
        <w:t xml:space="preserve">rule can</w:t>
      </w:r>
      <w:r>
        <w:t xml:space="preserve"> </w:t>
      </w:r>
      <w:r>
        <w:t xml:space="preserve">represent (Figure 1). Three sources over four cells need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coverage event,</w:t>
      </w:r>
      <w:r>
        <w:t xml:space="preserve"> </w:t>
      </w:r>
      <w:r>
        <w:t xml:space="preserve">so we take all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Clopper–Pearson intervals at per-interval 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12</m:t>
        </m:r>
      </m:oMath>
      <w:r>
        <w:t xml:space="preserve">; they then</w:t>
      </w:r>
      <w:r>
        <w:t xml:space="preserve"> </w:t>
      </w:r>
      <w:r>
        <w:t xml:space="preserve">hold jointly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and every relation in the figure is read off that single event. On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Haiku record this gives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0.7439</m:t>
        </m:r>
      </m:oMath>
      <w:r>
        <w:t xml:space="preserve">, so the</w:t>
      </w:r>
      <w:r>
        <w:t xml:space="preserve"> </w:t>
      </w:r>
      <w:r>
        <w:t xml:space="preserve">incomparable pair is verified. Non-dominance is likewise a</w:t>
      </w:r>
      <w:r>
        <w:t xml:space="preserve"> </w:t>
      </w:r>
      <w:r>
        <w:rPr>
          <w:i/>
          <w:iCs/>
        </w:rPr>
        <w:t xml:space="preserve">lower</w:t>
      </w:r>
      <w:r>
        <w:t xml:space="preserve">-bound statement, and the</w:t>
      </w:r>
      <w:r>
        <w:t xml:space="preserve"> </w:t>
      </w:r>
      <w:r>
        <w:t xml:space="preserve">same event supplies it: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0.6556</m:t>
        </m:r>
      </m:oMath>
      <w:r>
        <w:t xml:space="preserve">, witnessed by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w:r>
        <w:t xml:space="preserve">verifies that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on some cell,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does not dominate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and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0.7439</m:t>
        </m:r>
      </m:oMath>
      <w:r>
        <w:t xml:space="preserve"> </w:t>
      </w:r>
      <w:r>
        <w:t xml:space="preserve">verifies the converse, so neither dominates the other. (An upper</w:t>
      </w:r>
      <w:r>
        <w:t xml:space="preserve"> </w:t>
      </w:r>
      <w:r>
        <w:t xml:space="preserve">bound could not carry either claim: it bounds how large the advantage</w:t>
      </w:r>
      <w:r>
        <w:t xml:space="preserve"> </w:t>
      </w:r>
      <w:r>
        <w:rPr>
          <w:i/>
          <w:iCs/>
        </w:rPr>
        <w:t xml:space="preserve">might</w:t>
      </w:r>
      <w:r>
        <w:t xml:space="preserve"> </w:t>
      </w:r>
      <w:r>
        <w:t xml:space="preserve">be, not that</w:t>
      </w:r>
      <w:r>
        <w:t xml:space="preserve"> </w:t>
      </w:r>
      <w:r>
        <w:t xml:space="preserve">one exists.) The remaining relation is the one the front turns on, and there only an upper bound</w:t>
      </w:r>
      <w:r>
        <w:t xml:space="preserve"> </w:t>
      </w:r>
      <w:r>
        <w:t xml:space="preserve">is available: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0.1281</m:t>
        </m:r>
      </m:oMath>
      <w:r>
        <w:t xml:space="preserve">. That is an</w:t>
      </w:r>
      <w:r>
        <w:t xml:space="preserve"> </w:t>
      </w:r>
      <m:oMath>
        <m:r>
          <m:t>ε</m:t>
        </m:r>
      </m:oMath>
      <w:r>
        <w:t xml:space="preserve">-dominance, not an exact</w:t>
      </w:r>
      <w:r>
        <w:t xml:space="preserve"> </w:t>
      </w:r>
      <w:r>
        <w:t xml:space="preserve">one, and it says that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cell of the battery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beat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by at most</w:t>
      </w:r>
      <w:r>
        <w:t xml:space="preserve"> </w:t>
      </w:r>
      <m:oMath>
        <m:r>
          <m:t>0.1281</m:t>
        </m:r>
      </m:oMath>
      <w:r>
        <w:t xml:space="preserve">. Excluding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therefore licensed only up to that margin. What the coverage event</w:t>
      </w:r>
      <w:r>
        <w:t xml:space="preserve"> </w:t>
      </w:r>
      <w:r>
        <w:t xml:space="preserve">establishes exactly is the two-sided inclusion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{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}</m:t>
          </m:r>
          <m:r>
            <m:t> </m:t>
          </m:r>
          <m:r>
            <m:rPr>
              <m:sty m:val="p"/>
            </m:rPr>
            <m:t>⊆</m:t>
          </m:r>
          <m:r>
            <m:t> </m:t>
          </m:r>
          <m:r>
            <m:t>F</m:t>
          </m:r>
          <m:r>
            <m:t> </m:t>
          </m:r>
          <m:r>
            <m:rPr>
              <m:sty m:val="p"/>
            </m:rPr>
            <m:t>⊆</m:t>
          </m:r>
          <m:r>
            <m:t> </m:t>
          </m:r>
          <m:r>
            <m:rPr>
              <m:sty m:val="p"/>
            </m:rPr>
            <m:t>{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-non-dominated front on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: both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verifiably in it, and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 three-element front cannot be ruled out. The selection rule the</w:t>
      </w:r>
      <w:r>
        <w:t xml:space="preserve"> </w:t>
      </w:r>
      <w:r>
        <w:t xml:space="preserve">figure implies, keep the non-dominated set rather than force the superset, holds under either</w:t>
      </w:r>
      <w:r>
        <w:t xml:space="preserve"> </w:t>
      </w:r>
      <w:r>
        <w:t xml:space="preserve">reading, since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regardless.</w:t>
      </w:r>
    </w:p>
    <w:bookmarkStart w:id="88" w:name="fig:hass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Two orders over the same three sources,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rPr>
          <w:b/>
          <w:bCs/>
        </w:rPr>
        <w:t xml:space="preserve">Left:</w:t>
      </w:r>
      <w:r>
        <w:t xml:space="preserve"> </w:t>
      </w:r>
      <w:r>
        <w:t xml:space="preserve">the Blackwell order for the optimal user, where the</w:t>
      </w:r>
      <w:r>
        <w:t xml:space="preserve"> </w:t>
      </w:r>
      <w:r>
        <w:t xml:space="preserve">superset reveals both coordinates and dominates.</w:t>
      </w:r>
      <w:r>
        <w:t xml:space="preserve"> </w:t>
      </w:r>
      <w:r>
        <w:rPr>
          <w:b/>
          <w:bCs/>
        </w:rPr>
        <w:t xml:space="preserve">Right:</w:t>
      </w:r>
      <w:r>
        <w:t xml:space="preserve"> </w:t>
      </w:r>
      <w:r>
        <w:t xml:space="preserve">the order realized by the fixed</w:t>
      </w:r>
      <w:r>
        <w:t xml:space="preserve"> </w:t>
      </w:r>
      <w:r>
        <w:t xml:space="preserve">model rule, on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, read off a single coverage event over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Clopper–Pearson intervals (text above). A dashed edge is a verified incomparable pair; a dotted</w:t>
      </w:r>
      <w:r>
        <w:t xml:space="preserve"> </w:t>
      </w:r>
      <w:r>
        <w:t xml:space="preserve">edge is an</w:t>
      </w:r>
      <w:r>
        <w:t xml:space="preserve"> </w:t>
      </w:r>
      <m:oMath>
        <m:r>
          <m:t>ε</m:t>
        </m:r>
      </m:oMath>
      <w:r>
        <w:t xml:space="preserve">-dominance only,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0.1281</m:t>
        </m:r>
      </m:oMath>
      <w:r>
        <w:t xml:space="preserve">, so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cannot be excluded</w:t>
      </w:r>
      <w:r>
        <w:t xml:space="preserve"> </w:t>
      </w:r>
      <w:r>
        <w:t xml:space="preserve">exactly.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arm is drawn only on the left, since it is outside that coverage family</w:t>
      </w:r>
      <w:r>
        <w:t xml:space="preserve"> </w:t>
      </w:r>
      <w:r>
        <w:t xml:space="preserve">and no relation to it is verified. The right-hand panel is therefore a verified</w:t>
      </w:r>
      <w:r>
        <w:t xml:space="preserve"> </w:t>
      </w:r>
      <w:r>
        <w:rPr>
          <w:i/>
          <w:iCs/>
        </w:rPr>
        <w:t xml:space="preserve">partial</w:t>
      </w:r>
      <w:r>
        <w:t xml:space="preserve"> </w:t>
      </w:r>
      <w:r>
        <w:t xml:space="preserve">picture rather than a determined Hasse diagram: what it establishes is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t>F</m:t>
        </m:r>
        <m:r>
          <m:rPr>
            <m:sty m:val="p"/>
          </m:rPr>
          <m:t>⊆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.</w:t>
      </w:r>
    </w:p>
    <w:bookmarkEnd w:id="88"/>
    <w:bookmarkStart w:id="89" w:name="fig:forest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harm contrast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on both API cells of every</w:t>
      </w:r>
      <w:r>
        <w:t xml:space="preserve"> </w:t>
      </w:r>
      <w:r>
        <w:t xml:space="preserve">model, with the bound that carries the verification. A cell is verified harmful when the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w:r>
        <w:t xml:space="preserve">bound clears</w:t>
      </w:r>
      <w:r>
        <w:t xml:space="preserve"> </w:t>
      </w:r>
      <m:oMath>
        <m:r>
          <m:rPr>
            <m:sty m:val="p"/>
          </m:rPr>
          <m:t>−</m:t>
        </m:r>
        <m:r>
          <m:t>τ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0.30</m:t>
        </m:r>
      </m:oMath>
      <w:r>
        <w:t xml:space="preserve">, so a bar ending left of the dashed line is a verified</w:t>
      </w:r>
      <w:r>
        <w:t xml:space="preserve"> </w:t>
      </w:r>
      <w:r>
        <w:t xml:space="preserve">collapse. Thick bars are the marginal bounds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, one family per cell: eleven of twelve</w:t>
      </w:r>
      <w:r>
        <w:t xml:space="preserve"> </w:t>
      </w:r>
      <w:r>
        <w:t xml:space="preserve">clear. Thin grey bars are the same contrasts under a single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spread across all twelve, at</w:t>
      </w:r>
      <w:r>
        <w:t xml:space="preserve"> </w:t>
      </w:r>
      <w:r>
        <w:t xml:space="preserve">per-interval 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12</m:t>
        </m:r>
      </m:oMath>
      <w:r>
        <w:t xml:space="preserve">: ten clear, and every model keeps at least one. The one cell that</w:t>
      </w:r>
      <w:r>
        <w:t xml:space="preserve"> </w:t>
      </w:r>
      <w:r>
        <w:t xml:space="preserve">never clears is Haiku’s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 whose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is depressed by an omitted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rather than by the contract (). Values are those of</w:t>
      </w:r>
      <w:r>
        <w:t xml:space="preserve"> </w:t>
      </w:r>
      <w:r>
        <w:t xml:space="preserve">Table 4, recomputed from the released per-cell counts.</w:t>
      </w:r>
    </w:p>
    <w:bookmarkEnd w:id="89"/>
    <w:bookmarkEnd w:id="90"/>
    <w:bookmarkStart w:id="91" w:name="what-the-position-controls-show."/>
    <w:p>
      <w:pPr>
        <w:pStyle w:val="Heading4"/>
      </w:pPr>
      <w:r>
        <w:t xml:space="preserve">What the position controls show.</w:t>
      </w:r>
    </w:p>
    <w:p>
      <w:pPr>
        <w:pStyle w:val="FirstParagraph"/>
      </w:pPr>
      <w:r>
        <w:t xml:space="preserve">The collapse is not a lost-in-the-middle or recency artifact. The character-matched padding control</w:t>
      </w:r>
      <w:r>
        <w:t xml:space="preserve"> </w:t>
      </w:r>
      <w:r>
        <w:t xml:space="preserve">(Appendix B) puts filler in the same slot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occupies inside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last in both, and leaves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 ceiling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; holding position fixed and</w:t>
      </w:r>
      <w:r>
        <w:t xml:space="preserve"> </w:t>
      </w:r>
      <w:r>
        <w:t xml:space="preserve">changing only the content is what turns a harmless arm into a harmful one, so the cause is the</w:t>
      </w:r>
      <w:r>
        <w:t xml:space="preserve"> </w:t>
      </w:r>
      <w:r>
        <w:t xml:space="preserve">added signal, not where it sits. Order is controlled directly, by a reversed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that puts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first, measured in the same</w:t>
      </w:r>
      <w:r>
        <w:t xml:space="preserve"> </w:t>
      </w:r>
      <w:r>
        <w:t xml:space="preserve">single-shot regime and at the same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as the main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blackwell_order_ss_n40</w:t>
      </w:r>
      <w:r>
        <w:t xml:space="preserve">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calls). On the hardened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cell the</w:t>
      </w:r>
      <w:r>
        <w:t xml:space="preserve"> </w:t>
      </w:r>
      <w:r>
        <w:t xml:space="preserve">two orderings are indistinguishable: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scores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while both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</m:oMath>
      <w:r>
        <w:t xml:space="preserve"> </w:t>
      </w:r>
      <w:r>
        <w:t xml:space="preserve">score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, each verified harmful at</w:t>
      </w:r>
      <w:r>
        <w:t xml:space="preserve"> </w:t>
      </w:r>
      <m:oMath>
        <m:r>
          <m:rPr>
            <m:sty m:val="p"/>
          </m:rPr>
          <m:t>−</m:t>
        </m:r>
        <m:r>
          <m:t>0.77</m:t>
        </m:r>
      </m:oMath>
      <w:r>
        <w:t xml:space="preserve">.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reversal makes matters worse rather than better,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first and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first. Moving the added block out of the primacy slot therefore</w:t>
      </w:r>
      <w:r>
        <w:t xml:space="preserve"> </w:t>
      </w:r>
      <w:r>
        <w:t xml:space="preserve">recovers nothing, and on one cell costs more, so the collapse is not a primacy or recency</w:t>
      </w:r>
      <w:r>
        <w:t xml:space="preserve"> </w:t>
      </w:r>
      <w:r>
        <w:t xml:space="preserve">artifact. Two things this does not settle: it is one model, and it bounds the</w:t>
      </w:r>
      <w:r>
        <w:t xml:space="preserve"> </w:t>
      </w:r>
      <w:r>
        <w:rPr>
          <w:i/>
          <w:iCs/>
        </w:rPr>
        <w:t xml:space="preserve">existence</w:t>
      </w:r>
      <w:r>
        <w:t xml:space="preserve"> </w:t>
      </w:r>
      <w:r>
        <w:t xml:space="preserve">of a positional explanation rather than the contribution of position to the size of the harm.</w:t>
      </w:r>
    </w:p>
    <w:bookmarkEnd w:id="91"/>
    <w:bookmarkStart w:id="92" w:name="robust-but-not-monotone-in-capability."/>
    <w:p>
      <w:pPr>
        <w:pStyle w:val="Heading4"/>
      </w:pPr>
      <w:r>
        <w:t xml:space="preserve">Robust, but not monotone in capability.</w:t>
      </w:r>
    </w:p>
    <w:p>
      <w:pPr>
        <w:pStyle w:val="FirstParagraph"/>
      </w:pPr>
      <w:r>
        <w:t xml:space="preserve">The harm is large and robust across the Anthropic capability ladder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ordered by</w:t>
      </w:r>
      <w:r>
        <w:t xml:space="preserve"> </w:t>
      </w:r>
      <w:r>
        <w:t xml:space="preserve">capability. On the two API cells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collapse is Haiku</w:t>
      </w:r>
      <w:r>
        <w:t xml:space="preserve"> </w:t>
      </w:r>
      <m:oMath>
        <m:r>
          <m:t>52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15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Sonnet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, and Opus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38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%</m:t>
        </m:r>
      </m:oMath>
      <w:r>
        <w:t xml:space="preserve">: the middle model (Sonnet) shows the</w:t>
      </w:r>
      <w:r>
        <w:t xml:space="preserve"> </w:t>
      </w:r>
      <w:r>
        <w:t xml:space="preserve">starkest collapse and the strongest (Opus) the mildest. An earlier two-point reading suggested the</w:t>
      </w:r>
      <w:r>
        <w:t xml:space="preserve"> </w:t>
      </w:r>
      <w:r>
        <w:t xml:space="preserve">harm</w:t>
      </w:r>
      <w:r>
        <w:t xml:space="preserve"> </w:t>
      </w:r>
      <w:r>
        <w:t xml:space="preserve">“intensifies with strength”</w:t>
      </w:r>
      <w:r>
        <w:t xml:space="preserve">; the third point falsifies that, and we claim only robustness</w:t>
      </w:r>
      <w:r>
        <w:t xml:space="preserve"> </w:t>
      </w:r>
      <w:r>
        <w:t xml:space="preserve">across the ladder, not a capability trend. The re-measurement of</w:t>
      </w:r>
      <w:r>
        <w:t xml:space="preserve"> </w:t>
      </w:r>
      <w:r>
        <w:t xml:space="preserve">sharpens this: on fresh draws all three Anthropic models collapse to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3</m:t>
        </m:r>
        <m:r>
          <m:rPr>
            <m:sty m:val="p"/>
          </m:rPr>
          <m:t>%</m:t>
        </m:r>
      </m:oMath>
      <w:r>
        <w:t xml:space="preserve">, so the spread that made Opus look mildest does not persist, and the ladder is flat</w:t>
      </w:r>
      <w:r>
        <w:t xml:space="preserve"> </w:t>
      </w:r>
      <w:r>
        <w:t xml:space="preserve">rather than ordered. What survives is the negative claim, not the ranking that motivated it.</w:t>
      </w:r>
    </w:p>
    <w:bookmarkEnd w:id="92"/>
    <w:bookmarkEnd w:id="93"/>
    <w:bookmarkStart w:id="94" w:name="sec:results-moat"/>
    <w:p>
      <w:pPr>
        <w:pStyle w:val="Heading3"/>
      </w:pPr>
      <w:r>
        <w:t xml:space="preserve">The model-relative value of private context</w:t>
      </w:r>
    </w:p>
    <w:p>
      <w:pPr>
        <w:pStyle w:val="FirstParagraph"/>
      </w:pPr>
      <w:r>
        <w:rPr>
          <w:i/>
          <w:iCs/>
        </w:rPr>
        <w:t xml:space="preserve">Question: how much of each private convention can a model supply on its own, and does that quantity order with capability?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“private”</w:t>
      </w:r>
      <w:r>
        <w:t xml:space="preserve"> </w:t>
      </w:r>
      <w:r>
        <w:t xml:space="preserve">conventions are genuinely unguessable for some vendors and partially known to others,</w:t>
      </w:r>
      <w:r>
        <w:t xml:space="preserve"> </w:t>
      </w:r>
      <w:r>
        <w:t xml:space="preserve">and this varies continuously.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-arm baseline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forms a clean</w:t>
      </w:r>
      <w:r>
        <w:t xml:space="preserve"> </w:t>
      </w:r>
      <w:r>
        <w:t xml:space="preserve">spectrum: Sonnet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Haiku and DeepSeek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, Opus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, Kimi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, GPT-5.5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2). So the value of the private context, the</w:t>
      </w:r>
      <w:r>
        <w:t xml:space="preserve"> </w:t>
      </w:r>
      <w:r>
        <w:t xml:space="preserve">model-relative guessability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§3.3, varies continuously across</w:t>
      </w:r>
      <w:r>
        <w:t xml:space="preserve"> </w:t>
      </w:r>
      <w:r>
        <w:t xml:space="preserve">models, and it is not ordered by capability. What it does track we cannot identify from these</w:t>
      </w:r>
      <w:r>
        <w:t xml:space="preserve"> </w:t>
      </w:r>
      <w:r>
        <w:t xml:space="preserve">runs. DeepSeek, a different vendor,</w:t>
      </w:r>
      <w:r>
        <w:t xml:space="preserve"> </w:t>
      </w:r>
      <w:r>
        <w:t xml:space="preserve">has a tight prior like the smaller Claude models, while GPT-5.5’s prior already holds much of the</w:t>
      </w:r>
      <w:r>
        <w:t xml:space="preserve"> </w:t>
      </w:r>
      <w:r>
        <w:t xml:space="preserve">convention (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m:oMath>
        <m:r>
          <m:t>55</m:t>
        </m:r>
        <m:r>
          <m:rPr>
            <m:sty m:val="p"/>
          </m:rPr>
          <m:t>%</m:t>
        </m:r>
      </m:oMath>
      <w:r>
        <w:t xml:space="preserve">), so a</w:t>
      </w:r>
      <w:r>
        <w:t xml:space="preserve"> </w:t>
      </w:r>
      <w:r>
        <w:t xml:space="preserve">“stronger-model-knows-more”</w:t>
      </w:r>
      <w:r>
        <w:t xml:space="preserve"> </w:t>
      </w:r>
      <w:r>
        <w:t xml:space="preserve">account does not fit. Utility-centric retrieval reaches the same</w:t>
      </w:r>
      <w:r>
        <w:t xml:space="preserve"> </w:t>
      </w:r>
      <w:r>
        <w:t xml:space="preserve">conclusion from the other side, the same passage carrying different utility for different</w:t>
      </w:r>
      <w:r>
        <w:t xml:space="preserve"> </w:t>
      </w:r>
      <w:r>
        <w:t xml:space="preserve">models </w:t>
      </w:r>
      <w:r>
        <w:t xml:space="preserve">(Zhang et al. 2025)</w:t>
      </w:r>
      <w:r>
        <w:t xml:space="preserve">; what the spectrum adds is the verified per-model floor. Within Anthropic the ordering</w:t>
      </w:r>
      <w:r>
        <w:t xml:space="preserve"> </w:t>
      </w:r>
      <w:r>
        <w:t xml:space="preserve">is not by capability either: Sonnet guesses least (</w:t>
      </w:r>
      <m:oMath>
        <m:r>
          <m:t>0</m:t>
        </m:r>
        <m:r>
          <m:rPr>
            <m:sty m:val="p"/>
          </m:rPr>
          <m:t>%</m:t>
        </m:r>
      </m:oMath>
      <w:r>
        <w:t xml:space="preserve">) while the stronger Opus guesses more</w:t>
      </w:r>
      <w:r>
        <w:t xml:space="preserve"> </w:t>
      </w:r>
      <w:r>
        <w:t xml:space="preserve">(</w:t>
      </w:r>
      <m:oMath>
        <m:r>
          <m:t>40</m:t>
        </m:r>
        <m:r>
          <m:rPr>
            <m:sty m:val="p"/>
          </m:rPr>
          <m:t>%</m:t>
        </m:r>
      </m:oMath>
      <w:r>
        <w:t xml:space="preserve">). The verified per-model claims rest on cells unguessable</w:t>
      </w:r>
      <w:r>
        <w:t xml:space="preserve"> </w:t>
      </w:r>
      <w:r>
        <w:rPr>
          <w:i/>
          <w:iCs/>
        </w:rPr>
        <w:t xml:space="preserve">for the model under test</w:t>
      </w:r>
      <w:r>
        <w:t xml:space="preserve"> </w:t>
      </w:r>
      <w:r>
        <w:t xml:space="preserve">(e.g. GPT-5.5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m:oMath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, trap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%</m:t>
        </m:r>
      </m:oMath>
      <w:r>
        <w:t xml:space="preserve">).</w:t>
      </w:r>
    </w:p>
    <w:bookmarkEnd w:id="94"/>
    <w:bookmarkStart w:id="95" w:name="sec:results-audit"/>
    <w:p>
      <w:pPr>
        <w:pStyle w:val="Heading3"/>
      </w:pPr>
      <w:r>
        <w:t xml:space="preserve">What the failing replies contain</w:t>
      </w:r>
    </w:p>
    <w:p>
      <w:pPr>
        <w:pStyle w:val="FirstParagraph"/>
      </w:pPr>
      <w:r>
        <w:rPr>
          <w:i/>
          <w:iCs/>
        </w:rPr>
        <w:t xml:space="preserve">Question: when a cell fails, what does the reply actually get wrong, and is the failure the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this paper describes or an artifact of packaging?</w:t>
      </w:r>
    </w:p>
    <w:p>
      <w:pPr>
        <w:pStyle w:val="BodyText"/>
      </w:pPr>
      <w:r>
        <w:t xml:space="preserve">Two diagnostics answer it, both reported in full in Appendix D. First, Haiku’s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reads</w:t>
      </w:r>
      <w:r>
        <w:t xml:space="preserve"> </w:t>
      </w:r>
      <m:oMath>
        <m:r>
          <m:t>52</m:t>
        </m:r>
        <m:r>
          <m:rPr>
            <m:sty m:val="p"/>
          </m:rPr>
          <m:t>%</m:t>
        </m:r>
      </m:oMath>
      <w:r>
        <w:t xml:space="preserve"> </w:t>
      </w:r>
      <w:r>
        <w:t xml:space="preserve">not because the contract is missed but because about</w:t>
      </w:r>
      <w:r>
        <w:t xml:space="preserve"> </w:t>
      </w:r>
      <w:r>
        <w:t xml:space="preserve">half the replies omit the</w:t>
      </w:r>
      <w:r>
        <w:t xml:space="preserve"> </w:t>
      </w:r>
      <w:r>
        <w:rPr>
          <w:rStyle w:val="VerbatimChar"/>
        </w:rPr>
        <w:t xml:space="preserve">import ledger</w:t>
      </w:r>
      <w:r>
        <w:t xml:space="preserve"> </w:t>
      </w:r>
      <w:r>
        <w:t xml:space="preserve">line; with the import neutralized in the verifier</w:t>
      </w:r>
      <w:r>
        <w:t xml:space="preserve"> </w:t>
      </w:r>
      <w:r>
        <w:t xml:space="preserve">that arm scores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. That cell therefore measures a packaging slip, which is why it is the one</w:t>
      </w:r>
      <w:r>
        <w:t xml:space="preserve"> </w:t>
      </w:r>
      <w:r>
        <w:t xml:space="preserve">cell whose harm contrast does not clear</w:t>
      </w:r>
      <w:r>
        <w:t xml:space="preserve"> </w:t>
      </w:r>
      <m:oMath>
        <m:r>
          <m:rPr>
            <m:sty m:val="p"/>
          </m:rPr>
          <m:t>−</m:t>
        </m:r>
        <m:r>
          <m:t>τ</m:t>
        </m:r>
      </m:oMath>
      <w:r>
        <w:t xml:space="preserve">. Second, every verified interference cell was</w:t>
      </w:r>
      <w:r>
        <w:t xml:space="preserve"> </w:t>
      </w:r>
      <w:r>
        <w:t xml:space="preserve">re-measured with raw completions retained,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 arm, and scored under both the published and</w:t>
      </w:r>
      <w:r>
        <w:t xml:space="preserve"> </w:t>
      </w:r>
      <w:r>
        <w:t xml:space="preserve">an import-neutralized verifier. The collapse reproduces in all eleven, the extractor returned a</w:t>
      </w:r>
      <w:r>
        <w:t xml:space="preserve"> </w:t>
      </w:r>
      <w:r>
        <w:t xml:space="preserve">non-empty code block on all</w:t>
      </w:r>
      <w:r>
        <w:t xml:space="preserve"> </w:t>
      </w:r>
      <m:oMath>
        <m:r>
          <m:t>880</m:t>
        </m:r>
      </m:oMath>
      <w:r>
        <w:t xml:space="preserve"> </w:t>
      </w:r>
      <w:r>
        <w:t xml:space="preserve">draws, and the import artifact falls on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arm, so</w:t>
      </w:r>
      <w:r>
        <w:t xml:space="preserve"> </w:t>
      </w:r>
      <w:r>
        <w:t xml:space="preserve">neutralizing it</w:t>
      </w:r>
      <w:r>
        <w:t xml:space="preserve"> </w:t>
      </w:r>
      <w:r>
        <w:rPr>
          <w:i/>
          <w:iCs/>
        </w:rPr>
        <w:t xml:space="preserve">deepens</w:t>
      </w:r>
      <w:r>
        <w:t xml:space="preserve"> </w:t>
      </w:r>
      <w:r>
        <w:t xml:space="preserve">every contrast it touches. On nine of the eleven cells the failing</w:t>
      </w:r>
      <w:r>
        <w:t xml:space="preserve"> </w:t>
      </w:r>
      <w:r>
        <w:t xml:space="preserve">reply applies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wire encoding to a plain-cents amount, in</w:t>
      </w:r>
      <w:r>
        <w:t xml:space="preserve"> </w:t>
      </w:r>
      <m:oMath>
        <m:r>
          <m:t>38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draws per cell.</w:t>
      </w:r>
    </w:p>
    <w:p>
      <w:pPr>
        <w:pStyle w:val="BodyText"/>
      </w:pPr>
      <w:r>
        <w:t xml:space="preserve">Sonnet is the exception and it matters for the reading. It declines the task as a suspected prompt</w:t>
      </w:r>
      <w:r>
        <w:t xml:space="preserve"> </w:t>
      </w:r>
      <w:r>
        <w:t xml:space="preserve">injection on</w:t>
      </w:r>
      <w:r>
        <w:t xml:space="preserve"> </w:t>
      </w:r>
      <m:oMath>
        <m:r>
          <m:t>36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of its superset draws, and counting refusals across all of its</w:t>
      </w:r>
      <w:r>
        <w:t xml:space="preserve"> </w:t>
      </w:r>
      <w:r>
        <w:t xml:space="preserve">retained arms locates the trigger in a block that does not serve the task rather than in the</w:t>
      </w:r>
      <w:r>
        <w:t xml:space="preserve"> </w:t>
      </w:r>
      <w:r>
        <w:t xml:space="preserve">number of blocks (Appendix D). Theorem 3 is indifferent to the</w:t>
      </w:r>
      <w:r>
        <w:t xml:space="preserve"> </w:t>
      </w:r>
      <w:r>
        <w:t xml:space="preserve">cause, since it constrains any rule whose PASS falls under a strict superset, and Sonnet’s does</w:t>
      </w:r>
      <w:r>
        <w:t xml:space="preserve"> </w:t>
      </w:r>
      <w:r>
        <w:t xml:space="preserve">fall; what the exception costs is the mechanistic reading of , which</w:t>
      </w:r>
      <w:r>
        <w:t xml:space="preserve"> </w:t>
      </w:r>
      <w:r>
        <w:t xml:space="preserve">should be read with it in force.</w:t>
      </w:r>
    </w:p>
    <w:bookmarkEnd w:id="95"/>
    <w:bookmarkEnd w:id="96"/>
    <w:bookmarkStart w:id="97" w:name="sec:results-generality"/>
    <w:p>
      <w:pPr>
        <w:pStyle w:val="Heading2"/>
      </w:pPr>
      <w:r>
        <w:t xml:space="preserve">Generality and controls (summary)</w:t>
      </w:r>
    </w:p>
    <w:p>
      <w:pPr>
        <w:pStyle w:val="FirstParagraph"/>
      </w:pPr>
      <w:r>
        <w:t xml:space="preserve">Four follow-up experiments address three threat axes (source-pair generality, the context-length</w:t>
      </w:r>
      <w:r>
        <w:t xml:space="preserve"> </w:t>
      </w:r>
      <w:r>
        <w:t xml:space="preserve">confound, and prompt-curability of the collapse); full protocols and numbers are</w:t>
      </w:r>
      <w:r>
        <w:t xml:space="preserve"> </w:t>
      </w:r>
      <w:r>
        <w:t xml:space="preserve">in Appendix B.</w:t>
      </w:r>
      <w:r>
        <w:t xml:space="preserve"> </w:t>
      </w:r>
      <w:r>
        <w:rPr>
          <w:b/>
          <w:bCs/>
        </w:rPr>
        <w:t xml:space="preserve">(i) A second incomparable pair, different domain</w:t>
      </w:r>
      <w:r>
        <w:t xml:space="preserve">: a private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-module contract versus a key-normalization invariant is again verified incomparable</w:t>
      </w:r>
      <w:r>
        <w:t xml:space="preserve"> </w:t>
      </w:r>
      <w:r>
        <w:t xml:space="preserve">on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0.774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0.496</m:t>
        </m:r>
      </m:oMath>
      <w:r>
        <w:t xml:space="preserve">), with the battery-wide dominance control</w:t>
      </w:r>
      <w:r>
        <w:t xml:space="preserve"> </w:t>
      </w:r>
      <w:r>
        <w:t xml:space="preserve">verifying one-directionally there (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0.113</m:t>
        </m:r>
      </m:oMath>
      <w:r>
        <w:t xml:space="preserve">) and a single-cell re-run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giving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0.000</m:t>
        </m:r>
      </m:oMath>
      <w:r>
        <w:t xml:space="preserve">; that pair was measured in the agentic regime, not the single-shot one;</w:t>
      </w:r>
      <w:r>
        <w:t xml:space="preserve"> </w:t>
      </w:r>
      <w:r>
        <w:t xml:space="preserve">its harm contrast is verified at the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margin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0.51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0.33</m:t>
        </m:r>
      </m:oMath>
      <w:r>
        <w:t xml:space="preserve">),</w:t>
      </w:r>
      <w:r>
        <w:t xml:space="preserve"> </w:t>
      </w:r>
      <w:r>
        <w:t xml:space="preserve">so the second pair carries both incomparability and harm.</w:t>
      </w:r>
      <w:r>
        <w:t xml:space="preserve"> </w:t>
      </w:r>
      <w:r>
        <w:rPr>
          <w:b/>
          <w:bCs/>
        </w:rPr>
        <w:t xml:space="preserve">(ii) Length-matched</w:t>
      </w:r>
      <w:r>
        <w:rPr>
          <w:b/>
          <w:bCs/>
        </w:rPr>
        <w:t xml:space="preserve"> </w:t>
      </w:r>
      <w:r>
        <w:rPr>
          <w:b/>
          <w:bCs/>
        </w:rPr>
        <w:t xml:space="preserve">padding</w:t>
      </w:r>
      <w:r>
        <w:t xml:space="preserve">: filler character-matched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 ceiling (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; harm verified, upper</w:t>
      </w:r>
      <w:r>
        <w:t xml:space="preserve"> </w:t>
      </w:r>
      <m:oMath>
        <m:r>
          <m:rPr>
            <m:sty m:val="p"/>
          </m:rPr>
          <m:t>−</m:t>
        </m:r>
        <m:r>
          <m:t>0.67</m:t>
        </m:r>
      </m:oMath>
      <w:r>
        <w:t xml:space="preserve">), attributing the collapse to the</w:t>
      </w:r>
      <w:r>
        <w:t xml:space="preserve"> </w:t>
      </w:r>
      <w:r>
        <w:t xml:space="preserve">added signal rather than by the filler of equal character length.</w:t>
      </w:r>
      <w:r>
        <w:t xml:space="preserve"> </w:t>
      </w:r>
      <w:r>
        <w:rPr>
          <w:b/>
          <w:bCs/>
        </w:rPr>
        <w:t xml:space="preserve">(iii) Routing instruction</w:t>
      </w:r>
      <w:r>
        <w:t xml:space="preserve">: a one-line convention-routing note recovers most of the collapse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80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22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68</m:t>
        </m:r>
        <m:r>
          <m:rPr>
            <m:sty m:val="p"/>
          </m:rPr>
          <m:t>%</m:t>
        </m:r>
      </m:oMath>
      <w:r>
        <w:t xml:space="preserve">; both separated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) while remaining directionally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 the carrying cell; writing that note requires knowing which source is decisive for which task family,</w:t>
      </w:r>
      <w:r>
        <w:t xml:space="preserve"> </w:t>
      </w:r>
      <w:r>
        <w:t xml:space="preserve">which is exactly the coordinate structure the partial order formalizes, so the cure presupposes</w:t>
      </w:r>
      <w:r>
        <w:t xml:space="preserve"> </w:t>
      </w:r>
      <w:r>
        <w:t xml:space="preserve">the diagnosis.</w:t>
      </w:r>
      <w:r>
        <w:t xml:space="preserve"> </w:t>
      </w:r>
      <w:r>
        <w:rPr>
          <w:b/>
          <w:bCs/>
        </w:rPr>
        <w:t xml:space="preserve">(iv) Structured context</w:t>
      </w:r>
      <w:r>
        <w:t xml:space="preserve">: wrapping the same two conventions in labeled XML</w:t>
      </w:r>
      <w:r>
        <w:t xml:space="preserve"> </w:t>
      </w:r>
      <w:r>
        <w:t xml:space="preserve">sections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any routing statement mitigates only weakly (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45</m:t>
        </m:r>
        <m:r>
          <m:rPr>
            <m:sty m:val="p"/>
          </m:rPr>
          <m:t>%</m:t>
        </m:r>
      </m:oMath>
      <w:r>
        <w:t xml:space="preserve"> </w:t>
      </w:r>
      <w:r>
        <w:t xml:space="preserve">on the carrying</w:t>
      </w:r>
      <w:r>
        <w:t xml:space="preserve"> </w:t>
      </w:r>
      <w:r>
        <w:t xml:space="preserve">cell, versus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with the routing note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alone; verified against the raw</w:t>
      </w:r>
      <w:r>
        <w:t xml:space="preserve"> </w:t>
      </w:r>
      <w:r>
        <w:t xml:space="preserve">superset, still far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so segmentation alone does not cure the interference, the</w:t>
      </w:r>
      <w:r>
        <w:t xml:space="preserve"> </w:t>
      </w:r>
      <w:r>
        <w:t xml:space="preserve">operative variable is routing knowledge. The mitigation hierarchy, raw superset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structure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routing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dropping the dominated signal, is itself a finding: it locates the failure in</w:t>
      </w:r>
      <w:r>
        <w:t xml:space="preserve"> </w:t>
      </w:r>
      <w:r>
        <w:t xml:space="preserve">convention-to-task routing rather than in convention segmentation.</w:t>
      </w:r>
    </w:p>
    <w:bookmarkEnd w:id="97"/>
    <w:bookmarkStart w:id="102" w:name="sec:results-policies"/>
    <w:p>
      <w:pPr>
        <w:pStyle w:val="Heading2"/>
      </w:pPr>
      <w:r>
        <w:t xml:space="preserve">The engineering consequence: four selection policies, one measured table</w:t>
      </w:r>
    </w:p>
    <w:p>
      <w:pPr>
        <w:pStyle w:val="FirstParagraph"/>
      </w:pPr>
      <w:r>
        <w:t xml:space="preserve">The formal results reduce to a comparison an engineer can act on. On the measured pair there are</w:t>
      </w:r>
      <w:r>
        <w:t xml:space="preserve"> </w:t>
      </w:r>
      <w:r>
        <w:t xml:space="preserve">four things a selection layer can do, and every one of them was measured (Table A1);</w:t>
      </w:r>
      <w:r>
        <w:t xml:space="preserve"> </w:t>
      </w:r>
      <w:r>
        <w:t xml:space="preserve">Table 5 scores them per model as mean PASS over the four verified cells.</w:t>
      </w:r>
      <w:r>
        <w:t xml:space="preserve"> </w:t>
      </w:r>
      <w:r>
        <w:rPr>
          <w:i/>
          <w:iCs/>
        </w:rPr>
        <w:t xml:space="preserve">Best fixed source</w:t>
      </w:r>
      <w:r>
        <w:t xml:space="preserve"> </w:t>
      </w:r>
      <w:r>
        <w:t xml:space="preserve">grants the entire query-independent-scalar class its best case: any such</w:t>
      </w:r>
      <w:r>
        <w:t xml:space="preserve"> </w:t>
      </w:r>
      <w:r>
        <w:t xml:space="preserve">scalar induces one total order, hence one top-1 reused for every task, and we let it pick the</w:t>
      </w:r>
      <w:r>
        <w:t xml:space="preserve"> </w:t>
      </w:r>
      <w:r>
        <w:t xml:space="preserve">oracle-best source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 model).</w:t>
      </w:r>
      <w:r>
        <w:t xml:space="preserve"> </w:t>
      </w:r>
      <w:r>
        <w:rPr>
          <w:i/>
          <w:iCs/>
        </w:rPr>
        <w:t xml:space="preserve">Topical top-1</w:t>
      </w:r>
      <w:r>
        <w:t xml:space="preserve"> </w:t>
      </w:r>
      <w:r>
        <w:t xml:space="preserve">re-scores per task with topical</w:t>
      </w:r>
      <w:r>
        <w:t xml:space="preserve"> </w:t>
      </w:r>
      <w:r>
        <w:t xml:space="preserve">relevance, choosing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API cells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encoding, but also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trap,</w:t>
      </w:r>
      <w:r>
        <w:t xml:space="preserve"> </w:t>
      </w:r>
      <w:r>
        <w:t xml:space="preserve">where every measured topical ranker puts the wrong source first</w:t>
      </w:r>
      <w:r>
        <w:t xml:space="preserve"> </w:t>
      </w:r>
      <w:r>
        <w:t xml:space="preserve">(§7.4.2).</w:t>
      </w:r>
      <w:r>
        <w:t xml:space="preserve"> </w:t>
      </w:r>
      <w:r>
        <w:rPr>
          <w:i/>
          <w:iCs/>
        </w:rPr>
        <w:t xml:space="preserve">Concatenate both</w:t>
      </w:r>
      <w:r>
        <w:t xml:space="preserve"> </w:t>
      </w:r>
      <w:r>
        <w:t xml:space="preserve">refuses to choose and submits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.</w:t>
      </w:r>
      <w:r>
        <w:t xml:space="preserve"> </w:t>
      </w:r>
      <w:r>
        <w:rPr>
          <w:i/>
          <w:iCs/>
        </w:rPr>
        <w:t xml:space="preserve">Oracle over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keeps the non-dominated pair and takes the per-cell maximum of</w:t>
      </w:r>
      <w:r>
        <w:t xml:space="preserve"> </w:t>
      </w:r>
      <w:r>
        <w:t xml:space="preserve">the two. It is the benchmark the partial order licenses one to aim at, and its price is exactly</w:t>
      </w:r>
      <w:r>
        <w:t xml:space="preserve"> </w:t>
      </w:r>
      <w:r>
        <w:t xml:space="preserve">one probe’s worth of knowledge, namely which source is decisive for which family. We report it as</w:t>
      </w:r>
      <w:r>
        <w:t xml:space="preserve"> </w:t>
      </w:r>
      <w:r>
        <w:t xml:space="preserve">an oracle rather than as an achieved result because the per-cell maximum is read off the same</w:t>
      </w:r>
      <w:r>
        <w:t xml:space="preserve"> </w:t>
      </w:r>
      <w:r>
        <w:t xml:space="preserve">outcomes it is scored on; a deployable router would have to be fixed before testing and evaluated</w:t>
      </w:r>
      <w:r>
        <w:t xml:space="preserve"> </w:t>
      </w:r>
      <w:r>
        <w:t xml:space="preserve">on held-out tasks, against matched latency and token budgets. This paper does not do that, and</w:t>
      </w:r>
      <w:r>
        <w:t xml:space="preserve"> </w:t>
      </w:r>
      <w:r>
        <w:t xml:space="preserve">the number below should not be read as a measured gain from a shipped selector.</w:t>
      </w:r>
    </w:p>
    <w:bookmarkStart w:id="98" w:name="tab:policies"/>
    <w:p>
      <w:pPr>
        <w:pStyle w:val="TableCaption"/>
      </w:pPr>
      <w:r>
        <w:t xml:space="preserve">Mean PASS (%) over the four verified cells under four selection policies, per model,</w:t>
      </w:r>
      <w:r>
        <w:t xml:space="preserve"> </w:t>
      </w:r>
      <w:r>
        <w:t xml:space="preserve">computed from the per-cell PASS counts behind Table A1 (averaging the rounded</w:t>
      </w:r>
      <w:r>
        <w:t xml:space="preserve"> </w:t>
      </w:r>
      <w:r>
        <w:t xml:space="preserve">percentages instead would shift a column by up to</w:t>
      </w:r>
      <w:r>
        <w:t xml:space="preserve"> </w:t>
      </w:r>
      <m:oMath>
        <m:r>
          <m:t>0.4</m:t>
        </m:r>
      </m:oMath>
      <w:r>
        <w:t xml:space="preserve">). The last column is the per-cell maximum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i/>
          <w:iCs/>
        </w:rPr>
        <w:t xml:space="preserve">read off the test outcomes</w:t>
      </w:r>
      <w:r>
        <w:t xml:space="preserve">: an empirical oracle over the pair, not a</w:t>
      </w:r>
      <w:r>
        <w:t xml:space="preserve"> </w:t>
      </w:r>
      <w:r>
        <w:t xml:space="preserve">router fixed in advance and then evaluated, and not a confidence bound on any policy’s population</w:t>
      </w:r>
      <w:r>
        <w:t xml:space="preserve"> </w:t>
      </w:r>
      <w:r>
        <w:t xml:space="preserve">quality. It is also not a ceiling over all selection policies, since it excludes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as a</w:t>
      </w:r>
      <w:r>
        <w:t xml:space="preserve"> </w:t>
      </w:r>
      <w:r>
        <w:t xml:space="preserve">candidate: admitting it raises the Haiku oracle from</w:t>
      </w:r>
      <w:r>
        <w:t xml:space="preserve"> </w:t>
      </w:r>
      <m:oMath>
        <m:r>
          <m:t>85.6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86.25</m:t>
        </m:r>
      </m:oMath>
      <w:r>
        <w:t xml:space="preserve">, because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edges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trap cell.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n PASS (%) over the four verified cells under four selection policies, per model, computed from the per-cell PASS counts behind Table A1 (averaging the rounded percentages instead would shift a column by up to 0.4). The last column is the per-cell maximum of W_1 and W_2 read off the test outcomes: an empirical oracle over the pair, not a router fixed in advance and then evaluated, and not a confidence bound on any policy’s population quality. It is also not a ceiling over all selection policies, since it excludes W_{1+} as a candidate: admitting it raises the Haiku oracle from 85.6 to 86.25, because W_{1+} edges W_1 on the trap cell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fixed 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Topical top-1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Concatenate (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Oracle over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99.4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99.4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76.9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93.3</w:t>
            </w:r>
          </w:p>
        </w:tc>
      </w:tr>
    </w:tbl>
    <w:bookmarkEnd w:id="98"/>
    <w:p>
      <w:pPr>
        <w:pStyle w:val="BodyText"/>
      </w:pPr>
      <w:bookmarkStart w:id="99" w:name="tab:policies"/>
      <w:bookmarkEnd w:id="99"/>
    </w:p>
    <w:bookmarkStart w:id="100" w:name="fig:policies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Mean PASS over the four verified cells under the four selection policies of</w:t>
      </w:r>
      <w:r>
        <w:t xml:space="preserve"> </w:t>
      </w:r>
      <w:r>
        <w:t xml:space="preserve">Table 5, per model. Two things are visible that the table states in prose. The two</w:t>
      </w:r>
      <w:r>
        <w:t xml:space="preserve"> </w:t>
      </w:r>
      <w:r>
        <w:t xml:space="preserve">scalar policies land within about a point of each other on most models while failing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cells, so the ceiling is the policy class rather than the choice of scorer. And</w:t>
      </w:r>
      <w:r>
        <w:t xml:space="preserve"> </w:t>
      </w:r>
      <w:r>
        <w:t xml:space="preserve">concatenating both sources is the</w:t>
      </w:r>
      <w:r>
        <w:t xml:space="preserve"> </w:t>
      </w:r>
      <w:r>
        <w:rPr>
          <w:i/>
          <w:iCs/>
        </w:rPr>
        <w:t xml:space="preserve">worst</w:t>
      </w:r>
      <w:r>
        <w:t xml:space="preserve"> </w:t>
      </w:r>
      <w:r>
        <w:t xml:space="preserve">of the four on every model, below even a fixed</w:t>
      </w:r>
      <w:r>
        <w:t xml:space="preserve"> </w:t>
      </w:r>
      <w:r>
        <w:t xml:space="preserve">single source: refusing to choose costs more than choosing wrongly. The last column reads the</w:t>
      </w:r>
      <w:r>
        <w:t xml:space="preserve"> </w:t>
      </w:r>
      <w:r>
        <w:t xml:space="preserve">per-cell maximum off the test outcomes and is an oracle over the pair, not a router fixed in</w:t>
      </w:r>
      <w:r>
        <w:t xml:space="preserve"> </w:t>
      </w:r>
      <w:r>
        <w:t xml:space="preserve">advance and then evaluated.</w:t>
      </w:r>
    </w:p>
    <w:bookmarkEnd w:id="100"/>
    <w:p>
      <w:pPr>
        <w:pStyle w:val="BodyText"/>
      </w:pPr>
      <w:r>
        <w:t xml:space="preserve">Three structural facts, not the magnitudes, are the point. First, the two scalar policies fail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cells, the fixed source can never carry encoding, topical top-1 forfeits the trap,</w:t>
      </w:r>
      <w:r>
        <w:t xml:space="preserve"> </w:t>
      </w:r>
      <w:r>
        <w:t xml:space="preserve">yet land within about one point of the same aggregate: the cap is the policy</w:t>
      </w:r>
      <w:r>
        <w:t xml:space="preserve"> </w:t>
      </w:r>
      <w:r>
        <w:rPr>
          <w:i/>
          <w:iCs/>
        </w:rPr>
        <w:t xml:space="preserve">class</w:t>
      </w:r>
      <w:r>
        <w:t xml:space="preserve">, since</w:t>
      </w:r>
      <w:r>
        <w:t xml:space="preserve"> </w:t>
      </w:r>
      <w:r>
        <w:t xml:space="preserve">any total order must abandon at least one cell, not the choice of scorer</w:t>
      </w:r>
      <w:r>
        <w:t xml:space="preserve"> </w:t>
      </w:r>
      <w:r>
        <w:t xml:space="preserve">(Theorem 2, Proposition 2). Second, the policy that</w:t>
      </w:r>
      <w:r>
        <w:t xml:space="preserve"> </w:t>
      </w:r>
      <w:r>
        <w:t xml:space="preserve">refuses to choose is the</w:t>
      </w:r>
      <w:r>
        <w:t xml:space="preserve"> </w:t>
      </w:r>
      <w:r>
        <w:rPr>
          <w:i/>
          <w:iCs/>
        </w:rPr>
        <w:t xml:space="preserve">worst</w:t>
      </w:r>
      <w:r>
        <w:t xml:space="preserve"> </w:t>
      </w:r>
      <w:r>
        <w:t xml:space="preserve">of the four: anti-monotonicity is the dominant cost, not a</w:t>
      </w:r>
      <w:r>
        <w:t xml:space="preserve"> </w:t>
      </w:r>
      <w:r>
        <w:t xml:space="preserve">tie-breaking subtlety (§7.4.3). Third, the oracle column shows what</w:t>
      </w:r>
      <w:r>
        <w:t xml:space="preserve"> </w:t>
      </w:r>
      <w:r>
        <w:t xml:space="preserve">selection over the pair could have recovered had the deciding source been chosen on every cell;</w:t>
      </w:r>
      <w:r>
        <w:t xml:space="preserve"> </w:t>
      </w:r>
      <w:r>
        <w:t xml:space="preserve">its shortfall from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is not selection error, though neither is it all capability. For</w:t>
      </w:r>
      <w:r>
        <w:t xml:space="preserve"> </w:t>
      </w:r>
      <w:r>
        <w:t xml:space="preserve">DeepSeek (</w:t>
      </w:r>
      <m:oMath>
        <m:r>
          <m:t>68</m:t>
        </m:r>
      </m:oMath>
      <w:r>
        <w:t xml:space="preserve">–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band) it is the model’s own capability limit; for Haiku the apparent</w:t>
      </w:r>
      <w:r>
        <w:t xml:space="preserve"> </w:t>
      </w:r>
      <m:oMath>
        <m:r>
          <m:t>52</m:t>
        </m:r>
        <m:r>
          <m:rPr>
            <m:sty m:val="p"/>
          </m:rPr>
          <m:t>%</m:t>
        </m:r>
      </m:oMath>
      <w:r>
        <w:t xml:space="preserve"> </w:t>
      </w:r>
      <w:r>
        <w:t xml:space="preserve">ceiling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is not even that. A raw-failure audit () shows</w:t>
      </w:r>
      <w:r>
        <w:t xml:space="preserve"> </w:t>
      </w:r>
      <w:r>
        <w:t xml:space="preserve">every Haiku reply on that cell calls the private contract correctly and the deficit is an omitted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line; with the import neutralized,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scores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. One limit on reading these magnitudes: the four</w:t>
      </w:r>
      <w:r>
        <w:t xml:space="preserve"> </w:t>
      </w:r>
      <w:r>
        <w:t xml:space="preserve">cells were constructed to exhibit the phenomenon, so the aggregate magnitudes are diagnostic of the</w:t>
      </w:r>
      <w:r>
        <w:t xml:space="preserve"> </w:t>
      </w:r>
      <w:r>
        <w:t xml:space="preserve">failure structure, not an estimate of production-traffic gains; what transfers is the structure,</w:t>
      </w:r>
      <w:r>
        <w:t xml:space="preserve"> </w:t>
      </w:r>
      <w:r>
        <w:t xml:space="preserve">each of the two scalar policies measured here forfeits an entire cell class, and no single task-independent ranking keeps all four.</w:t>
      </w:r>
    </w:p>
    <w:bookmarkStart w:id="101" w:name="what-follows-for-practice."/>
    <w:p>
      <w:pPr>
        <w:pStyle w:val="Heading4"/>
      </w:pPr>
      <w:r>
        <w:t xml:space="preserve">What follows for practice.</w:t>
      </w:r>
    </w:p>
    <w:p>
      <w:pPr>
        <w:pStyle w:val="FirstParagraph"/>
      </w:pPr>
      <w:r>
        <w:t xml:space="preserve">Five statements survive the caveats above and can be acted</w:t>
      </w:r>
      <w:r>
        <w:t xml:space="preserve"> </w:t>
      </w:r>
      <w:r>
        <w:t xml:space="preserve">on directly. (i) One number per source is structurally lossy: when two sources each carry a</w:t>
      </w:r>
      <w:r>
        <w:t xml:space="preserve"> </w:t>
      </w:r>
      <w:r>
        <w:t xml:space="preserve">decisive fact, any single task-independent ranking drops one of them</w:t>
      </w:r>
      <w:r>
        <w:t xml:space="preserve"> </w:t>
      </w:r>
      <w:r>
        <w:t xml:space="preserve">(Theorem 2). A threshold that instead</w:t>
      </w:r>
      <w:r>
        <w:t xml:space="preserve"> </w:t>
      </w:r>
      <w:r>
        <w:rPr>
          <w:i/>
          <w:iCs/>
        </w:rPr>
        <w:t xml:space="preserve">concatenates</w:t>
      </w:r>
      <w:r>
        <w:t xml:space="preserve"> </w:t>
      </w:r>
      <w:r>
        <w:t xml:space="preserve">both is not</w:t>
      </w:r>
      <w:r>
        <w:t xml:space="preserve"> </w:t>
      </w:r>
      <w:r>
        <w:t xml:space="preserve">forbidden by the theorem, but on this pair it is the worst of the four policies measured</w:t>
      </w:r>
      <w:r>
        <w:t xml:space="preserve"> </w:t>
      </w:r>
      <w:r>
        <w:t xml:space="preserve">(Table 5). (ii) Do not cache a source’s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across task families;</w:t>
      </w:r>
      <w:r>
        <w:t xml:space="preserve"> </w:t>
      </w:r>
      <w:r>
        <w:t xml:space="preserve">cache retrieval representations instead, because the value is model- and task-relative</w:t>
      </w:r>
      <w:r>
        <w:t xml:space="preserve"> </w:t>
      </w:r>
      <w:r>
        <w:t xml:space="preserve">(§7.4.4). (iii) Adding correct, on-topic text to a working prompt can break it, by</w:t>
      </w:r>
      <w:r>
        <w:t xml:space="preserve"> </w:t>
      </w:r>
      <w:r>
        <w:t xml:space="preserve">as much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, so a regression after enlarging the context is a candidate</w:t>
      </w:r>
      <w:r>
        <w:t xml:space="preserve"> </w:t>
      </w:r>
      <w:r>
        <w:t xml:space="preserve">anti-monotonicity collapse before it is a model failure (§7.4.3).</w:t>
      </w:r>
      <w:r>
        <w:t xml:space="preserve"> </w:t>
      </w:r>
      <w:r>
        <w:t xml:space="preserve">(iv) When two candidates win on different tasks, keep both and route by task rather than forcing a</w:t>
      </w:r>
      <w:r>
        <w:t xml:space="preserve"> </w:t>
      </w:r>
      <w:r>
        <w:t xml:space="preserve">global top-</w:t>
      </w:r>
      <m:oMath>
        <m:r>
          <m:t>1</m:t>
        </m:r>
      </m:oMath>
      <w:r>
        <w:t xml:space="preserve">. Keeping both is what makes the per-cell maximum reachable; it does not by itself</w:t>
      </w:r>
      <w:r>
        <w:t xml:space="preserve"> </w:t>
      </w:r>
      <w:r>
        <w:t xml:space="preserve">route correctly on a new task, and concatenating the two instead is the worst policy measured</w:t>
      </w:r>
      <w:r>
        <w:t xml:space="preserve"> </w:t>
      </w:r>
      <w:r>
        <w:t xml:space="preserve">(Table 5). (v) A cheap topical ranker fails exactly where the surface lexicon</w:t>
      </w:r>
      <w:r>
        <w:t xml:space="preserve"> </w:t>
      </w:r>
      <w:r>
        <w:t xml:space="preserve">points at the wrong source, which is where a listwise reader earns its cost</w:t>
      </w:r>
      <w:r>
        <w:t xml:space="preserve"> </w:t>
      </w:r>
      <w:r>
        <w:t xml:space="preserve">(Proposition 2). Each is measurable on any stack with the released</w:t>
      </w:r>
      <w:r>
        <w:t xml:space="preserve"> </w:t>
      </w:r>
      <w:r>
        <w:t xml:space="preserve">harness.</w:t>
      </w:r>
    </w:p>
    <w:bookmarkEnd w:id="101"/>
    <w:bookmarkEnd w:id="102"/>
    <w:bookmarkEnd w:id="103"/>
    <w:bookmarkStart w:id="118" w:name="sec: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With the evidence in hand, we step back to what it licenses. Our results recast a piece of</w:t>
      </w:r>
      <w:r>
        <w:t xml:space="preserve"> </w:t>
      </w:r>
      <w:r>
        <w:t xml:space="preserve">practitioner folklore,</w:t>
      </w:r>
      <w:r>
        <w:t xml:space="preserve"> </w:t>
      </w:r>
      <w:r>
        <w:t xml:space="preserve">“relevance does not transfer across</w:t>
      </w:r>
      <w:r>
        <w:t xml:space="preserve"> </w:t>
      </w:r>
      <w:r>
        <w:t xml:space="preserve">tasks”</w:t>
      </w:r>
      <w:r>
        <w:t xml:space="preserve">, as a structural fact about context sources. When two sources are Blackwell-incomparable, the</w:t>
      </w:r>
      <w:r>
        <w:t xml:space="preserve"> </w:t>
      </w:r>
      <w:r>
        <w:t xml:space="preserve">order over them is partial, and any scalar score, by imposing a total order, must mis-rank</w:t>
      </w:r>
      <w:r>
        <w:t xml:space="preserve"> </w:t>
      </w:r>
      <w:r>
        <w:t xml:space="preserve">them on some task. The empirical program does not merely illustrate this; it instantiates a single</w:t>
      </w:r>
      <w:r>
        <w:t xml:space="preserve"> </w:t>
      </w:r>
      <w:r>
        <w:t xml:space="preserve">hand-built incomparable pair (a private API-call contract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 a private wire-encoding</w:t>
      </w:r>
      <w:r>
        <w:t xml:space="preserve"> </w:t>
      </w:r>
      <w:r>
        <w:t xml:space="preserve">invariant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same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module) and shows that the resulting double crossover, the</w:t>
      </w:r>
      <w:r>
        <w:t xml:space="preserve"> </w:t>
      </w:r>
      <w:r>
        <w:t xml:space="preserve">relevance mis-rank, and an anti-monotonicity collapse all reproduce across six models and four</w:t>
      </w:r>
      <w:r>
        <w:t xml:space="preserve"> </w:t>
      </w:r>
      <w:r>
        <w:t xml:space="preserve">vendors. We discuss what the evidence does and does not license, and where the</w:t>
      </w:r>
      <w:r>
        <w:t xml:space="preserve"> </w:t>
      </w:r>
      <w:r>
        <w:t xml:space="preserve">formalization is a model rather than a proof of the realized object.</w:t>
      </w:r>
    </w:p>
    <w:bookmarkStart w:id="106" w:name="sec:disc-bridge"/>
    <w:p>
      <w:pPr>
        <w:pStyle w:val="Heading2"/>
      </w:pPr>
      <w:r>
        <w:t xml:space="preserve">Scope of the claims</w:t>
      </w:r>
    </w:p>
    <w:p>
      <w:pPr>
        <w:pStyle w:val="FirstParagraph"/>
      </w:pPr>
      <w:bookmarkStart w:id="104" w:name="sec:disc-deficiency"/>
      <w:bookmarkEnd w:id="104"/>
      <w:bookmarkStart w:id="105" w:name="sec:disc-certificate"/>
      <w:bookmarkEnd w:id="105"/>
    </w:p>
    <w:p>
      <w:pPr>
        <w:pStyle w:val="BodyText"/>
      </w:pPr>
      <w:r>
        <w:t xml:space="preserve">Three limits of scope govern everything above.</w:t>
      </w:r>
      <w:r>
        <w:t xml:space="preserve"> </w:t>
      </w:r>
      <w:r>
        <w:rPr>
          <w:b/>
          <w:bCs/>
        </w:rPr>
        <w:t xml:space="preserve">(i) Two registers.</w:t>
      </w:r>
      <w:r>
        <w:t xml:space="preserve"> </w:t>
      </w:r>
      <w:r>
        <w:t xml:space="preserve">The theorems are about</w:t>
      </w:r>
      <w:r>
        <w:t xml:space="preserve"> </w:t>
      </w:r>
      <w:r>
        <w:t xml:space="preserve">the ideal user of a source; every number we measure is the pass rate of one fixed, non-optimal</w:t>
      </w:r>
      <w:r>
        <w:t xml:space="preserve"> </w:t>
      </w:r>
      <w:r>
        <w:t xml:space="preserve">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Lemma 2 connects the two in the direction we need: a verified</w:t>
      </w:r>
      <w:r>
        <w:t xml:space="preserve"> </w:t>
      </w:r>
      <w:r>
        <w:t xml:space="preserve">crossover on tasks where each source supplies its own decisive fact implies genuine Blackwell</w:t>
      </w:r>
      <w:r>
        <w:t xml:space="preserve"> </w:t>
      </w:r>
      <w:r>
        <w:t xml:space="preserve">incomparability, and the reverse needs an extra assumption (Assumption 1) that our</w:t>
      </w:r>
      <w:r>
        <w:t xml:space="preserve"> </w:t>
      </w:r>
      <w:r>
        <w:t xml:space="preserve">task design is built to make attainable and our measurements confirm on the named pairs. So we read the result as a statement about the</w:t>
      </w:r>
      <w:r>
        <w:t xml:space="preserve"> </w:t>
      </w:r>
      <w:r>
        <w:t xml:space="preserve">fixed model on a fixed battery that</w:t>
      </w:r>
      <w:r>
        <w:t xml:space="preserve"> </w:t>
      </w:r>
      <w:r>
        <w:rPr>
          <w:i/>
          <w:iCs/>
        </w:rPr>
        <w:t xml:space="preserve">earns</w:t>
      </w:r>
      <w:r>
        <w:t xml:space="preserve"> </w:t>
      </w:r>
      <w:r>
        <w:t xml:space="preserve">the structural conclusion through the bridge</w:t>
      </w:r>
      <w:r>
        <w:t xml:space="preserve"> </w:t>
      </w:r>
      <w:r>
        <w:t xml:space="preserve">rather than assuming it.</w:t>
      </w:r>
      <w:r>
        <w:t xml:space="preserve"> </w:t>
      </w:r>
      <w:r>
        <w:rPr>
          <w:b/>
          <w:bCs/>
        </w:rPr>
        <w:t xml:space="preserve">(ii) The estimator’s name.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does no minimization</w:t>
      </w:r>
      <w:r>
        <w:t xml:space="preserve"> </w:t>
      </w:r>
      <w:r>
        <w:t xml:space="preserve">over garblings and ranges over a fixed set of tasks; it is a one-sided</w:t>
      </w:r>
      <w:r>
        <w:t xml:space="preserve"> </w:t>
      </w:r>
      <w:r>
        <w:rPr>
          <w:i/>
          <w:iCs/>
        </w:rPr>
        <w:t xml:space="preserve">value-deficiency</w:t>
      </w:r>
      <w:r>
        <w:rPr>
          <w:i/>
          <w:iCs/>
        </w:rPr>
        <w:t xml:space="preserve"> </w:t>
      </w:r>
      <w:r>
        <w:rPr>
          <w:i/>
          <w:iCs/>
        </w:rPr>
        <w:t xml:space="preserve">surrogate</w:t>
      </w:r>
      <w:r>
        <w:t xml:space="preserve">, not a Le Cam deficiency, and the two are not interchangeable for a fixed rule</w:t>
      </w:r>
      <w:r>
        <w:t xml:space="preserve"> </w:t>
      </w:r>
      <w:r>
        <w:t xml:space="preserve">(Remark 8). What is rigorous is the verification, which we regard as the most</w:t>
      </w:r>
      <w:r>
        <w:t xml:space="preserve"> </w:t>
      </w:r>
      <w:r>
        <w:t xml:space="preserve">robust part and which stands whether or not the deficiency analogy holds.</w:t>
      </w:r>
      <w:r>
        <w:t xml:space="preserve"> </w:t>
      </w:r>
      <w:r>
        <w:rPr>
          <w:b/>
          <w:bCs/>
        </w:rPr>
        <w:t xml:space="preserve">(iii) What the</w:t>
      </w:r>
      <w:r>
        <w:rPr>
          <w:b/>
          <w:bCs/>
        </w:rPr>
        <w:t xml:space="preserve"> </w:t>
      </w:r>
      <w:r>
        <w:rPr>
          <w:b/>
          <w:bCs/>
        </w:rPr>
        <w:t xml:space="preserve">verification covers.</w:t>
      </w:r>
      <w:r>
        <w:t xml:space="preserve"> </w:t>
      </w:r>
      <w:r>
        <w:t xml:space="preserve">It is correct because it pays for picking the worst task with exact intervals</w:t>
      </w:r>
      <w:r>
        <w:t xml:space="preserve"> </w:t>
      </w:r>
      <w:r>
        <w:t xml:space="preserve">and a union bound; its support is small (two of the four cells carry each model’s result, and</w:t>
      </w:r>
      <w:r>
        <w:t xml:space="preserve"> </w:t>
      </w:r>
      <w:r>
        <w:t xml:space="preserve">which two is model-specific: an API cell and the encoding cell on five models, the trap cell</w:t>
      </w:r>
      <w:r>
        <w:t xml:space="preserve"> </w:t>
      </w:r>
      <w:r>
        <w:t xml:space="preserve">rather than an API cell on DeepSeek-V4-Pro), each claim is controlled on its own at level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rather than all at once</w:t>
      </w:r>
      <w:r>
        <w:t xml:space="preserve"> </w:t>
      </w:r>
      <w:r>
        <w:t xml:space="preserve">(§6.5), and we call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 fixed adversarial battery, not a task distribution.</w:t>
      </w:r>
    </w:p>
    <w:bookmarkEnd w:id="106"/>
    <w:bookmarkStart w:id="107" w:name="sec:disc-antimono"/>
    <w:p>
      <w:pPr>
        <w:pStyle w:val="Heading2"/>
      </w:pPr>
      <w:r>
        <w:t xml:space="preserve">Anti-monotonicity is real, verified, but not capability-ordered</w:t>
      </w:r>
    </w:p>
    <w:p>
      <w:pPr>
        <w:pStyle w:val="FirstParagraph"/>
      </w:pPr>
      <w:r>
        <w:t xml:space="preserve">The harm object is the direct contrast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which measures</w:t>
      </w:r>
      <w:r>
        <w:t xml:space="preserve"> </w:t>
      </w:r>
      <w:r>
        <w:t xml:space="preserve">whether appending the (irrelevant-to-this-task)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 a sufficient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degrades performance</w:t>
      </w:r>
      <w:r>
        <w:t xml:space="preserve"> </w:t>
      </w:r>
      <w:r>
        <w:t xml:space="preserve">(the second difference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an interaction term, not a harm measure;</w:t>
      </w:r>
      <w:r>
        <w:t xml:space="preserve"> </w:t>
      </w:r>
      <w:r>
        <w:t xml:space="preserve">Remark 9). We verify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0.30</m:t>
        </m:r>
      </m:oMath>
      <w:r>
        <w:t xml:space="preserve"> </w:t>
      </w:r>
      <w:r>
        <w:t xml:space="preserve">on at least one cell for all six</w:t>
      </w:r>
      <w:r>
        <w:t xml:space="preserve"> </w:t>
      </w:r>
      <w:r>
        <w:t xml:space="preserve">models (Table 4), with collapses as stark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(upper bound</w:t>
      </w:r>
      <w:r>
        <w:t xml:space="preserve"> </w:t>
      </w:r>
      <m:oMath>
        <m:r>
          <m:rPr>
            <m:sty m:val="p"/>
          </m:rPr>
          <m:t>−</m:t>
        </m:r>
        <m:r>
          <m:t>0.85</m:t>
        </m:r>
      </m:oMath>
      <w:r>
        <w:t xml:space="preserve">) on Sonnet, GPT-5.5 and Kimi. This is a verified empirical falsification of</w:t>
      </w:r>
      <w:r>
        <w:t xml:space="preserve"> </w:t>
      </w:r>
      <w:r>
        <w:t xml:space="preserve">superset-</w:t>
      </w:r>
      <w:r>
        <w:rPr>
          <w:i/>
          <w:iCs/>
        </w:rPr>
        <w:t xml:space="preserve">monotonicity</w:t>
      </w:r>
      <w:r>
        <w:t xml:space="preserve"> </w:t>
      </w:r>
      <w:r>
        <w:t xml:space="preserve">for these fixed rules (Theorem 3): a literal</w:t>
      </w:r>
      <w:r>
        <w:t xml:space="preserve"> </w:t>
      </w:r>
      <w:r>
        <w:t xml:space="preserve">superset of a sufficient signal can</w:t>
      </w:r>
      <w:r>
        <w:t xml:space="preserve"> </w:t>
      </w:r>
      <w:r>
        <w:t xml:space="preserve">sharply reduce PASS, which no monotone scalar context-value score can represent.</w:t>
      </w:r>
    </w:p>
    <w:p>
      <w:pPr>
        <w:pStyle w:val="BodyText"/>
      </w:pPr>
      <w:r>
        <w:t xml:space="preserve">Two cautions attach to it. The harm is robust across the capability ladder but not ordered by it</w:t>
      </w:r>
      <w:r>
        <w:t xml:space="preserve"> </w:t>
      </w:r>
      <w:r>
        <w:t xml:space="preserve">(§7.4.3), so we claim no capability trend. And which cell carries the</w:t>
      </w:r>
      <w:r>
        <w:t xml:space="preserve"> </w:t>
      </w:r>
      <w:r>
        <w:t xml:space="preserve">verification is still a choice: we fix it per model before unblinding rather than picking the</w:t>
      </w:r>
      <w:r>
        <w:t xml:space="preserve"> </w:t>
      </w:r>
      <w:r>
        <w:t xml:space="preserve">starkest afterwards, and cells differ in their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ceiling, so magnitudes are not comparable</w:t>
      </w:r>
      <w:r>
        <w:t xml:space="preserve"> </w:t>
      </w:r>
      <w:r>
        <w:t xml:space="preserve">across models even though each binary verdict stands on its own.</w:t>
      </w:r>
    </w:p>
    <w:bookmarkEnd w:id="107"/>
    <w:bookmarkStart w:id="108" w:name="sec:disc-mechanism"/>
    <w:p>
      <w:pPr>
        <w:pStyle w:val="Heading2"/>
      </w:pPr>
      <w:r>
        <w:t xml:space="preserve">Mechanism: a correlate, not an explanation</w:t>
      </w:r>
    </w:p>
    <w:p>
      <w:pPr>
        <w:pStyle w:val="FirstParagraph"/>
      </w:pPr>
      <w:r>
        <w:t xml:space="preserve">Every collapse is accompanied by output-token inflation on the harmful arm, between</w:t>
      </w:r>
      <w:r>
        <w:t xml:space="preserve"> </w:t>
      </w:r>
      <m:oMath>
        <m:r>
          <m:rPr>
            <m:sty m:val="p"/>
          </m:rPr>
          <m:t>+</m:t>
        </m:r>
        <m:r>
          <m:t>93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520</m:t>
        </m:r>
        <m:r>
          <m:rPr>
            <m:sty m:val="p"/>
          </m:rPr>
          <m:t>%</m:t>
        </m:r>
      </m:oMath>
      <w:r>
        <w:t xml:space="preserve"> </w:t>
      </w:r>
      <w:r>
        <w:t xml:space="preserve">on the two API cells. On the still-passing encoding cell the same superset arm ranges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73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114</m:t>
        </m:r>
        <m:r>
          <m:rPr>
            <m:sty m:val="p"/>
          </m:rPr>
          <m:t>%</m:t>
        </m:r>
      </m:oMath>
      <w:r>
        <w:t xml:space="preserve"> </w:t>
      </w:r>
      <w:r>
        <w:t xml:space="preserve">with no consistent direction, so the association does not establish an</w:t>
      </w:r>
      <w:r>
        <w:t xml:space="preserve"> </w:t>
      </w:r>
      <w:r>
        <w:t xml:space="preserve">internal cause and we treat it as a reproducible correlate of the harmful arm rather than a</w:t>
      </w:r>
      <w:r>
        <w:t xml:space="preserve"> </w:t>
      </w:r>
      <w:r>
        <w:t xml:space="preserve">mechanism. Per-model figures are in Appendix D.</w:t>
      </w:r>
    </w:p>
    <w:bookmarkEnd w:id="108"/>
    <w:bookmarkStart w:id="117" w:name="sec:limitations"/>
    <w:p>
      <w:pPr>
        <w:pStyle w:val="Heading2"/>
      </w:pPr>
      <w:r>
        <w:t xml:space="preserve">Limitations and threats to validity</w:t>
      </w:r>
    </w:p>
    <w:p>
      <w:pPr>
        <w:pStyle w:val="FirstParagraph"/>
      </w:pPr>
      <w:r>
        <w:t xml:space="preserve">We collect the scope restrictions here; each is stated once and sized to its weight.</w:t>
      </w:r>
    </w:p>
    <w:bookmarkStart w:id="109" w:name="from-diagnosis-to-selection."/>
    <w:p>
      <w:pPr>
        <w:pStyle w:val="Heading4"/>
      </w:pPr>
      <w:r>
        <w:t xml:space="preserve">From diagnosis to selection.</w:t>
      </w:r>
    </w:p>
    <w:p>
      <w:pPr>
        <w:pStyle w:val="FirstParagraph"/>
      </w:pPr>
      <w:r>
        <w:t xml:space="preserve">The constructive selection rule the partial order</w:t>
      </w:r>
      <w:r>
        <w:t xml:space="preserve"> </w:t>
      </w:r>
      <w:r>
        <w:t xml:space="preserve">implies, keep the verified non-dominated set and cover what it leaves uncovered, is left for</w:t>
      </w:r>
      <w:r>
        <w:t xml:space="preserve"> </w:t>
      </w:r>
      <w:r>
        <w:t xml:space="preserve">future work; here we note only its cost. Building the verified order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candidates costs</w:t>
      </w:r>
      <w:r>
        <w:t xml:space="preserve"> </w:t>
      </w:r>
      <m:oMath>
        <m:r>
          <m:t>m</m:t>
        </m:r>
        <m:r>
          <m:t>​</m:t>
        </m:r>
        <m:r>
          <m:rPr>
            <m:sty m:val="p"/>
          </m:rPr>
          <m:t>⋅</m:t>
        </m:r>
        <m:r>
          <m:t>​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t>​</m:t>
        </m:r>
        <m:r>
          <m:rPr>
            <m:sty m:val="p"/>
          </m:rPr>
          <m:t>⋅</m:t>
        </m:r>
        <m:r>
          <m:t>​</m:t>
        </m:r>
        <m:r>
          <m:t>n</m:t>
        </m:r>
      </m:oMath>
      <w:r>
        <w:t xml:space="preserve"> </w:t>
      </w:r>
      <w:r>
        <w:t xml:space="preserve">verifier-gated calls, curation scale, not corpus scale; scaling</w:t>
      </w:r>
      <w:r>
        <w:t xml:space="preserve"> </w:t>
      </w:r>
      <w:r>
        <w:t xml:space="preserve">verified selection to retrieval over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passages, by amortizing the probe into a learned</w:t>
      </w:r>
      <w:r>
        <w:t xml:space="preserve"> </w:t>
      </w:r>
      <w:r>
        <w:t xml:space="preserve">deficiency predictor or running the partial-order step as a re-ranking head over a scalar</w:t>
      </w:r>
      <w:r>
        <w:t xml:space="preserve"> </w:t>
      </w:r>
      <w:r>
        <w:t xml:space="preserve">shortlist, is the central open problem this work opens. Keeping a non-dominated set instead of a</w:t>
      </w:r>
      <w:r>
        <w:t xml:space="preserve"> </w:t>
      </w:r>
      <w:r>
        <w:t xml:space="preserve">top-</w:t>
      </w:r>
      <m:oMath>
        <m:r>
          <m:t>k</m:t>
        </m:r>
      </m:oMath>
      <w:r>
        <w:t xml:space="preserve"> </w:t>
      </w:r>
      <w:r>
        <w:t xml:space="preserve">prefix already exists as an operator, the skyline retrieval step of</w:t>
      </w:r>
      <w:r>
        <w:t xml:space="preserve"> </w:t>
      </w:r>
      <w:r>
        <w:t xml:space="preserve">Zhu et al. (2026)</w:t>
      </w:r>
      <w:r>
        <w:t xml:space="preserve">, and learned</w:t>
      </w:r>
      <w:r>
        <w:t xml:space="preserve"> </w:t>
      </w:r>
      <w:r>
        <w:t xml:space="preserve">set selectors optimize evidence sets end to end </w:t>
      </w:r>
      <w:r>
        <w:t xml:space="preserve">(Jiang et al. 2026; Fan et al. 2026)</w:t>
      </w:r>
      <w:r>
        <w:t xml:space="preserve">; what the partial</w:t>
      </w:r>
      <w:r>
        <w:t xml:space="preserve"> </w:t>
      </w:r>
      <w:r>
        <w:t xml:space="preserve">order adds is the object the set is taken over, verified task value rather than heuristic per-item</w:t>
      </w:r>
      <w:r>
        <w:t xml:space="preserve"> </w:t>
      </w:r>
      <w:r>
        <w:t xml:space="preserve">scores, which is exactly what makes the selection safe under anti-monotonicity.</w:t>
      </w:r>
    </w:p>
    <w:bookmarkEnd w:id="109"/>
    <w:bookmarkStart w:id="110" w:name="X06aeafce811b2d0b24b8bca3f3ed218e5984ef0"/>
    <w:p>
      <w:pPr>
        <w:pStyle w:val="Heading4"/>
      </w:pPr>
      <w:r>
        <w:t xml:space="preserve">Source-pair generality, and its regime dependence.</w:t>
      </w:r>
    </w:p>
    <w:p>
      <w:pPr>
        <w:pStyle w:val="FirstParagraph"/>
      </w:pPr>
      <w:r>
        <w:t xml:space="preserve">Incomparability and dominance hold</w:t>
      </w:r>
      <w:r>
        <w:t xml:space="preserve"> </w:t>
      </w:r>
      <w:r>
        <w:t xml:space="preserve">for two hand-built pairs in two domains, but not in the same measurement regime: the second pair</w:t>
      </w:r>
      <w:r>
        <w:t xml:space="preserve"> </w:t>
      </w:r>
      <w:r>
        <w:t xml:space="preserve">was measured agentically. Re-measured single-shot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, the regime of the six-model record,</w:t>
      </w:r>
      <w:r>
        <w:t xml:space="preserve"> </w:t>
      </w:r>
      <w:r>
        <w:t xml:space="preserve">it does not reproduce.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’s ceiling falls from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on the contract cell and from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on the trap, the incomparability verification loses one direction</w:t>
      </w:r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0.774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0.005</m:t>
        </m:r>
      </m:oMath>
      <w:r>
        <w:t xml:space="preserve">), and the superset</w:t>
      </w:r>
      <w:r>
        <w:t xml:space="preserve"> </w:t>
      </w:r>
      <w:r>
        <w:rPr>
          <w:i/>
          <w:iCs/>
        </w:rPr>
        <w:t xml:space="preserve">helps</w:t>
      </w:r>
      <w:r>
        <w:t xml:space="preserve"> </w:t>
      </w:r>
      <w:r>
        <w:t xml:space="preserve">rather than harms on the contract cell</w:t>
      </w:r>
      <w:r>
        <w:t xml:space="preserve"> </w:t>
      </w:r>
      <w:r>
        <w:t xml:space="preserve">(</w:t>
      </w:r>
      <m:oMath>
        <m:r>
          <m:t>25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0.30</m:t>
        </m:r>
      </m:oMath>
      <w:r>
        <w:t xml:space="preserve">). Without the agentic retries the model does not reliably satisfy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cache.put</w:t>
      </w:r>
      <w:r>
        <w:t xml:space="preserve"> </w:t>
      </w:r>
      <w:r>
        <w:t xml:space="preserve">contract at all, so the pair stops exhibiting the structure it was built</w:t>
      </w:r>
      <w:r>
        <w:t xml:space="preserve"> </w:t>
      </w:r>
      <w:r>
        <w:t xml:space="preserve">to exhibit. We report this rather than select the regime that works: second-domain generality is</w:t>
      </w:r>
      <w:r>
        <w:t xml:space="preserve"> </w:t>
      </w:r>
      <w:r>
        <w:t xml:space="preserve">established under the agentic harness only, and the single-shot evidence for both phenomena is</w:t>
      </w:r>
      <w:r>
        <w:t xml:space="preserve"> </w:t>
      </w:r>
      <w:r>
        <w:t xml:space="preserve">the six-model record on the first pair. The cross-vendor record is single-pair. Pair-2 harm, in</w:t>
      </w:r>
      <w:r>
        <w:t xml:space="preserve"> </w:t>
      </w:r>
      <w:r>
        <w:t xml:space="preserve">the agentic regime, is verified at the margin</w:t>
      </w:r>
      <w:r>
        <w:t xml:space="preserve"> </w:t>
      </w:r>
      <w:r>
        <w:t xml:space="preserve">(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0.33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); the second pair did not reproduce the relevance-trap effect (its prompt was not lexically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-leaning). A third domain and a vendor-general strong mis-rank remain inexpensive next</w:t>
      </w:r>
      <w:r>
        <w:t xml:space="preserve"> </w:t>
      </w:r>
      <w:r>
        <w:t xml:space="preserve">steps.</w:t>
      </w:r>
    </w:p>
    <w:bookmarkEnd w:id="110"/>
    <w:bookmarkStart w:id="111" w:name="Xd344a6caba248cd0f3c9915a6f9f7c4f85f22da"/>
    <w:p>
      <w:pPr>
        <w:pStyle w:val="Heading4"/>
      </w:pPr>
      <w:r>
        <w:t xml:space="preserve">Cross-vendor magnitudes are still only suggestive.</w:t>
      </w:r>
    </w:p>
    <w:p>
      <w:pPr>
        <w:pStyle w:val="FirstParagraph"/>
      </w:pPr>
      <w:r>
        <w:t xml:space="preserve">All six models are now run the same</w:t>
      </w:r>
      <w:r>
        <w:t xml:space="preserve"> </w:t>
      </w:r>
      <w:r>
        <w:t xml:space="preserve">way (single-shot,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), so the run mode no longer confounds the comparison. What remains is the</w:t>
      </w:r>
      <w:r>
        <w:t xml:space="preserve"> </w:t>
      </w:r>
      <w:r>
        <w:t xml:space="preserve">ordinary caution that different vendors’ models differ in ways we do not control (training data,</w:t>
      </w:r>
      <w:r>
        <w:t xml:space="preserve"> </w:t>
      </w:r>
      <w:r>
        <w:t xml:space="preserve">size, tokenizer), so the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comparisons (the value spectrum, the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ladder)</w:t>
      </w:r>
      <w:r>
        <w:t xml:space="preserve"> </w:t>
      </w:r>
      <w:r>
        <w:t xml:space="preserve">should be read as suggestive; the binary within-model claims do not depend on any cross-vendor</w:t>
      </w:r>
      <w:r>
        <w:t xml:space="preserve"> </w:t>
      </w:r>
      <w:r>
        <w:t xml:space="preserve">comparison.</w:t>
      </w:r>
    </w:p>
    <w:bookmarkEnd w:id="111"/>
    <w:bookmarkStart w:id="112" w:name="the-model-is-an-idealization-twice."/>
    <w:p>
      <w:pPr>
        <w:pStyle w:val="Heading4"/>
      </w:pPr>
      <w:r>
        <w:t xml:space="preserve">The model is an idealization, twice.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verifies dominance and</w:t>
      </w:r>
      <w:r>
        <w:t xml:space="preserve"> </w:t>
      </w:r>
      <w:r>
        <w:t xml:space="preserve">incomparability for a given model on a fixed battery, not the universal Blackwell order. And the</w:t>
      </w:r>
      <w:r>
        <w:t xml:space="preserve"> </w:t>
      </w:r>
      <w:r>
        <w:t xml:space="preserve">projection construction models sources as clean projections onto independent coordinates; real</w:t>
      </w:r>
      <w:r>
        <w:t xml:space="preserve"> </w:t>
      </w:r>
      <w:r>
        <w:t xml:space="preserve">chunks overlap, contradict, and leak (the measured</w:t>
      </w:r>
      <w:r>
        <w:t xml:space="preserve"> </w:t>
      </w:r>
      <m:oMath>
        <m:r>
          <m:t>θ</m:t>
        </m:r>
      </m:oMath>
      <w:r>
        <w:t xml:space="preserve">-dependence is exactly such leakage),</w:t>
      </w:r>
      <w:r>
        <w:t xml:space="preserve"> </w:t>
      </w:r>
      <w:r>
        <w:t xml:space="preserve">so the construction is the cleanest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condition for incomparability, realized</w:t>
      </w:r>
      <w:r>
        <w:t xml:space="preserve"> </w:t>
      </w:r>
      <w:r>
        <w:t xml:space="preserve">exactly by our hand-built pairs.</w:t>
      </w:r>
    </w:p>
    <w:bookmarkEnd w:id="112"/>
    <w:bookmarkStart w:id="113" w:name="Xa5c98a333d19887eef537b0cbe9525006be4a57"/>
    <w:p>
      <w:pPr>
        <w:pStyle w:val="Heading4"/>
      </w:pPr>
      <w:r>
        <w:t xml:space="preserve">Prevalence is not measured, and is the decisive next experiment.</w:t>
      </w:r>
    </w:p>
    <w:p>
      <w:pPr>
        <w:pStyle w:val="FirstParagraph"/>
      </w:pPr>
      <w:r>
        <w:t xml:space="preserve">Every claim here is</w:t>
      </w:r>
      <w:r>
        <w:t xml:space="preserve"> </w:t>
      </w:r>
      <w:r>
        <w:t xml:space="preserve">existential: it establishes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verified incomparability and superset harm occur, on which</w:t>
      </w:r>
      <w:r>
        <w:t xml:space="preserve"> </w:t>
      </w:r>
      <w:r>
        <w:t xml:space="preserve">models, and with which confounds excluded. It does not establish</w:t>
      </w:r>
      <w:r>
        <w:t xml:space="preserve"> </w:t>
      </w:r>
      <w:r>
        <w:rPr>
          <w:i/>
          <w:iCs/>
        </w:rPr>
        <w:t xml:space="preserve">how often</w:t>
      </w:r>
      <w:r>
        <w:t xml:space="preserve"> </w:t>
      </w:r>
      <w:r>
        <w:t xml:space="preserve">either occurs in</w:t>
      </w:r>
      <w:r>
        <w:t xml:space="preserve"> </w:t>
      </w:r>
      <w:r>
        <w:t xml:space="preserve">a deployed retrieval stream, and no number in this paper should be read as an estimate of that.</w:t>
      </w:r>
      <w:r>
        <w:t xml:space="preserve"> </w:t>
      </w:r>
      <w:r>
        <w:t xml:space="preserve">The four cells were built to make the structure visible, so their aggregate magnitudes are</w:t>
      </w:r>
      <w:r>
        <w:t xml:space="preserve"> </w:t>
      </w:r>
      <w:r>
        <w:t xml:space="preserve">diagnostic of the failure mode rather than of production traffic. The direct experiment is</w:t>
      </w:r>
      <w:r>
        <w:t xml:space="preserve"> </w:t>
      </w:r>
      <w:r>
        <w:t xml:space="preserve">specified and inexpensive: draw document pairs from a natural corpus, run the same verification</w:t>
      </w:r>
      <w:r>
        <w:t xml:space="preserve"> </w:t>
      </w:r>
      <w:r>
        <w:t xml:space="preserve">battery unchanged, and report the fraction of pairs that verify incomparable and the fraction of</w:t>
      </w:r>
      <w:r>
        <w:t xml:space="preserve"> </w:t>
      </w:r>
      <w:r>
        <w:t xml:space="preserve">superset unions that verify harmful, with the sampling frame stated. We name it as the open</w:t>
      </w:r>
      <w:r>
        <w:t xml:space="preserve"> </w:t>
      </w:r>
      <w:r>
        <w:t xml:space="preserve">question rather than approximate it here, because a prevalence figure computed from hand-built</w:t>
      </w:r>
      <w:r>
        <w:t xml:space="preserve"> </w:t>
      </w:r>
      <w:r>
        <w:t xml:space="preserve">pairs would be circular.</w:t>
      </w:r>
    </w:p>
    <w:bookmarkEnd w:id="113"/>
    <w:bookmarkStart w:id="114" w:name="scope-of-the-behavioural-controls."/>
    <w:p>
      <w:pPr>
        <w:pStyle w:val="Heading4"/>
      </w:pPr>
      <w:r>
        <w:t xml:space="preserve">Scope of the behavioural controls.</w:t>
      </w:r>
    </w:p>
    <w:p>
      <w:pPr>
        <w:pStyle w:val="FirstParagraph"/>
      </w:pPr>
      <w:r>
        <w:t xml:space="preserve">The padding, routing-note and structured-context</w:t>
      </w:r>
      <w:r>
        <w:t xml:space="preserve"> </w:t>
      </w:r>
      <w:r>
        <w:t xml:space="preserve">arms, and the reversed-order arm, were each run on single-shot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on the two collapse</w:t>
      </w:r>
      <w:r>
        <w:t xml:space="preserve"> </w:t>
      </w:r>
      <w:r>
        <w:t xml:space="preserve">cells, in the same regime and on the same task versions as the main table. None of the four is part of the six-model</w:t>
      </w:r>
      <w:r>
        <w:t xml:space="preserve"> </w:t>
      </w:r>
      <w:r>
        <w:t xml:space="preserve">record, so what these controls establish is established on one model, not across the roster. The</w:t>
      </w:r>
      <w:r>
        <w:t xml:space="preserve"> </w:t>
      </w:r>
      <w:r>
        <w:t xml:space="preserve">padding match is by</w:t>
      </w:r>
      <w:r>
        <w:t xml:space="preserve"> </w:t>
      </w:r>
      <w:r>
        <w:rPr>
          <w:i/>
          <w:iCs/>
        </w:rPr>
        <w:t xml:space="preserve">characters</w:t>
      </w:r>
      <w:r>
        <w:t xml:space="preserve"> </w:t>
      </w:r>
      <w:r>
        <w:t xml:space="preserve">(</w:t>
      </w:r>
      <m:oMath>
        <m:r>
          <m:t>1108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1095</m:t>
        </m:r>
      </m:oMath>
      <w:r>
        <w:t xml:space="preserve"> </w:t>
      </w:r>
      <w:r>
        <w:t xml:space="preserve">at the arm level), not by subword</w:t>
      </w:r>
      <w:r>
        <w:t xml:space="preserve"> </w:t>
      </w:r>
      <w:r>
        <w:t xml:space="preserve">tokens, and because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symbol-dense while the filler is plain prose the two arms are not</w:t>
      </w:r>
      <w:r>
        <w:t xml:space="preserve"> </w:t>
      </w:r>
      <w:r>
        <w:t xml:space="preserve">tokenizer-matched; token count is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isolated, only gross length. The filler is</w:t>
      </w:r>
      <w:r>
        <w:t xml:space="preserve"> </w:t>
      </w:r>
      <w:r>
        <w:t xml:space="preserve">also off-topic for the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module. Taken together the controls show that on this model</w:t>
      </w:r>
      <w:r>
        <w:t xml:space="preserve"> </w:t>
      </w:r>
      <w:r>
        <w:t xml:space="preserve">the content of the added block and the routing instruction move the outcome, while an off-topic</w:t>
      </w:r>
      <w:r>
        <w:t xml:space="preserve"> </w:t>
      </w:r>
      <w:r>
        <w:t xml:space="preserve">block of the same character length does not. They do not isolate tokenization, processing</w:t>
      </w:r>
      <w:r>
        <w:t xml:space="preserve"> </w:t>
      </w:r>
      <w:r>
        <w:t xml:space="preserve">difficulty, or position, and they do not establish the internal cause. A tokenizer-matched</w:t>
      </w:r>
      <w:r>
        <w:t xml:space="preserve"> </w:t>
      </w:r>
      <w:r>
        <w:t xml:space="preserve">control, an on-topic but verifier-irrelevant control, a matched single-shot order control, and any</w:t>
      </w:r>
      <w:r>
        <w:t xml:space="preserve"> </w:t>
      </w:r>
      <w:r>
        <w:t xml:space="preserve">of these across the roster remain untested.</w:t>
      </w:r>
    </w:p>
    <w:bookmarkEnd w:id="114"/>
    <w:bookmarkStart w:id="115" w:name="sampling-and-verification-regime."/>
    <w:p>
      <w:pPr>
        <w:pStyle w:val="Heading4"/>
      </w:pPr>
      <w:r>
        <w:t xml:space="preserve">Sampling and verification regime.</w:t>
      </w:r>
    </w:p>
    <w:p>
      <w:pPr>
        <w:pStyle w:val="FirstParagraph"/>
      </w:pPr>
      <w:r>
        <w:t xml:space="preserve">The verification assumes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i.i.d. Bernoulli PASS</w:t>
      </w:r>
      <w:r>
        <w:t xml:space="preserve"> </w:t>
      </w:r>
      <w:r>
        <w:t xml:space="preserve">draws per cell (Assumption 2). Each draw is a separate call with no shared session or</w:t>
      </w:r>
      <w:r>
        <w:t xml:space="preserve"> </w:t>
      </w:r>
      <w:r>
        <w:t xml:space="preserve">conversation history (protocol in Appendix E), which makes independence plausible;</w:t>
      </w:r>
      <w:r>
        <w:t xml:space="preserve"> </w:t>
      </w:r>
      <w:r>
        <w:t xml:space="preserve">it does not</w:t>
      </w:r>
      <w:r>
        <w:t xml:space="preserve"> </w:t>
      </w:r>
      <w:r>
        <w:rPr>
          <w:i/>
          <w:iCs/>
        </w:rPr>
        <w:t xml:space="preserve">establish</w:t>
      </w:r>
      <w:r>
        <w:t xml:space="preserve"> </w:t>
      </w:r>
      <w:r>
        <w:t xml:space="preserve">it, nor that the served backend was stationary across a run. Both</w:t>
      </w:r>
      <w:r>
        <w:t xml:space="preserve"> </w:t>
      </w:r>
      <w:r>
        <w:t xml:space="preserve">remain assumptions on which the coverage statements depend, and a provider-side model or routing</w:t>
      </w:r>
      <w:r>
        <w:t xml:space="preserve"> </w:t>
      </w:r>
      <w:r>
        <w:t xml:space="preserve">change during a run would break them silently. Marginal-versus-joint control is discussed in</w:t>
      </w:r>
      <w:r>
        <w:t xml:space="preserve"> </w:t>
      </w:r>
      <w:r>
        <w:t xml:space="preserve">§8.1.</w:t>
      </w:r>
    </w:p>
    <w:bookmarkEnd w:id="115"/>
    <w:bookmarkStart w:id="116" w:name="ranker-spectrum-and-synergy."/>
    <w:p>
      <w:pPr>
        <w:pStyle w:val="Heading4"/>
      </w:pPr>
      <w:r>
        <w:t xml:space="preserve">Ranker spectrum and synergy.</w:t>
      </w:r>
    </w:p>
    <w:p>
      <w:pPr>
        <w:pStyle w:val="FirstParagraph"/>
      </w:pPr>
      <w:r>
        <w:t xml:space="preserve">The trap mis-rank spans lexical cosine and three</w:t>
      </w:r>
      <w:r>
        <w:t xml:space="preserve"> </w:t>
      </w:r>
      <w:r>
        <w:t xml:space="preserve">representative open-weight learned rankers, with an LLM listwise reranker escaping as predicted, but the</w:t>
      </w:r>
      <w:r>
        <w:t xml:space="preserve"> </w:t>
      </w:r>
      <w:r>
        <w:t xml:space="preserve">learned checkpoints are the small members of their families and the evidence is one trap in one</w:t>
      </w:r>
      <w:r>
        <w:t xml:space="preserve"> </w:t>
      </w:r>
      <w:r>
        <w:t xml:space="preserve">domain. Positive interference (synergy) is untested by construction: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task-disjoint, so a complementary pair would be needed to test whether a superset can also</w:t>
      </w:r>
      <w:r>
        <w:t xml:space="preserve"> </w:t>
      </w:r>
      <w:r>
        <w:rPr>
          <w:i/>
          <w:iCs/>
        </w:rPr>
        <w:t xml:space="preserve">help</w:t>
      </w:r>
      <w:r>
        <w:t xml:space="preserve"> </w:t>
      </w:r>
      <w:r>
        <w:t xml:space="preserve">beyond its parts; we make no claim about it.</w:t>
      </w:r>
    </w:p>
    <w:bookmarkEnd w:id="116"/>
    <w:bookmarkEnd w:id="117"/>
    <w:bookmarkEnd w:id="118"/>
    <w:bookmarkStart w:id="119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Context selection is a partial-order problem, not a scalar one. When two sources are incomparable,</w:t>
      </w:r>
      <w:r>
        <w:t xml:space="preserve"> </w:t>
      </w:r>
      <w:r>
        <w:t xml:space="preserve">no single per-source score ranks them correctly for all tasks</w:t>
      </w:r>
      <w:r>
        <w:t xml:space="preserve"> </w:t>
      </w:r>
      <w:r>
        <w:t xml:space="preserve">(Theorem 2), which gives the field’s</w:t>
      </w:r>
      <w:r>
        <w:t xml:space="preserve"> </w:t>
      </w:r>
      <w:r>
        <w:t xml:space="preserve">“relevance does not transfer”</w:t>
      </w:r>
      <w:r>
        <w:t xml:space="preserve"> </w:t>
      </w:r>
      <w:r>
        <w:t xml:space="preserve">folklore</w:t>
      </w:r>
      <w:r>
        <w:t xml:space="preserve"> </w:t>
      </w:r>
      <w:r>
        <w:t xml:space="preserve">a formal boundary. Making that testable is what this paper does: a value-deficiency surrogate and</w:t>
      </w:r>
      <w:r>
        <w:t xml:space="preserve"> </w:t>
      </w:r>
      <w:r>
        <w:t xml:space="preserve">a finite-sample verification turn the order into something one can measure on a live model. On</w:t>
      </w:r>
      <w:r>
        <w:t xml:space="preserve"> </w:t>
      </w:r>
      <w:r>
        <w:t xml:space="preserve">six models across four vendors we verify 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that two private sources cross in realized</w:t>
      </w:r>
      <w:r>
        <w:t xml:space="preserve"> </w:t>
      </w:r>
      <w:r>
        <w:t xml:space="preserve">pass rate; on each of them a deployed relevance score ranks the pair the wrong way on a designed</w:t>
      </w:r>
      <w:r>
        <w:t xml:space="preserve"> </w:t>
      </w:r>
      <w:r>
        <w:t xml:space="preserve">trap; and on eleven of twelve cells adding a strictly larger source lowers the pass rate, as far</w:t>
      </w:r>
      <w:r>
        <w:t xml:space="preserve"> </w:t>
      </w:r>
      <w:r>
        <w:t xml:space="preserve">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, which no</w:t>
      </w:r>
      <w:r>
        <w:t xml:space="preserve"> </w:t>
      </w:r>
      <w:r>
        <w:t xml:space="preserve">“more-is-better”</w:t>
      </w:r>
      <w:r>
        <w:t xml:space="preserve"> </w:t>
      </w:r>
      <w:r>
        <w:t xml:space="preserve">scalar predicts. How much a private source is worth</w:t>
      </w:r>
      <w:r>
        <w:t xml:space="preserve"> </w:t>
      </w:r>
      <w:r>
        <w:t xml:space="preserve">depends on the model: guessability runs from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and is not ordered by capability,</w:t>
      </w:r>
      <w:r>
        <w:t xml:space="preserve"> </w:t>
      </w:r>
      <w:r>
        <w:t xml:space="preserve">with the three Anthropic models alone spanning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, so it is not a vendor</w:t>
      </w:r>
      <w:r>
        <w:t xml:space="preserve"> </w:t>
      </w:r>
      <w:r>
        <w:t xml:space="preserve">effect either. What it does track these runs cannot identify.</w:t>
      </w:r>
    </w:p>
    <w:p>
      <w:pPr>
        <w:pStyle w:val="BodyText"/>
      </w:pPr>
      <w:r>
        <w:t xml:space="preserve">Bringing Blackwell and Le Cam to inference-time context is not ours to claim; concurrent work</w:t>
      </w:r>
      <w:r>
        <w:t xml:space="preserve"> </w:t>
      </w:r>
      <w:r>
        <w:t xml:space="preserve">reached the same apparatus from the admission side (§2.3). What follows</w:t>
      </w:r>
      <w:r>
        <w:t xml:space="preserve"> </w:t>
      </w:r>
      <w:r>
        <w:t xml:space="preserve">from taking</w:t>
      </w:r>
      <w:r>
        <w:t xml:space="preserve"> </w:t>
      </w:r>
      <w:r>
        <w:rPr>
          <w:i/>
          <w:iCs/>
        </w:rPr>
        <w:t xml:space="preserve">incomparability</w:t>
      </w:r>
      <w:r>
        <w:t xml:space="preserve"> </w:t>
      </w:r>
      <w:r>
        <w:t xml:space="preserve">rather than deficiency-minimization as the object is the</w:t>
      </w:r>
      <w:r>
        <w:t xml:space="preserve"> </w:t>
      </w:r>
      <w:r>
        <w:t xml:space="preserve">impossibility, and the instrument that tests it.</w:t>
      </w:r>
    </w:p>
    <w:p>
      <w:pPr>
        <w:pStyle w:val="BodyText"/>
      </w:pPr>
      <w:r>
        <w:t xml:space="preserve">On scope: the theorems concern the idealized Bayes-optimal user of a source; the</w:t>
      </w:r>
      <w:r>
        <w:t xml:space="preserve"> </w:t>
      </w:r>
      <w:r>
        <w:t xml:space="preserve">realized crossover, anti-monotonicity, and value-of-private-context are properties of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models</w:t>
      </w:r>
      <w:r>
        <w:t xml:space="preserve"> </w:t>
      </w:r>
      <w:r>
        <w:t xml:space="preserve">measured directly, bridged to the structural claim by Lemma 2. The estimator is a</w:t>
      </w:r>
      <w:r>
        <w:t xml:space="preserve"> </w:t>
      </w:r>
      <w:r>
        <w:t xml:space="preserve">regret-gap surrogate, not a Le Cam deficiency, and the verification is correct under that</w:t>
      </w:r>
      <w:r>
        <w:t xml:space="preserve"> </w:t>
      </w:r>
      <w:r>
        <w:t xml:space="preserve">re-labeling. All six models get one completion per attempt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, though not over the same</w:t>
      </w:r>
      <w:r>
        <w:t xml:space="preserve"> </w:t>
      </w:r>
      <w:r>
        <w:t xml:space="preserve">transport (§7.3), so cross-vendor magnitudes are read as (model, transport)</w:t>
      </w:r>
      <w:r>
        <w:t xml:space="preserve"> </w:t>
      </w:r>
      <w:r>
        <w:t xml:space="preserve">pairs rather than as properties of the models; the verified claims are within-model contrasts,</w:t>
      </w:r>
      <w:r>
        <w:t xml:space="preserve"> </w:t>
      </w:r>
      <w:r>
        <w:t xml:space="preserve">where the transport is held fixed. The cross-vendor record is single-pair, and synergy is</w:t>
      </w:r>
      <w:r>
        <w:t xml:space="preserve"> </w:t>
      </w:r>
      <w:r>
        <w:t xml:space="preserve">untested. The practical reading is modest and actionable:</w:t>
      </w:r>
      <w:r>
        <w:t xml:space="preserve"> </w:t>
      </w:r>
      <w:r>
        <w:t xml:space="preserve">selection should be treated as partial-order-aware rather than scalar top-</w:t>
      </w:r>
      <m:oMath>
        <m:r>
          <m:t>k</m:t>
        </m:r>
      </m:oMath>
      <w:r>
        <w:t xml:space="preserve">, the right operational</w:t>
      </w:r>
      <w:r>
        <w:t xml:space="preserve"> </w:t>
      </w:r>
      <w:r>
        <w:t xml:space="preserve">object is a verified deficiency surrogate rather than a relevance scalar, and</w:t>
      </w:r>
      <w:r>
        <w:t xml:space="preserve"> </w:t>
      </w:r>
      <w:r>
        <w:t xml:space="preserve">“the best context”</w:t>
      </w:r>
      <w:r>
        <w:t xml:space="preserve"> </w:t>
      </w:r>
      <w:r>
        <w:t xml:space="preserve">should be expected to be model-relative and only partially ordered. Stated at its sharpest, the</w:t>
      </w:r>
      <w:r>
        <w:t xml:space="preserve"> </w:t>
      </w:r>
      <w:r>
        <w:t xml:space="preserve">impossibility is narrow and its scope is stated exactly: one number per source fixed across tasks</w:t>
      </w:r>
      <w:r>
        <w:t xml:space="preserve"> </w:t>
      </w:r>
      <w:r>
        <w:t xml:space="preserve">(Theorem 2), and query-conditioned scores meeting the two hypotheses of</w:t>
      </w:r>
      <w:r>
        <w:t xml:space="preserve"> </w:t>
      </w:r>
      <w:r>
        <w:t xml:space="preserve">Proposition 2. It is not a statement about all context selection, and</w:t>
      </w:r>
      <w:r>
        <w:t xml:space="preserve"> </w:t>
      </w:r>
      <w:r>
        <w:t xml:space="preserve">it implies no lower bound on computational cost: a task-conditioned score, a router over public</w:t>
      </w:r>
      <w:r>
        <w:t xml:space="preserve"> </w:t>
      </w:r>
      <w:r>
        <w:t xml:space="preserve">task metadata, or any number of cheap algorithms lie outside it</w:t>
      </w:r>
      <w:r>
        <w:t xml:space="preserve"> </w:t>
      </w:r>
      <w:r>
        <w:t xml:space="preserve">(Remark 6). The measured spectrum</w:t>
      </w:r>
      <w:r>
        <w:t xml:space="preserve"> </w:t>
      </w:r>
      <w:r>
        <w:t xml:space="preserve">realizes exactly that boundary: lexical cosine, two dense bi-encoders, and a cross-encoder all</w:t>
      </w:r>
      <w:r>
        <w:t xml:space="preserve"> </w:t>
      </w:r>
      <w:r>
        <w:t xml:space="preserve">fall for the trap, while an LLM listwise reranker, which pays per-candidate computation to read</w:t>
      </w:r>
      <w:r>
        <w:t xml:space="preserve"> </w:t>
      </w:r>
      <w:r>
        <w:t xml:space="preserve">the decisive content, escapes it. That is a measured contrast between named checkpoints, not a</w:t>
      </w:r>
      <w:r>
        <w:t xml:space="preserve"> </w:t>
      </w:r>
      <w:r>
        <w:t xml:space="preserve">proved separation between complexity classes: what the theory establishes is that a single</w:t>
      </w:r>
      <w:r>
        <w:t xml:space="preserve"> </w:t>
      </w:r>
      <w:r>
        <w:t xml:space="preserve">task-independent number cannot represent a partial order, and what the probe shows is that</w:t>
      </w:r>
      <w:r>
        <w:t xml:space="preserve"> </w:t>
      </w:r>
      <w:r>
        <w:t xml:space="preserve">reading content suffices to measure it on this battery. The decisive next test is prevalence:</w:t>
      </w:r>
      <w:r>
        <w:t xml:space="preserve"> </w:t>
      </w:r>
      <w:r>
        <w:t xml:space="preserve">draw source pairs from a natural corpus rather than building them, run the same verification</w:t>
      </w:r>
      <w:r>
        <w:t xml:space="preserve"> </w:t>
      </w:r>
      <w:r>
        <w:t xml:space="preserve">unchanged, and report how often a deployed retrieval stream produces a pair that verifies</w:t>
      </w:r>
      <w:r>
        <w:t xml:space="preserve"> </w:t>
      </w:r>
      <w:r>
        <w:t xml:space="preserve">incomparable (§8.4).</w:t>
      </w:r>
    </w:p>
    <w:bookmarkEnd w:id="119"/>
    <w:bookmarkStart w:id="120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A.B. and V.L.; methodology, A.B., V.L. and P.P.; software, A.B.; validation,</w:t>
      </w:r>
      <w:r>
        <w:t xml:space="preserve"> </w:t>
      </w:r>
      <w:r>
        <w:t xml:space="preserve">A.B., V.L. and Z.R.; formal analysis, A.B. and P.P.; investigation, A.B.; resources, V.L.; data</w:t>
      </w:r>
      <w:r>
        <w:t xml:space="preserve"> </w:t>
      </w:r>
      <w:r>
        <w:t xml:space="preserve">curation, A.B.; writing—original draft preparation, A.B.; writing—review and editing, A.B.,</w:t>
      </w:r>
      <w:r>
        <w:t xml:space="preserve"> </w:t>
      </w:r>
      <w:r>
        <w:t xml:space="preserve">V.L., P.P. and Z.R.; visualization, A.B. and Z.R.; supervision, V.L. and P.P.; project</w:t>
      </w:r>
      <w:r>
        <w:t xml:space="preserve"> </w:t>
      </w:r>
      <w:r>
        <w:t xml:space="preserve">administration, V.L. All authors have read and agreed to the published version of the manuscript.</w:t>
      </w:r>
    </w:p>
    <w:bookmarkEnd w:id="120"/>
    <w:bookmarkStart w:id="121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 The measurement costs reported in</w:t>
      </w:r>
      <w:r>
        <w:t xml:space="preserve"> </w:t>
      </w:r>
      <w:r>
        <w:t xml:space="preserve">Appendix E were borne by the authors.</w:t>
      </w:r>
    </w:p>
    <w:bookmarkEnd w:id="121"/>
    <w:bookmarkStart w:id="122" w:name="institutional-review-board-statement"/>
    <w:p>
      <w:pPr>
        <w:pStyle w:val="Heading1"/>
      </w:pPr>
      <w:r>
        <w:t xml:space="preserve">Institutional Review Board Statement</w:t>
      </w:r>
    </w:p>
    <w:p>
      <w:pPr>
        <w:pStyle w:val="FirstParagraph"/>
      </w:pPr>
      <w:r>
        <w:t xml:space="preserve">Not applicable. The study involved no human participants and no animals; all measurements are</w:t>
      </w:r>
      <w:r>
        <w:t xml:space="preserve"> </w:t>
      </w:r>
      <w:r>
        <w:t xml:space="preserve">automated queries to commercial language-model endpoints, graded by executable verifiers.</w:t>
      </w:r>
    </w:p>
    <w:bookmarkEnd w:id="122"/>
    <w:bookmarkStart w:id="123" w:name="informed-consent-statement"/>
    <w:p>
      <w:pPr>
        <w:pStyle w:val="Heading1"/>
      </w:pPr>
      <w:r>
        <w:t xml:space="preserve">Informed Consent Statement</w:t>
      </w:r>
    </w:p>
    <w:p>
      <w:pPr>
        <w:pStyle w:val="FirstParagraph"/>
      </w:pPr>
      <w:r>
        <w:t xml:space="preserve">Not applicable.</w:t>
      </w:r>
    </w:p>
    <w:bookmarkEnd w:id="123"/>
    <w:bookmarkStart w:id="124" w:name="data-availability-statement"/>
    <w:p>
      <w:pPr>
        <w:pStyle w:val="Heading1"/>
      </w:pPr>
      <w:r>
        <w:t xml:space="preserve">Data Availability Statement</w:t>
      </w:r>
    </w:p>
    <w:p>
      <w:pPr>
        <w:pStyle w:val="FirstParagraph"/>
      </w:pPr>
      <w:r>
        <w:t xml:space="preserve">All data and code supporting the reported results are openly available at</w:t>
      </w:r>
      <w:r>
        <w:t xml:space="preserve"> 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. The repository contains the measurement</w:t>
      </w:r>
      <w:r>
        <w:t xml:space="preserve"> </w:t>
      </w:r>
      <w:r>
        <w:t xml:space="preserve">harness (Python standard library only), every per-model run log and result file cited in</w:t>
      </w:r>
      <w:r>
        <w:t xml:space="preserve"> </w:t>
      </w:r>
      <w:r>
        <w:t xml:space="preserve">Appendix B, and the raw-completion diagnostic records of</w:t>
      </w:r>
      <w:r>
        <w:t xml:space="preserve"> </w:t>
      </w:r>
      <w:r>
        <w:t xml:space="preserve">. Two kinds of record must be distinguished. The original runs stored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per-cell counts and logs; raw model completions were not retained, and cannot be</w:t>
      </w:r>
      <w:r>
        <w:t xml:space="preserve"> </w:t>
      </w:r>
      <w:r>
        <w:t xml:space="preserve">recovered. The retention re-measurement of and the diagnostic runs stored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completions, and those are released in full. Claims that depend on reading replies are</w:t>
      </w:r>
      <w:r>
        <w:t xml:space="preserve"> </w:t>
      </w:r>
      <w:r>
        <w:t xml:space="preserve">therefore made only against the second kind.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pins every released</w:t>
      </w:r>
      <w:r>
        <w:t xml:space="preserve"> </w:t>
      </w:r>
      <w:r>
        <w:t xml:space="preserve">record by SHA-256 and maps each table and figure to the files it is computed from; it certifies</w:t>
      </w:r>
      <w:r>
        <w:t xml:space="preserve"> </w:t>
      </w:r>
      <w:r>
        <w:t xml:space="preserve">the integrity of what is published, not the existence of what was never kept. The repository’s</w:t>
      </w:r>
      <w:r>
        <w:t xml:space="preserve"> </w:t>
      </w:r>
      <w:r>
        <w:t xml:space="preserve">full commit history is published with it, so the provenance of every artifact is inspectable. No</w:t>
      </w:r>
      <w:r>
        <w:t xml:space="preserve"> </w:t>
      </w:r>
      <w:r>
        <w:t xml:space="preserve">data were withheld; every reported figure is computed from those files by the released scripts.</w:t>
      </w:r>
    </w:p>
    <w:bookmarkEnd w:id="124"/>
    <w:bookmarkStart w:id="125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authors thank the Department of Information Systems and Networks, Lviv Polytechnic National</w:t>
      </w:r>
      <w:r>
        <w:t xml:space="preserve"> </w:t>
      </w:r>
      <w:r>
        <w:t xml:space="preserve">University, for institutional support. No third party contributed to the design, execution or</w:t>
      </w:r>
      <w:r>
        <w:t xml:space="preserve"> </w:t>
      </w:r>
      <w:r>
        <w:t xml:space="preserve">analysis of the reported measurements beyond the listed authors.</w:t>
      </w:r>
    </w:p>
    <w:p>
      <w:pPr>
        <w:pStyle w:val="BodyText"/>
      </w:pPr>
      <w:r>
        <w:t xml:space="preserve">Anthropic’s Claude models were used for code scaffolding, experimental-plan review,</w:t>
      </w:r>
      <w:r>
        <w:t xml:space="preserve"> </w:t>
      </w:r>
      <w:r>
        <w:t xml:space="preserve">implementation assistance, consistency and artifact audits, manuscript organization, and</w:t>
      </w:r>
      <w:r>
        <w:t xml:space="preserve"> </w:t>
      </w:r>
      <w:r>
        <w:t xml:space="preserve">LaTeX formatting. The authors inspected code changes, executed the experiments, verified</w:t>
      </w:r>
      <w:r>
        <w:t xml:space="preserve"> </w:t>
      </w:r>
      <w:r>
        <w:t xml:space="preserve">outputs against frozen manifests and source files, checked cited sources, and take full</w:t>
      </w:r>
      <w:r>
        <w:t xml:space="preserve"> </w:t>
      </w:r>
      <w:r>
        <w:t xml:space="preserve">responsibility for the study design, results, interpretations, and manuscript.</w:t>
      </w:r>
    </w:p>
    <w:bookmarkEnd w:id="125"/>
    <w:bookmarkStart w:id="126" w:name="X662c2d66dd1eda3268d2087202c966cd73b2601"/>
    <w:p>
      <w:pPr>
        <w:pStyle w:val="Heading1"/>
      </w:pPr>
      <w:r>
        <w:t xml:space="preserve">Use of Generative Artificial Intelligence</w:t>
      </w:r>
    </w:p>
    <w:p>
      <w:pPr>
        <w:pStyle w:val="FirstParagraph"/>
      </w:pPr>
      <w:r>
        <w:t xml:space="preserve">Language models appear in this work in two distinct roles, and we separate them because only one</w:t>
      </w:r>
      <w:r>
        <w:t xml:space="preserve"> </w:t>
      </w:r>
      <w:r>
        <w:t xml:space="preserve">bears on the results.</w:t>
      </w:r>
      <w:r>
        <w:t xml:space="preserve"> </w:t>
      </w:r>
      <w:r>
        <w:rPr>
          <w:i/>
          <w:iCs/>
        </w:rPr>
        <w:t xml:space="preserve">As the object of study:</w:t>
      </w:r>
      <w:r>
        <w:t xml:space="preserve"> </w:t>
      </w:r>
      <w:r>
        <w:t xml:space="preserve">the measured quantities are pass rates of</w:t>
      </w:r>
      <w:r>
        <w:t xml:space="preserve"> </w:t>
      </w:r>
      <w:r>
        <w:t xml:space="preserve">commercial language models, obtained through the interfaces described in</w:t>
      </w:r>
      <w:r>
        <w:t xml:space="preserve"> </w:t>
      </w:r>
      <w:r>
        <w:t xml:space="preserve">§7.3; everything else we report, the confidence bounds, the ranker scores, the</w:t>
      </w:r>
      <w:r>
        <w:t xml:space="preserve"> </w:t>
      </w:r>
      <w:r>
        <w:t xml:space="preserve">token and cost figures, is computed from those runs.</w:t>
      </w:r>
      <w:r>
        <w:t xml:space="preserve"> </w:t>
      </w:r>
      <w:r>
        <w:rPr>
          <w:i/>
          <w:iCs/>
        </w:rPr>
        <w:t xml:space="preserve">As a tool:</w:t>
      </w:r>
      <w:r>
        <w:t xml:space="preserve"> </w:t>
      </w:r>
      <w:r>
        <w:t xml:space="preserve">the assistance described in</w:t>
      </w:r>
      <w:r>
        <w:t xml:space="preserve"> </w:t>
      </w:r>
      <w:r>
        <w:t xml:space="preserve">the Acknowledgments. No result, table or figure was produced by a language model acting as an</w:t>
      </w:r>
      <w:r>
        <w:t xml:space="preserve"> </w:t>
      </w:r>
      <w:r>
        <w:t xml:space="preserve">author or an analyst: every reported quantity is computed by the released scripts from the</w:t>
      </w:r>
      <w:r>
        <w:t xml:space="preserve"> </w:t>
      </w:r>
      <w:r>
        <w:t xml:space="preserve">released records, which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pins by SHA-256 and maps to the table or</w:t>
      </w:r>
      <w:r>
        <w:t xml:space="preserve"> </w:t>
      </w:r>
      <w:r>
        <w:t xml:space="preserve">figure that uses it. The Data Availability Statement says which records are aggregate-only and</w:t>
      </w:r>
      <w:r>
        <w:t xml:space="preserve"> </w:t>
      </w:r>
      <w:r>
        <w:t xml:space="preserve">which retain raw completions.</w:t>
      </w:r>
    </w:p>
    <w:bookmarkEnd w:id="126"/>
    <w:bookmarkStart w:id="127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The authors declare no conflict of interest.</w:t>
      </w:r>
    </w:p>
    <w:bookmarkEnd w:id="127"/>
    <w:bookmarkStart w:id="128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The following abbreviations are used in this manuscript: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BSS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Blackwell–Sherman–Stein (theorem)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Clopper–Pearson (exact binomial confidence interval)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Determinantal point process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information 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retrieval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 language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Maximal marginal relevance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rate of a fixed model rule on a verifier-graded 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 ranking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Retrieval-augmented generation</w:t>
            </w:r>
          </w:p>
        </w:tc>
      </w:tr>
    </w:tbl>
    <w:bookmarkEnd w:id="128"/>
    <w:bookmarkStart w:id="140" w:name="app:proofs"/>
    <w:p>
      <w:pPr>
        <w:pStyle w:val="Heading1"/>
      </w:pPr>
      <w:r>
        <w:t xml:space="preserve">Deferred proofs and technical material</w:t>
      </w:r>
    </w:p>
    <w:bookmarkStart w:id="129" w:name="proof-of-lemma-1"/>
    <w:p>
      <w:pPr>
        <w:pStyle w:val="Heading2"/>
      </w:pPr>
      <w:r>
        <w:t xml:space="preserve">Proof of Lemma 1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rPr>
          <w:i/>
          <w:iCs/>
        </w:rPr>
        <w:t xml:space="preserve">(a)</w:t>
      </w:r>
      <w:r>
        <w:t xml:space="preserve"> </w:t>
      </w:r>
      <w:r>
        <w:t xml:space="preserve">For deterministic experiments a garbling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 </w:t>
      </w:r>
      <w:r>
        <w:t xml:space="preserve">must compute</w:t>
      </w:r>
      <w:r>
        <w:t xml:space="preserve"> </w:t>
      </w:r>
      <m:oMath>
        <m:sSub>
          <m:e>
            <m:r>
              <m:t>π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alone (no further access to</w:t>
      </w:r>
      <w:r>
        <w:t xml:space="preserve"> </w:t>
      </w:r>
      <m:oMath>
        <m:r>
          <m:t>S</m:t>
        </m:r>
      </m:oMath>
      <w:r>
        <w:t xml:space="preserve">). Such a measurable map</w:t>
      </w:r>
      <w:r>
        <w:t xml:space="preserve"> </w:t>
      </w:r>
      <w:r>
        <w:t xml:space="preserve">exists iff</w:t>
      </w:r>
      <w:r>
        <w:t xml:space="preserve"> </w:t>
      </w:r>
      <m:oMath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-measurable, i.e. 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⊆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.</w:t>
      </w:r>
      <w:r>
        <w:t xml:space="preserve"> </w:t>
      </w:r>
      <w:r>
        <w:t xml:space="preserve">Under coordinate independence and non-degeneracy,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⊆</m:t>
        </m:r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 iff</w:t>
      </w:r>
      <w:r>
        <w:t xml:space="preserve"> </w:t>
      </w:r>
      <w:r>
        <w:t xml:space="preserve">every coordinate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among those in</w:t>
      </w:r>
      <w:r>
        <w:t xml:space="preserve"> </w:t>
      </w:r>
      <m:oMath>
        <m:r>
          <m:t>A</m:t>
        </m:r>
      </m:oMath>
      <w:r>
        <w:t xml:space="preserve">, i.e. 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: if some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 non-constant, so it is not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-measurable, and no garbling can reconstruct it; conversely if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coordinate-deletion map is a (deterministic) garbling.</w:t>
      </w:r>
      <w:r>
        <w:t xml:space="preserve"> </w:t>
      </w:r>
      <w:r>
        <w:rPr>
          <w:i/>
          <w:iCs/>
        </w:rPr>
        <w:t xml:space="preserve">(b)</w:t>
      </w:r>
      <w:r>
        <w:t xml:space="preserve"> </w:t>
      </w:r>
      <w:r>
        <w:t xml:space="preserve">is the contrapositive of (a)</w:t>
      </w:r>
      <w:r>
        <w:t xml:space="preserve"> </w:t>
      </w:r>
      <w:r>
        <w:t xml:space="preserve">applied in both directions. ◻</w:t>
      </w:r>
    </w:p>
    <w:bookmarkEnd w:id="129"/>
    <w:bookmarkStart w:id="130" w:name="proof-of-lemma-2"/>
    <w:p>
      <w:pPr>
        <w:pStyle w:val="Heading2"/>
      </w:pPr>
      <w:r>
        <w:t xml:space="preserve">Proof of Lemma 2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(a)</w:t>
      </w:r>
      <w:r>
        <w:t xml:space="preserve"> </w:t>
      </w:r>
      <w:r>
        <w:t xml:space="preserve">Suppose, for contradiction,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By Theorem 1,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task</w:t>
      </w:r>
      <w:r>
        <w:t xml:space="preserve"> </w:t>
      </w:r>
      <m:oMath>
        <m:r>
          <m:t>T</m:t>
        </m:r>
      </m:oMath>
      <w:r>
        <w:t xml:space="preserve">, in particular at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. By the</w:t>
      </w:r>
      <w:r>
        <w:t xml:space="preserve"> </w:t>
      </w:r>
      <w:r>
        <w:t xml:space="preserve">sufficiency hypothesis,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’s verifier is determined by its decisive coordinate, which lies in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is revealed exactly by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(Definition 3); the rule</w:t>
      </w:r>
      <w:r>
        <w:t xml:space="preserve"> </w:t>
      </w:r>
      <w:r>
        <w:t xml:space="preserve">that reads that coordinate off and answers accordingly attains</w:t>
      </w:r>
      <w:r>
        <w:t xml:space="preserve"> </w:t>
      </w:r>
      <m:oMath>
        <m:sSub>
          <m:e>
            <m:r>
              <m:t>v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-almost</w:t>
      </w:r>
      <w:r>
        <w:t xml:space="preserve"> </w:t>
      </w:r>
      <w:r>
        <w:t xml:space="preserve">every state, so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 By hypothesis</w:t>
      </w:r>
      <w: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 hence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a contradiction. Therefore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symmetrically</w:t>
      </w:r>
      <w: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forbids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Blackwell-incomparable.</w:t>
      </w:r>
    </w:p>
    <w:p>
      <w:pPr>
        <w:pStyle w:val="BodyText"/>
      </w:pPr>
      <w:r>
        <w:t xml:space="preserve">Two things this argument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 are worth stating, because the natural shorter proof</w:t>
      </w:r>
      <w:r>
        <w:t xml:space="preserve"> </w:t>
      </w:r>
      <w:r>
        <w:t xml:space="preserve">uses both and is wrong. It never asserts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: the left side is</w:t>
      </w:r>
      <w:r>
        <w:t xml:space="preserve"> </w:t>
      </w:r>
      <w:r>
        <w:t xml:space="preserve">a Bayes value under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, the right a pass rate at the single realized convention, and</w:t>
      </w:r>
      <w:r>
        <w:t xml:space="preserve"> </w:t>
      </w:r>
      <w:r>
        <w:t xml:space="preserve">optimality relates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only to the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-averaged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</m:bar>
          </m:e>
          <m:sub>
            <m:r>
              <m:t>M</m:t>
            </m:r>
          </m:sub>
        </m:sSub>
      </m:oMath>
      <w:r>
        <w:t xml:space="preserve"> </w:t>
      </w:r>
      <w:r>
        <w:t xml:space="preserve">(Remark 1). And it never treats the measured crossover as the hypothesis: the</w:t>
      </w:r>
      <w:r>
        <w:t xml:space="preserve"> </w:t>
      </w:r>
      <w:r>
        <w:t xml:space="preserve">crossover is the observable signature of</w:t>
      </w:r>
      <w: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 not a substitute for it. The caps remain</w:t>
      </w:r>
      <w:r>
        <w:t xml:space="preserve"> </w:t>
      </w:r>
      <w:r>
        <w:t xml:space="preserve">essential in the converse direction: without them a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crossover is compatible even with</w:t>
      </w:r>
      <w:r>
        <w:t xml:space="preserve"> </w:t>
      </w:r>
      <w:r>
        <w:t xml:space="preserve">Blackwell</w:t>
      </w:r>
      <w:r>
        <w:t xml:space="preserve"> </w:t>
      </w:r>
      <w:r>
        <w:rPr>
          <w:i/>
          <w:iCs/>
        </w:rPr>
        <w:t xml:space="preserve">equivalence</w:t>
      </w:r>
      <w:r>
        <w:t xml:space="preserve">, since a fixed rule keyed to one signal’s surface form can</w:t>
      </w:r>
      <w:r>
        <w:t xml:space="preserve"> </w:t>
      </w:r>
      <w:r>
        <w:t xml:space="preserve">under-perform on the other, exactly the non-coherence phenomenon Theorem 3</w:t>
      </w:r>
      <w:r>
        <w:t xml:space="preserve"> </w:t>
      </w:r>
      <w:r>
        <w:t xml:space="preserve">verifies 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(b)</w:t>
      </w:r>
      <w:r>
        <w:t xml:space="preserve"> </w:t>
      </w:r>
      <w:r>
        <w:t xml:space="preserve">Assumption 1 directly yields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reverse at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, which is Definition 5’s incomparability; the failure of</w:t>
      </w:r>
      <w:r>
        <w:t xml:space="preserve"> </w:t>
      </w:r>
      <w:r>
        <w:t xml:space="preserve">the unconditional converse is witnessed by any fixed rule that violates monotonicity the optimal</w:t>
      </w:r>
      <w:r>
        <w:t xml:space="preserve"> </w:t>
      </w:r>
      <w:r>
        <w:t xml:space="preserve">value obeys. ◻</w:t>
      </w:r>
    </w:p>
    <w:bookmarkEnd w:id="130"/>
    <w:bookmarkStart w:id="131" w:name="proof-of-theorem-2"/>
    <w:p>
      <w:pPr>
        <w:pStyle w:val="Heading2"/>
      </w:pPr>
      <w:r>
        <w:t xml:space="preserve">Proof of Theorem 2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By incomparability, neither source garbles the other. By the contrapositive of</w:t>
      </w:r>
      <w:r>
        <w:t xml:space="preserve"> </w:t>
      </w:r>
      <w:r>
        <w:t xml:space="preserve">Theorem 1,</w:t>
      </w:r>
      <w:r>
        <w:t xml:space="preserve"> </w:t>
      </w:r>
      <w:r>
        <w:t xml:space="preserve">“not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”</w:t>
      </w:r>
      <w:r>
        <w:t xml:space="preserve"> </w:t>
      </w:r>
      <w:r>
        <w:t xml:space="preserve">yields a task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(a prior plus bounded</w:t>
      </w:r>
      <w:r>
        <w:t xml:space="preserve"> </w:t>
      </w:r>
      <w:r>
        <w:t xml:space="preserve">utility) with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“not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”</w:t>
      </w:r>
      <w:r>
        <w:t xml:space="preserve"> </w:t>
      </w:r>
      <w:r>
        <w:t xml:space="preserve">yields a task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; both inequalities are</w:t>
      </w:r>
      <w:r>
        <w:t xml:space="preserve"> </w:t>
      </w:r>
      <w:r>
        <w:rPr>
          <w:i/>
          <w:iCs/>
        </w:rPr>
        <w:t xml:space="preserve">strict</w:t>
      </w:r>
      <w:r>
        <w:t xml:space="preserve">, so ties do</w:t>
      </w:r>
      <w:r>
        <w:t xml:space="preserve"> </w:t>
      </w:r>
      <w:r>
        <w:t xml:space="preserve">not arise. A query-independent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assigns the single ordered pair</w:t>
      </w:r>
      <w:r>
        <w:t xml:space="preserve"> </w:t>
      </w:r>
      <m:oMath>
        <m:r>
          <m:rPr>
            <m:sty m:val="p"/>
          </m:rPr>
          <m:t>(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fixing one total order of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rPr>
          <w:i/>
          <w:iCs/>
        </w:rPr>
        <w:t xml:space="preserve">independent of the task</w:t>
      </w:r>
      <w:r>
        <w:t xml:space="preserve">. That fixed</w:t>
      </w:r>
      <w:r>
        <w:t xml:space="preserve"> </w:t>
      </w:r>
      <w:r>
        <w:t xml:space="preserve">order agrees with the optimal-value order on at most one of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(they point opposite ways),</w:t>
      </w:r>
      <w:r>
        <w:t xml:space="preserve"> </w:t>
      </w:r>
      <w:r>
        <w:t xml:space="preserve">hence is violated on the other. The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conclusion follows by replacing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via Assumption 1, which guarantees the realized rule reproduces both</w:t>
      </w:r>
      <w:r>
        <w:t xml:space="preserve"> </w:t>
      </w:r>
      <w:r>
        <w:t xml:space="preserve">strict inequalities with margin</w:t>
      </w:r>
      <w:r>
        <w:t xml:space="preserve"> </w:t>
      </w:r>
      <m:oMath>
        <m:r>
          <m:t>γ</m:t>
        </m:r>
      </m:oMath>
      <w:r>
        <w:t xml:space="preserve">. ◻</w:t>
      </w:r>
    </w:p>
    <w:bookmarkEnd w:id="131"/>
    <w:bookmarkStart w:id="132" w:name="proof-of-proposition-2"/>
    <w:p>
      <w:pPr>
        <w:pStyle w:val="Heading2"/>
      </w:pPr>
      <w:r>
        <w:t xml:space="preserve">Proof of Proposition 2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For (a),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r>
          <m:t>ψ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force equal scores, while</w:t>
      </w:r>
      <w:r>
        <w:t xml:space="preserve"> </w:t>
      </w:r>
      <w:r>
        <w:t xml:space="preserve">faithfulness on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would require a strict gap. For (b),</w:t>
      </w:r>
      <w: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strictly increasing gives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utility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’s PASS requires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coordinate; the two orders</w:t>
      </w:r>
      <w:r>
        <w:t xml:space="preserve"> </w:t>
      </w:r>
      <w:r>
        <w:t xml:space="preserve">disagree. Part (b) makes</w:t>
      </w:r>
      <w:r>
        <w:t xml:space="preserve"> </w:t>
      </w:r>
      <w:r>
        <w:t xml:space="preserve">explicit the two things the informal reading of</w:t>
      </w:r>
      <w:r>
        <w:t xml:space="preserve"> </w:t>
      </w:r>
      <w:r>
        <w:t xml:space="preserve">“saturated lexicon”</w:t>
      </w:r>
      <w:r>
        <w:t xml:space="preserve"> </w:t>
      </w:r>
      <w:r>
        <w:t xml:space="preserve">presumes, strict monotonicity</w:t>
      </w:r>
      <w:r>
        <w:t xml:space="preserve"> </w:t>
      </w:r>
      <w:r>
        <w:t xml:space="preserve">and overlap being the only feature read, without which no strict inequality follows. ◻</w:t>
      </w:r>
    </w:p>
    <w:bookmarkEnd w:id="132"/>
    <w:bookmarkStart w:id="133" w:name="proof-of-proposition-1"/>
    <w:p>
      <w:pPr>
        <w:pStyle w:val="Heading2"/>
      </w:pPr>
      <w:r>
        <w:t xml:space="preserve">Proof of Proposition 1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 garbling 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</m:oMath>
      <w:r>
        <w:t xml:space="preserve">. Any predictor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acting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realized 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 by the composite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G</m:t>
        </m:r>
      </m:oMath>
      <w:r>
        <w:t xml:space="preserve">, which lies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by the closure hypothesis. Therefore the best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-predictor under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attains at least the</w:t>
      </w:r>
      <w:r>
        <w:t xml:space="preserve"> </w:t>
      </w:r>
      <w:r>
        <w:t xml:space="preserve">predictive accuracy of the best under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so its expected predictive risk is no larger; the</w:t>
      </w:r>
      <w:r>
        <w:t xml:space="preserve"> </w:t>
      </w:r>
      <w:r>
        <w:t xml:space="preserve">risk-reduction relative to the common null signal is thus at least as large under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The</w:t>
      </w:r>
      <w:r>
        <w:t xml:space="preserve"> </w:t>
      </w:r>
      <w:r>
        <w:t xml:space="preserve">scalarity is immediate: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</m:oMath>
      <w:r>
        <w:t xml:space="preserve"> </w:t>
      </w:r>
      <w:r>
        <w:t xml:space="preserve">returns a single real number per source, so it induces a total</w:t>
      </w:r>
      <w:r>
        <w:t xml:space="preserve"> </w:t>
      </w:r>
      <w:r>
        <w:t xml:space="preserve">order and, by Theorem 2, cannot rank a Blackwell-incomparable pair correctly</w:t>
      </w:r>
      <w:r>
        <w:t xml:space="preserve"> </w:t>
      </w:r>
      <w:r>
        <w:t xml:space="preserve">for all tasks. ◻</w:t>
      </w:r>
    </w:p>
    <w:bookmarkEnd w:id="133"/>
    <w:bookmarkStart w:id="134" w:name="proof-of-proposition-3"/>
    <w:p>
      <w:pPr>
        <w:pStyle w:val="Heading2"/>
      </w:pPr>
      <w:r>
        <w:t xml:space="preserve">Proof of Proposition 3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event that all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Clopper–Pearson intervals contain their true proportions.</w:t>
      </w:r>
      <w:r>
        <w:t xml:space="preserve"> </w:t>
      </w:r>
      <w:r>
        <w:t xml:space="preserve">Each interval fails with probability at most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(exact coverage of</w:t>
      </w:r>
      <w:r>
        <w:t xml:space="preserve"> </w:t>
      </w:r>
      <w:r>
        <w:t xml:space="preserve">Clopper–Pearson </w:t>
      </w:r>
      <w:r>
        <w:t xml:space="preserve">(Clopper and Pearson 1934)</w:t>
      </w:r>
      <w:r>
        <w:t xml:space="preserve">), so by the union bound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E</m:t>
            </m:r>
          </m:e>
          <m:sup>
            <m:r>
              <m:t>c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α</m:t>
        </m:r>
        <m:r>
          <m:rPr>
            <m:sty m:val="p"/>
          </m:rPr>
          <m:t>=</m:t>
        </m:r>
        <m:r>
          <m:t>η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On</w:t>
      </w:r>
      <w:r>
        <w:t xml:space="preserve"> </w:t>
      </w:r>
      <m:oMath>
        <m:r>
          <m:t>E</m:t>
        </m:r>
      </m:oMath>
      <w:r>
        <w:t xml:space="preserve">,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have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≤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; taking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on both</w:t>
      </w:r>
      <w:r>
        <w:t xml:space="preserve"> </w:t>
      </w:r>
      <w:r>
        <w:t xml:space="preserve">sides,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</m:sub>
        </m:sSub>
        <m:r>
          <m:rPr>
            <m:sty m:val="p"/>
          </m:rPr>
          <m:t>[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≥</m:t>
        </m:r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 Thus on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) the</w:t>
      </w:r>
      <w:r>
        <w:t xml:space="preserve"> </w:t>
      </w:r>
      <w:r>
        <w:t xml:space="preserve">true sup is at least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 which is the claimed lower confidence bound; if it is positive,</w:t>
      </w:r>
      <w:r>
        <w:t xml:space="preserve"> </w:t>
      </w:r>
      <w:r>
        <w:t xml:space="preserve">the true sup is positive, verifying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The reverse direction uses</w:t>
      </w:r>
      <w:r>
        <w:t xml:space="preserve"> </w:t>
      </w:r>
      <m:oMath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which are endpoints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intervals already</w:t>
      </w:r>
      <w:r>
        <w:t xml:space="preserve"> </w:t>
      </w:r>
      <w:r>
        <w:t xml:space="preserve">included in</w:t>
      </w:r>
      <w:r>
        <w:t xml:space="preserve"> </w:t>
      </w:r>
      <m:oMath>
        <m:r>
          <m:t>E</m:t>
        </m:r>
      </m:oMath>
      <w:r>
        <w:t xml:space="preserve">; therefore both one-sided verifications are valid on the single event</w:t>
      </w:r>
      <w:r>
        <w:t xml:space="preserve"> </w:t>
      </w:r>
      <m:oMath>
        <m:r>
          <m:t>E</m:t>
        </m:r>
      </m:oMath>
      <w:r>
        <w:t xml:space="preserve">, and their</w:t>
      </w:r>
      <w:r>
        <w:t xml:space="preserve"> </w:t>
      </w:r>
      <w:r>
        <w:t xml:space="preserve">conjunction holds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without a further Bonferroni factor. ◻</w:t>
      </w:r>
    </w:p>
    <w:bookmarkEnd w:id="134"/>
    <w:bookmarkStart w:id="135" w:name="proof-of-proposition-4"/>
    <w:p>
      <w:pPr>
        <w:pStyle w:val="Heading2"/>
      </w:pPr>
      <w:r>
        <w:t xml:space="preserve">Proof of Proposition 4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Only two quantities enter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: an upper endpoint on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 </w:t>
      </w:r>
      <w:r>
        <w:t xml:space="preserve">and a lower endpoint on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. The two arms are independent Bernoulli samples</w:t>
      </w:r>
      <w:r>
        <w:t xml:space="preserve"> </w:t>
      </w:r>
      <w:r>
        <w:t xml:space="preserve">(separate completions). Let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be the event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t xml:space="preserve">the event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. By the exact one-sided coverage of</w:t>
      </w:r>
      <w:r>
        <w:t xml:space="preserve"> </w:t>
      </w:r>
      <w:r>
        <w:t xml:space="preserve">Clopper–Pearson at noncoverage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per endpoint,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E</m:t>
            </m:r>
          </m:e>
          <m:sub>
            <m:r>
              <m:rPr>
                <m:sty m:val="p"/>
              </m:rPr>
              <m:t>+</m:t>
            </m:r>
          </m:sub>
          <m:sup>
            <m:r>
              <m:t>c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≤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E</m:t>
            </m:r>
          </m:e>
          <m:sub>
            <m:r>
              <m:rPr>
                <m:sty m:val="p"/>
              </m:rPr>
              <m:t>−</m:t>
            </m:r>
          </m:sub>
          <m:sup>
            <m:r>
              <m:t>c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≤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, so by the union bound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E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∩</m:t>
        </m:r>
        <m:sSub>
          <m:e>
            <m:r>
              <m:t>E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On that event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r>
            <m:rPr>
              <m:sty m:val="p"/>
            </m:rPr>
            <m:t>≤</m:t>
          </m:r>
          <m:r>
            <m:t> </m:t>
          </m:r>
          <m:sSub>
            <m:e>
              <m:r>
                <m:t>U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rPr>
              <m:sty m:val="p"/>
            </m:rPr>
            <m:t>−</m:t>
          </m:r>
          <m:sSub>
            <m:e>
              <m:r>
                <m:t>L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</m:e>
              </m:ba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claim; if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confidence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Note that the budget is spent on exactly the two endpoints used: a</w:t>
      </w:r>
      <w:r>
        <w:t xml:space="preserve"> </w:t>
      </w:r>
      <w:r>
        <w:t xml:space="preserve">two-sided interval at 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would place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in each tail, leave two endpoints</w:t>
      </w:r>
      <w:r>
        <w:t xml:space="preserve"> </w:t>
      </w:r>
      <w:r>
        <w:t xml:space="preserve">unused, and deliver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while widening the bound, which is why the allocation is stated</w:t>
      </w:r>
      <w:r>
        <w:t xml:space="preserve"> </w:t>
      </w:r>
      <w:r>
        <w:t xml:space="preserve">per endpoint rather than per interval. For a post-hoc selected cell, replacing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and union-bounding over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endpoints preserves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simultaneous coverage. ◻</w:t>
      </w:r>
    </w:p>
    <w:bookmarkEnd w:id="135"/>
    <w:bookmarkStart w:id="136" w:name="proof-of-theorem-3"/>
    <w:p>
      <w:pPr>
        <w:pStyle w:val="Heading2"/>
      </w:pPr>
      <w:r>
        <w:t xml:space="preserve">Proof of Theorem 3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deletion of the extra coordinate (a deterministic garbling,</w:t>
      </w:r>
      <w:r>
        <w:t xml:space="preserve"> </w:t>
      </w:r>
      <w:r>
        <w:t xml:space="preserve">Lemma 1(a)); write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 that deletion, so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state</w:t>
      </w:r>
      <w:r>
        <w:t xml:space="preserve"> </w:t>
      </w:r>
      <m:oMath>
        <m:r>
          <m:t>s</m:t>
        </m:r>
      </m:oMath>
      <w:r>
        <w:t xml:space="preserve">. The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then Blackwell-coherent on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in the sense of the theorem, and its</w:t>
      </w:r>
      <w:r>
        <w:t xml:space="preserve"> </w:t>
      </w:r>
      <w:r>
        <w:t xml:space="preserve">realized pass rate 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at the realized state, since the two</w:t>
      </w:r>
      <w:r>
        <w:t xml:space="preserve"> </w:t>
      </w:r>
      <w:r>
        <w:t xml:space="preserve">rules see the same signal law. The hypothesis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therefore says that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strictly beaten by its own pruned version on the same input, so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w:r>
        <w:t xml:space="preserve">Blackwell-coherent on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. Note what this argument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use: it is the</w:t>
      </w:r>
      <w:r>
        <w:t xml:space="preserve"> </w:t>
      </w:r>
      <w:r>
        <w:t xml:space="preserve">simulation construction behind</w:t>
      </w:r>
      <w:r>
        <w:t xml:space="preserve"> </w:t>
      </w:r>
      <w:r>
        <w:t xml:space="preserve">(i)</w:t>
      </w:r>
      <m:oMath>
        <m:r>
          <m:rPr>
            <m:sty m:val="p"/>
          </m:rPr>
          <m:t>⇒</m:t>
        </m:r>
      </m:oMath>
      <w:r>
        <w:t xml:space="preserve">(ii)</w:t>
      </w:r>
      <w:r>
        <w:t xml:space="preserve"> </w:t>
      </w:r>
      <w:r>
        <w:t xml:space="preserve">of</w:t>
      </w:r>
      <w:r>
        <w:t xml:space="preserve"> </w:t>
      </w:r>
      <w:r>
        <w:t xml:space="preserve">Theorem 1 applied state-conditionally, not an instance of statement</w:t>
      </w:r>
      <w:r>
        <w:t xml:space="preserve"> </w:t>
      </w:r>
      <w:r>
        <w:t xml:space="preserve">(ii)</w:t>
      </w:r>
      <w:r>
        <w:t xml:space="preserve">, which is Bayes-averaged and so says nothing about a single state</w:t>
      </w:r>
      <w:r>
        <w:t xml:space="preserve"> </w:t>
      </w:r>
      <w:r>
        <w:t xml:space="preserve">(Remark 1). A monotone scalar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assigns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ϕ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(monotonicity), hence orders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above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cannot reproduce</w:t>
      </w:r>
      <w:r>
        <w:t xml:space="preserve"> </w:t>
      </w:r>
      <w:r>
        <w:t xml:space="preserve">the realized reversal. ◻</w:t>
      </w:r>
    </w:p>
    <w:bookmarkEnd w:id="136"/>
    <w:bookmarkStart w:id="138" w:name="relation-to-llm-evaluation-statistics"/>
    <w:p>
      <w:pPr>
        <w:pStyle w:val="Heading2"/>
      </w:pPr>
      <w:r>
        <w:t xml:space="preserve">Relation to LLM-evaluation statistics</w:t>
      </w:r>
    </w:p>
    <w:bookmarkStart w:id="137" w:name="rem:evalstats"/>
    <w:p>
      <w:pPr>
        <w:pStyle w:val="FirstParagraph"/>
      </w:pPr>
      <w:r>
        <w:rPr>
          <w:i/>
          <w:iCs/>
        </w:rPr>
        <w:t xml:space="preserve">Remark 10</w:t>
      </w:r>
      <w:r>
        <w:t xml:space="preserve"> </w:t>
      </w:r>
      <w:r>
        <w:t xml:space="preserve">(Relation to LLM-evaluation statistics).</w:t>
      </w:r>
      <w:r>
        <w:t xml:space="preserve"> </w:t>
      </w:r>
      <w:r>
        <w:t xml:space="preserve"> </w:t>
      </w:r>
      <w:r>
        <w:t xml:space="preserve">The verification sits in a small but growing statistical-methodology literature for black-box</w:t>
      </w:r>
      <w:r>
        <w:t xml:space="preserve"> </w:t>
      </w:r>
      <w:r>
        <w:t xml:space="preserve">model evaluation: paired-difference designs and clustered standard errors for</w:t>
      </w:r>
      <w:r>
        <w:t xml:space="preserve"> </w:t>
      </w:r>
      <w:r>
        <w:t xml:space="preserve">evals </w:t>
      </w:r>
      <w:r>
        <w:t xml:space="preserve">(Miller 2024)</w:t>
      </w:r>
      <w:r>
        <w:t xml:space="preserve">, two-sample tests verifying behavioral differences between</w:t>
      </w:r>
      <w:r>
        <w:t xml:space="preserve"> </w:t>
      </w:r>
      <w:r>
        <w:t xml:space="preserve">API-served models </w:t>
      </w:r>
      <w:r>
        <w:t xml:space="preserve">(Gao et al. 2025)</w:t>
      </w:r>
      <w:r>
        <w:t xml:space="preserve">, and the recommendation to prefer exact</w:t>
      </w:r>
      <w:r>
        <w:t xml:space="preserve"> </w:t>
      </w:r>
      <w:r>
        <w:t xml:space="preserve">frequentist intervals over CLT approximations when per-cell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below a few</w:t>
      </w:r>
      <w:r>
        <w:t xml:space="preserve"> </w:t>
      </w:r>
      <w:r>
        <w:t xml:space="preserve">hundred </w:t>
      </w:r>
      <w:r>
        <w:t xml:space="preserve">(Bowyer et al. 2025)</w:t>
      </w:r>
      <w:r>
        <w:t xml:space="preserve">, which is precisely our regime (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20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]</m:t>
        </m:r>
      </m:oMath>
      <w:r>
        <w:t xml:space="preserve"> </w:t>
      </w:r>
      <w:r>
        <w:t xml:space="preserve">per cell) and</w:t>
      </w:r>
      <w:r>
        <w:t xml:space="preserve"> </w:t>
      </w:r>
      <w:r>
        <w:t xml:space="preserve">precisely what the exact Clopper–Pearson construction provides.</w:t>
      </w:r>
    </w:p>
    <w:bookmarkEnd w:id="137"/>
    <w:bookmarkEnd w:id="138"/>
    <w:bookmarkStart w:id="139" w:name="subsec:power"/>
    <w:p>
      <w:pPr>
        <w:pStyle w:val="Heading2"/>
      </w:pPr>
      <w:r>
        <w:t xml:space="preserve">Power and the role of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t xml:space="preserve">Both verifications are driven by how close the arms sit to an endpoint. For a stark cell with</w:t>
      </w:r>
      <w:r>
        <w:t xml:space="preserve"> </w:t>
      </w:r>
      <w:r>
        <w:t xml:space="preserve">empirical proportion at an endpoint (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) the Clopper–Pearson interval becomes</w:t>
      </w:r>
      <w:r>
        <w:t xml:space="preserve"> </w:t>
      </w:r>
      <w:r>
        <w:t xml:space="preserve">one-sided and clears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even at small</w:t>
      </w:r>
      <w:r>
        <w:t xml:space="preserve"> </w:t>
      </w:r>
      <m:oMath>
        <m:r>
          <m:t>n</m:t>
        </m:r>
      </m:oMath>
      <w:r>
        <w:t xml:space="preserve">. It does not become a point: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 two-sided</w:t>
      </w:r>
      <w:r>
        <w:t xml:space="preserve"> </w:t>
      </w:r>
      <w:r>
        <w:t xml:space="preserve">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8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 </m:t>
        </m:r>
        <m:r>
          <m:t>0.119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0.881</m:t>
        </m:r>
        <m:r>
          <m:rPr>
            <m:sty m:val="p"/>
          </m:rPr>
          <m:t>,</m:t>
        </m:r>
        <m:r>
          <m:t> </m:t>
        </m:r>
        <m:r>
          <m:t>1</m:t>
        </m:r>
        <m:r>
          <m:rPr>
            <m:sty m:val="p"/>
          </m:rPr>
          <m:t>]</m:t>
        </m:r>
      </m:oMath>
      <w:r>
        <w:t xml:space="preserve">, and it is that</w:t>
      </w:r>
      <w:r>
        <w:t xml:space="preserve"> </w:t>
      </w:r>
      <m:oMath>
        <m:r>
          <m:t>0.119</m:t>
        </m:r>
      </m:oMath>
      <w:r>
        <w:t xml:space="preserve"> </w:t>
      </w:r>
      <w:r>
        <w:t xml:space="preserve">the crossing has to beat. The incomparability verification</w:t>
      </w:r>
      <w:r>
        <w:t xml:space="preserve"> </w:t>
      </w:r>
      <w:r>
        <w:t xml:space="preserve">(6) is carried by exactly such cells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≈</m:t>
        </m:r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and vice</w:t>
      </w:r>
      <w:r>
        <w:t xml:space="preserve"> </w:t>
      </w:r>
      <w:r>
        <w:t xml:space="preserve">versa). The harm contrast (8) needs the gap between two arms to exceed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after both intervals are paid for, so a mild collapse from a non-endpoint arm, as in the</w:t>
      </w:r>
      <w:r>
        <w:t xml:space="preserve"> </w:t>
      </w:r>
      <w:r>
        <w:t xml:space="preserve">import-neutralized Haiku control (</w:t>
      </w:r>
      <m:oMath>
        <m:r>
          <m:t>100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52</m:t>
        </m:r>
        <m:r>
          <m:rPr>
            <m:sty m:val="p"/>
          </m:rPr>
          <m:t>%</m:t>
        </m:r>
      </m:oMath>
      <w:r>
        <w:t xml:space="preserve">), is verified in sign but not at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; that cell would clear at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80</m:t>
        </m:r>
      </m:oMath>
      <w:r>
        <w:t xml:space="preserve">.</w:t>
      </w:r>
    </w:p>
    <w:bookmarkEnd w:id="139"/>
    <w:bookmarkEnd w:id="140"/>
    <w:bookmarkStart w:id="146" w:name="app:record"/>
    <w:p>
      <w:pPr>
        <w:pStyle w:val="Heading1"/>
      </w:pPr>
      <w:r>
        <w:t xml:space="preserve">Extended experimental record</w:t>
      </w:r>
    </w:p>
    <w:bookmarkStart w:id="145" w:name="generality-and-controls-full-protocols"/>
    <w:p>
      <w:pPr>
        <w:pStyle w:val="Heading2"/>
      </w:pPr>
      <w:r>
        <w:t xml:space="preserve">Generality and controls: full protocols</w:t>
      </w:r>
    </w:p>
    <w:p>
      <w:pPr>
        <w:pStyle w:val="FirstParagraph"/>
      </w:pPr>
      <w:r>
        <w:t xml:space="preserve">Four follow-up experiments address three threat axes: source-pair generality, the context-length</w:t>
      </w:r>
      <w:r>
        <w:t xml:space="preserve"> </w:t>
      </w:r>
      <w:r>
        <w:t xml:space="preserve">confound, and whether the anti-monotonicity collapse is curable by cheap prompting.</w:t>
      </w:r>
    </w:p>
    <w:bookmarkStart w:id="141" w:name="Xfd2ce319a26faa67e0eadf0fee657d728019446"/>
    <w:p>
      <w:pPr>
        <w:pStyle w:val="Heading4"/>
      </w:pPr>
      <w:r>
        <w:t xml:space="preserve">A second incomparable pair, different domain.</w:t>
      </w:r>
    </w:p>
    <w:p>
      <w:pPr>
        <w:pStyle w:val="FirstParagraph"/>
      </w:pPr>
      <w:r>
        <w:t xml:space="preserve">We repeated the protocol with a second hand-built pair on a private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module: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the</w:t>
      </w:r>
      <w:r>
        <w:t xml:space="preserve"> </w:t>
      </w:r>
      <w:r>
        <w:rPr>
          <w:rStyle w:val="VerbatimChar"/>
        </w:rPr>
        <w:t xml:space="preserve">cache.put(key, value, *, ttl)</w:t>
      </w:r>
      <w:r>
        <w:t xml:space="preserve"> </w:t>
      </w:r>
      <w:r>
        <w:t xml:space="preserve">call contract (argument order, required keyword-only</w:t>
      </w:r>
      <w:r>
        <w:t xml:space="preserve"> </w:t>
      </w:r>
      <w:r>
        <w:rPr>
          <w:rStyle w:val="VerbatimChar"/>
        </w:rPr>
        <w:t xml:space="preserve">ttl</w:t>
      </w:r>
      <w:r>
        <w:t xml:space="preserve">, a True/False</w:t>
      </w:r>
      <w:r>
        <w:t xml:space="preserve"> </w:t>
      </w:r>
      <w:r>
        <w:t xml:space="preserve">“newly inserted”</w:t>
      </w:r>
      <w:r>
        <w:t xml:space="preserve"> </w:t>
      </w:r>
      <w:r>
        <w:t xml:space="preserve">flag, a</w:t>
      </w:r>
      <w:r>
        <w:t xml:space="preserve"> </w:t>
      </w:r>
      <w:r>
        <w:rPr>
          <w:rStyle w:val="VerbatimChar"/>
        </w:rPr>
        <w:t xml:space="preserve">CacheError</w:t>
      </w:r>
      <w:r>
        <w:t xml:space="preserve"> </w:t>
      </w:r>
      <w:r>
        <w:t xml:space="preserve">type), versus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a</w:t>
      </w:r>
      <w:r>
        <w:t xml:space="preserve"> </w:t>
      </w:r>
      <w:r>
        <w:t xml:space="preserve">key-normalization invariant (a fixed</w:t>
      </w:r>
      <w:r>
        <w:t xml:space="preserve"> </w:t>
      </w:r>
      <w:r>
        <w:rPr>
          <w:rStyle w:val="VerbatimChar"/>
        </w:rPr>
        <w:t xml:space="preserve">kx7-</w:t>
      </w:r>
      <w:r>
        <w:t xml:space="preserve"> </w:t>
      </w:r>
      <w:r>
        <w:t xml:space="preserve">namespace prefix and an underscore rule). On Haiku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pair is again verified incomparable 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0.774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0.496</m:t>
        </m:r>
      </m:oMath>
      <w:r>
        <w:t xml:space="preserve">, both directions clear</w:t>
      </w:r>
      <w:r>
        <w:t xml:space="preserve"> </w:t>
      </w:r>
      <w:r>
        <w:t xml:space="preserve">of zero) with a clean double crossover (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solves the contract and trap cells,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solves</w:t>
      </w:r>
      <w:r>
        <w:t xml:space="preserve"> </w:t>
      </w:r>
      <w:r>
        <w:t xml:space="preserve">key-normalization, all none-baselines floor 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), and the dominance control again verifies</w:t>
      </w:r>
      <w:r>
        <w:t xml:space="preserve"> </w:t>
      </w:r>
      <w:r>
        <w:t xml:space="preserve">one-directionally. Anti-monotonicity reproduces in direction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(the superset collapses the</w:t>
      </w:r>
      <w:r>
        <w:t xml:space="preserve"> </w:t>
      </w:r>
      <w:r>
        <w:t xml:space="preserve">contract cell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28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0.52</m:t>
        </m:r>
      </m:oMath>
      <w:r>
        <w:t xml:space="preserve">); re-running the arms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shows the collapse</w:t>
      </w:r>
      <w:r>
        <w:t xml:space="preserve"> </w:t>
      </w:r>
      <w:r>
        <w:t xml:space="preserve">is stable (</w:t>
      </w:r>
      <m:oMath>
        <m:r>
          <m:t>80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29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0.51</m:t>
        </m:r>
      </m:oMath>
      <w:r>
        <w:t xml:space="preserve">) with Clopper–Pearson upper bound</w:t>
      </w:r>
      <w:r>
        <w:t xml:space="preserve"> </w:t>
      </w:r>
      <m:oMath>
        <m:r>
          <m:rPr>
            <m:sty m:val="p"/>
          </m:rPr>
          <m:t>−</m:t>
        </m:r>
        <m:r>
          <m:t>0.33</m:t>
        </m:r>
      </m:oMath>
      <w:r>
        <w:t xml:space="preserve">, which</w:t>
      </w:r>
      <w:r>
        <w:t xml:space="preserve"> </w:t>
      </w:r>
      <w:r>
        <w:t xml:space="preserve">clears the margin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fixed for the whole programme. The binding constraint is the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 itself</w:t>
      </w:r>
      <w:r>
        <w:t xml:space="preserve"> </w:t>
      </w:r>
      <w:r>
        <w:t xml:space="preserve">(</w:t>
      </w:r>
      <m:oMath>
        <m:r>
          <m:t>80</m:t>
        </m:r>
        <m:r>
          <m:rPr>
            <m:sty m:val="p"/>
          </m:rPr>
          <m:t>%</m:t>
        </m:r>
      </m:oMath>
      <w:r>
        <w:t xml:space="preserve">, versus pair-1’s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sty m:val="p"/>
          </m:rPr>
          <m:t>%</m:t>
        </m:r>
      </m:oMath>
      <w:r>
        <w:t xml:space="preserve">), so the margin is met with little to spare;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same collapse gives</w:t>
      </w:r>
      <w:r>
        <w:t xml:space="preserve"> </w:t>
      </w:r>
      <m:oMath>
        <m:r>
          <m:rPr>
            <m:sty m:val="p"/>
          </m:rPr>
          <m:t>−</m:t>
        </m:r>
        <m:r>
          <m:t>0.25</m:t>
        </m:r>
      </m:oMath>
      <w:r>
        <w:t xml:space="preserve"> </w:t>
      </w:r>
      <w:r>
        <w:t xml:space="preserve">and does not clear, which is why the cell was re-run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.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re-run covers the</w:t>
      </w:r>
      <w:r>
        <w:t xml:space="preserve"> </w:t>
      </w:r>
      <w:r>
        <w:rPr>
          <w:rStyle w:val="VerbatimChar"/>
        </w:rPr>
        <w:t xml:space="preserve">cache_put_ok</w:t>
      </w:r>
      <w:r>
        <w:t xml:space="preserve"> </w:t>
      </w:r>
      <w:r>
        <w:t xml:space="preserve">cell alone, so its dominance control</w:t>
      </w:r>
      <w:r>
        <w:t xml:space="preserve"> </w:t>
      </w:r>
      <w:r>
        <w:t xml:space="preserve">(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0.000</m:t>
        </m:r>
      </m:oMath>
      <w:r>
        <w:t xml:space="preserve"> </w:t>
      </w:r>
      <w:r>
        <w:t xml:space="preserve">with a verified strict win) is a statement about that cell rather than about</w:t>
      </w:r>
      <w:r>
        <w:t xml:space="preserve"> </w:t>
      </w:r>
      <w:r>
        <w:t xml:space="preserve">the three-cell battery; the battery-wide control remains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one. The relevance trap for this pair was a</w:t>
      </w:r>
      <w:r>
        <w:t xml:space="preserve"> </w:t>
      </w:r>
      <w:r>
        <w:t xml:space="preserve">null, its prompt vocabulary leaned toward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φ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0.39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), so</w:t>
      </w:r>
      <w:r>
        <w:t xml:space="preserve"> </w:t>
      </w:r>
      <w:r>
        <w:t xml:space="preserve">relevance</w:t>
      </w:r>
      <w:r>
        <w:t xml:space="preserve"> </w:t>
      </w:r>
      <w:r>
        <w:rPr>
          <w:i/>
          <w:iCs/>
        </w:rPr>
        <w:t xml:space="preserve">agreed</w:t>
      </w:r>
      <w:r>
        <w:t xml:space="preserve"> </w:t>
      </w:r>
      <w:r>
        <w:t xml:space="preserve">with PASS, so the strong mis-rank remains a pair-1 result. The contribution of</w:t>
      </w:r>
      <w:r>
        <w:t xml:space="preserve"> </w:t>
      </w:r>
      <w:r>
        <w:t xml:space="preserve">the second pair is therefore</w:t>
      </w:r>
      <w:r>
        <w:t xml:space="preserve"> </w:t>
      </w:r>
      <w:r>
        <w:rPr>
          <w:i/>
          <w:iCs/>
        </w:rPr>
        <w:t xml:space="preserve">generality of the incomparability and dominance results to a new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, not a second mis-rank.</w:t>
      </w:r>
    </w:p>
    <w:bookmarkEnd w:id="141"/>
    <w:bookmarkStart w:id="142" w:name="a-character-matched-padding-control."/>
    <w:p>
      <w:pPr>
        <w:pStyle w:val="Heading4"/>
      </w:pPr>
      <w:r>
        <w:t xml:space="preserve">A character-matched padding control.</w:t>
      </w:r>
    </w:p>
    <w:p>
      <w:pPr>
        <w:pStyle w:val="FirstParagraph"/>
      </w:pPr>
      <w:r>
        <w:t xml:space="preserve">Anti-monotonicity compares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against the strictly longer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and added input length alone</w:t>
      </w:r>
      <w:r>
        <w:t xml:space="preserve"> </w:t>
      </w:r>
      <w:r>
        <w:t xml:space="preserve">is known to degrade performance </w:t>
      </w:r>
      <w:r>
        <w:t xml:space="preserve">(Du et al. 2025)</w:t>
      </w:r>
      <w:r>
        <w:t xml:space="preserve">, so the collapse could in principle be a</w:t>
      </w:r>
      <w:r>
        <w:t xml:space="preserve"> </w:t>
      </w:r>
      <w:r>
        <w:t xml:space="preserve">token-count effect rather than a signal effect. To isolate this we added a padding arm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: filler text in the same</w:t>
      </w:r>
      <w:r>
        <w:t xml:space="preserve"> </w:t>
      </w:r>
      <w:r>
        <w:t xml:space="preserve">“team context (private)”</w:t>
      </w:r>
      <w:r>
        <w:t xml:space="preserve"> </w:t>
      </w:r>
      <w:r>
        <w:t xml:space="preserve">register as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placed in</w:t>
      </w:r>
      <w:r>
        <w:t xml:space="preserve"> </w:t>
      </w:r>
      <w:r>
        <w:t xml:space="preserve">the same position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occupies in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(padding first,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last), character-matched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within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characters, but carrying no coordinate any verifier checks (office-logistics</w:t>
      </w:r>
      <w:r>
        <w:t xml:space="preserve"> </w:t>
      </w:r>
      <w:r>
        <w:t xml:space="preserve">content). On single-shot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on the two collapse cells, padding is free while the</w:t>
      </w:r>
      <w:r>
        <w:t xml:space="preserve"> </w:t>
      </w:r>
      <w:r>
        <w:t xml:space="preserve">equal-length dominated signal is catastrophic: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;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m:oMath>
        <m:r>
          <m:t>65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; and the same-run interference verification clears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0.88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0.67</m:t>
        </m:r>
      </m:oMath>
      <w:r>
        <w:t xml:space="preserve">). The anti-monotonicity harm is therefore</w:t>
      </w:r>
      <w:r>
        <w:t xml:space="preserve"> </w:t>
      </w:r>
      <w:r>
        <w:t xml:space="preserve">attributable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content interacting with the fixed rule, not to added tokens. One</w:t>
      </w:r>
      <w:r>
        <w:t xml:space="preserve"> </w:t>
      </w:r>
      <w:r>
        <w:t xml:space="preserve">residual axis is not isolated by this control: the padding is off-topic for the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on-topic, so</w:t>
      </w:r>
      <w:r>
        <w:t xml:space="preserve"> </w:t>
      </w:r>
      <w:r>
        <w:t xml:space="preserve">“topical but verifier-irrelevant”</w:t>
      </w:r>
      <w:r>
        <w:t xml:space="preserve"> </w:t>
      </w:r>
      <w:r>
        <w:t xml:space="preserve">text remains a smaller,</w:t>
      </w:r>
      <w:r>
        <w:t xml:space="preserve"> </w:t>
      </w:r>
      <w:r>
        <w:t xml:space="preserve">untested middle case.</w:t>
      </w:r>
    </w:p>
    <w:bookmarkEnd w:id="142"/>
    <w:bookmarkStart w:id="143" w:name="Xd508a319e40f775fe4906e106ed6a92e07fd05b"/>
    <w:p>
      <w:pPr>
        <w:pStyle w:val="Heading4"/>
      </w:pPr>
      <w:r>
        <w:t xml:space="preserve">A routing-instruction ablation: the cure presupposes the diagnosis.</w:t>
      </w:r>
    </w:p>
    <w:p>
      <w:pPr>
        <w:pStyle w:val="FirstParagraph"/>
      </w:pPr>
      <w:r>
        <w:t xml:space="preserve">If the collapse reflects convention confusion, an explicit routing note might prevent it, and if a</w:t>
      </w:r>
      <w:r>
        <w:t xml:space="preserve"> </w:t>
      </w:r>
      <w:r>
        <w:t xml:space="preserve">one-line prompt fully cured the harm, its practical significance would shrink. We measured this</w:t>
      </w:r>
      <w:r>
        <w:t xml:space="preserve"> </w:t>
      </w:r>
      <w:r>
        <w:t xml:space="preserve">directly: the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</m:sup>
        </m:sSubSup>
      </m:oMath>
      <w:r>
        <w:t xml:space="preserve"> </w:t>
      </w:r>
      <w:r>
        <w:t xml:space="preserve">appends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 single routing sentence stating</w:t>
      </w:r>
      <w:r>
        <w:t xml:space="preserve"> </w:t>
      </w:r>
      <w:r>
        <w:t xml:space="preserve">which convention serves which task family (</w:t>
      </w:r>
      <w:r>
        <w:t xml:space="preserve">“for tasks that call the ledger API use only the API</w:t>
      </w:r>
      <w:r>
        <w:t xml:space="preserve"> </w:t>
      </w:r>
      <w:r>
        <w:t xml:space="preserve">call contract; the wire-encoding invariant applies only to encode/decode tasks”</w:t>
      </w:r>
      <w:r>
        <w:t xml:space="preserve">). On single-shot</w:t>
      </w:r>
      <w:r>
        <w:t xml:space="preserve"> </w:t>
      </w:r>
      <w:r>
        <w:t xml:space="preserve">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instruction recovers most, but not all, of the collapse: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alone: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), and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m:oMath>
        <m:r>
          <m:t>22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68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alone: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); both recoveries over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are large (non-overlapping</w:t>
      </w:r>
      <w:r>
        <w:t xml:space="preserve"> </w:t>
      </w:r>
      <w:r>
        <w:t xml:space="preserve">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intervals), while on the carrying cell the instructed superset still sits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100</m:t>
        </m:r>
        <m:r>
          <m:rPr>
            <m:sty m:val="p"/>
          </m:rPr>
          <m:t>%</m:t>
        </m:r>
      </m:oMath>
      <w:r>
        <w:t xml:space="preserve">). That residual gap is verified negative by the same two-arm contrast</w:t>
      </w:r>
      <w:r>
        <w:t xml:space="preserve"> </w:t>
      </w:r>
      <w:r>
        <w:t xml:space="preserve">used throughout,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0.20</m:t>
        </m:r>
      </m:oMath>
      <w:r>
        <w:t xml:space="preserve"> </w:t>
      </w:r>
      <w:r>
        <w:t xml:space="preserve">with upper bound</w:t>
      </w:r>
      <w:r>
        <w:t xml:space="preserve"> </w:t>
      </w:r>
      <m:oMath>
        <m:r>
          <m:rPr>
            <m:sty m:val="p"/>
          </m:rPr>
          <m:t>−</m:t>
        </m:r>
        <m:r>
          <m:t>0.03</m:t>
        </m:r>
      </m:oMath>
      <w:r>
        <w:t xml:space="preserve">, but it falls far short of the harm</w:t>
      </w:r>
      <w:r>
        <w:t xml:space="preserve"> </w:t>
      </w:r>
      <w:r>
        <w:t xml:space="preserve">margin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: the instruction removes the collapse without closing the gap. We pre-commit to the two readings jointly. First, the harm is substantially mediated by</w:t>
      </w:r>
      <w:r>
        <w:t xml:space="preserve"> </w:t>
      </w:r>
      <w:r>
        <w:t xml:space="preserve">convention interference that explicit routing knowledge prevents, so pipelines that can attach</w:t>
      </w:r>
      <w:r>
        <w:t xml:space="preserve"> </w:t>
      </w:r>
      <w:r>
        <w:t xml:space="preserve">per-task routing labels have a cheap mitigation. Second, and decisively for the paper’s thesis:</w:t>
      </w:r>
      <w:r>
        <w:t xml:space="preserve"> </w:t>
      </w:r>
      <w:r>
        <w:rPr>
          <w:i/>
          <w:iCs/>
        </w:rPr>
        <w:t xml:space="preserve">writing the routing sentence requires already knowing which source is decisive for which</w:t>
      </w:r>
      <w:r>
        <w:rPr>
          <w:i/>
          <w:iCs/>
        </w:rPr>
        <w:t xml:space="preserve"> </w:t>
      </w:r>
      <w:r>
        <w:rPr>
          <w:i/>
          <w:iCs/>
        </w:rPr>
        <w:t xml:space="preserve">task family</w:t>
      </w:r>
      <w:r>
        <w:t xml:space="preserve">, which is precisely the coordinate structure the partial order formalizes and</w:t>
      </w:r>
      <w:r>
        <w:t xml:space="preserve"> </w:t>
      </w:r>
      <w:r>
        <w:t xml:space="preserve">the deficiency verification measures; the cure is an injection of selection-time coordinate knowledge</w:t>
      </w:r>
      <w:r>
        <w:t xml:space="preserve"> </w:t>
      </w:r>
      <w:r>
        <w:t xml:space="preserve">into the prompt, not a scalar score, and no query-independent scalar can supply it</w:t>
      </w:r>
      <w:r>
        <w:t xml:space="preserve"> </w:t>
      </w:r>
      <w:r>
        <w:t xml:space="preserve">(Theorem 2). Formally,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the routing note is a</w:t>
      </w:r>
      <w:r>
        <w:t xml:space="preserve"> </w:t>
      </w:r>
      <w:r>
        <w:rPr>
          <w:i/>
          <w:iCs/>
        </w:rPr>
        <w:t xml:space="preserve">different, more Blackwell-coherent rule</w:t>
      </w:r>
      <w:r>
        <w:t xml:space="preserve">; the verified falsification of</w:t>
      </w:r>
      <w:r>
        <w:t xml:space="preserve"> </w:t>
      </w:r>
      <w:r>
        <w:t xml:space="preserve">Theorem 3 concerns the base rule and is unaffected, and even under the</w:t>
      </w:r>
      <w:r>
        <w:t xml:space="preserve"> </w:t>
      </w:r>
      <w:r>
        <w:t xml:space="preserve">instructed rule, keeping the dominated signal is at best equal and directionally worse than</w:t>
      </w:r>
      <w:r>
        <w:t xml:space="preserve"> </w:t>
      </w:r>
      <w:r>
        <w:t xml:space="preserve">dropping it, so the selection-level conclusion, keep the non-dominated set rather than forcing</w:t>
      </w:r>
      <w:r>
        <w:t xml:space="preserve"> </w:t>
      </w:r>
      <w:r>
        <w:t xml:space="preserve">the superset, survives the ablation intact.</w:t>
      </w:r>
    </w:p>
    <w:bookmarkEnd w:id="143"/>
    <w:bookmarkStart w:id="144" w:name="Xbb3bf0e6ff780408889ccfec61f731a5b2072ac"/>
    <w:p>
      <w:pPr>
        <w:pStyle w:val="Heading4"/>
      </w:pPr>
      <w:r>
        <w:t xml:space="preserve">A structured-context ablation: labeled XML segmentation mitigates only weakly.</w:t>
      </w:r>
    </w:p>
    <w:p>
      <w:pPr>
        <w:pStyle w:val="FirstParagraph"/>
      </w:pPr>
      <w:r>
        <w:t xml:space="preserve">To separate</w:t>
      </w:r>
      <w:r>
        <w:t xml:space="preserve"> </w:t>
      </w:r>
      <w:r>
        <w:t xml:space="preserve">“the model cannot segment the two conventions”</w:t>
      </w:r>
      <w:r>
        <w:t xml:space="preserve"> </w:t>
      </w:r>
      <w:r>
        <w:t xml:space="preserve">from</w:t>
      </w:r>
      <w:r>
        <w:t xml:space="preserve"> </w:t>
      </w:r>
      <w:r>
        <w:t xml:space="preserve">“the model cannot route them</w:t>
      </w:r>
      <w:r>
        <w:t xml:space="preserve"> </w:t>
      </w:r>
      <w:r>
        <w:t xml:space="preserve">to task families,”</w:t>
      </w:r>
      <w:r>
        <w:t xml:space="preserve"> </w:t>
      </w:r>
      <w:r>
        <w:t xml:space="preserve">the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sup>
        </m:sSubSup>
      </m:oMath>
      <w:r>
        <w:t xml:space="preserve"> </w:t>
      </w:r>
      <w:r>
        <w:t xml:space="preserve">wraps the same two conventions, in the same</w:t>
      </w:r>
      <w:r>
        <w:t xml:space="preserve"> </w:t>
      </w:r>
      <w:r>
        <w:t xml:space="preserve">order as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in labeled XML sections (</w:t>
      </w:r>
      <w:r>
        <w:rPr>
          <w:rStyle w:val="VerbatimChar"/>
        </w:rPr>
        <w:t xml:space="preserve">&lt;wire_encoding_invariant&gt;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&lt;api_call_contract&gt;</w:t>
      </w:r>
      <w:r>
        <w:t xml:space="preserve">) with no routing statement. On single-shot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cell, structure alone mitigates weakly: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</m:sup>
        </m:sSubSup>
      </m:oMath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 and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r>
          <m:t>12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68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57</m:t>
        </m:r>
        <m:r>
          <m:rPr>
            <m:sty m:val="p"/>
          </m:rPr>
          <m:t>%</m:t>
        </m:r>
      </m:oMath>
      <w:r>
        <w:t xml:space="preserve">). The structure-only mitigation is separated from the raw superset on the carrying</w:t>
      </w:r>
      <w:r>
        <w:t xml:space="preserve"> </w:t>
      </w:r>
      <w:r>
        <w:t xml:space="preserve">cell (exact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</w:t>
      </w:r>
      <w:r>
        <w:t xml:space="preserve"> </w:t>
      </w:r>
      <m:oMath>
        <m:r>
          <m:rPr>
            <m:sty m:val="p"/>
          </m:rPr>
          <m:t>[</m:t>
        </m:r>
        <m:r>
          <m:t>0.27</m:t>
        </m:r>
        <m:r>
          <m:rPr>
            <m:sty m:val="p"/>
          </m:rPr>
          <m:t>,</m:t>
        </m:r>
        <m:r>
          <m:t>0.59</m:t>
        </m:r>
        <m:r>
          <m:rPr>
            <m:sty m:val="p"/>
          </m:rPr>
          <m:t>]</m:t>
        </m:r>
      </m:oMath>
      <w:r>
        <w:t xml:space="preserve"> </w:t>
      </w:r>
      <w:r>
        <w:t xml:space="preserve">vs. </w:t>
      </w:r>
      <m:oMath>
        <m:r>
          <m:rPr>
            <m:sty m:val="p"/>
          </m:rPr>
          <m:t>[</m:t>
        </m:r>
        <m:r>
          <m:t>0.001</m:t>
        </m:r>
        <m:r>
          <m:rPr>
            <m:sty m:val="p"/>
          </m:rPr>
          <m:t>,</m:t>
        </m:r>
        <m:r>
          <m:t>0.13</m:t>
        </m:r>
        <m:r>
          <m:rPr>
            <m:sty m:val="p"/>
          </m:rPr>
          <m:t>]</m:t>
        </m:r>
      </m:oMath>
      <w:r>
        <w:t xml:space="preserve">) but remains far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alone;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it is not separated from the raw superset. Protocol note: the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sup>
        </m:sSubSup>
      </m:oMath>
      <w:r>
        <w:t xml:space="preserve"> </w:t>
      </w:r>
      <w:r>
        <w:t xml:space="preserve">arm was measured in a clean arm-only re-run (its arm in the first run was</w:t>
      </w:r>
      <w:r>
        <w:t xml:space="preserve"> </w:t>
      </w:r>
      <w:r>
        <w:t xml:space="preserve">invalidated by a transport-failure window and scored no completions; the re-run had zero</w:t>
      </w:r>
      <w:r>
        <w:t xml:space="preserve"> </w:t>
      </w:r>
      <w:r>
        <w:t xml:space="preserve">transport errors), so its comparison against same-day baseline arms is across runs rather than</w:t>
      </w:r>
      <w:r>
        <w:t xml:space="preserve"> </w:t>
      </w:r>
      <w:r>
        <w:t xml:space="preserve">within one run. The resulting mitigation hierarchy, raw superset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structure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routing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dropping the</w:t>
      </w:r>
      <w:r>
        <w:t xml:space="preserve"> </w:t>
      </w:r>
      <w:r>
        <w:t xml:space="preserve">dominated signal, is consistent with the operative variable being convention-to-task routing</w:t>
      </w:r>
      <w:r>
        <w:t xml:space="preserve"> </w:t>
      </w:r>
      <w:r>
        <w:t xml:space="preserve">rather than segmentation alone; as in this localization is an</w:t>
      </w:r>
      <w:r>
        <w:t xml:space="preserve"> </w:t>
      </w:r>
      <w:r>
        <w:t xml:space="preserve">interpretation of the behavioural contrasts, not a verified claim, and it rests on one model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with the structure arm scored in a separate run.</w:t>
      </w:r>
    </w:p>
    <w:bookmarkEnd w:id="144"/>
    <w:bookmarkEnd w:id="145"/>
    <w:bookmarkEnd w:id="146"/>
    <w:bookmarkStart w:id="148" w:name="app:designspace"/>
    <w:p>
      <w:pPr>
        <w:pStyle w:val="Heading1"/>
      </w:pPr>
      <w:r>
        <w:t xml:space="preserve">The design space in full</w:t>
      </w:r>
    </w:p>
    <w:p>
      <w:pPr>
        <w:pStyle w:val="FirstParagraph"/>
      </w:pPr>
      <w:r>
        <w:t xml:space="preserve">Table A2 places the methods above on three axes: whether the method is</w:t>
      </w:r>
      <w:r>
        <w:t xml:space="preserve"> </w:t>
      </w:r>
      <w:r>
        <w:rPr>
          <w:i/>
          <w:iCs/>
        </w:rPr>
        <w:t xml:space="preserve">cheap</w:t>
      </w:r>
      <w:r>
        <w:t xml:space="preserve"> </w:t>
      </w:r>
      <w:r>
        <w:t xml:space="preserve">(precomputable, or amortizable to a near-retrieval query-time cost), whether it models</w:t>
      </w:r>
      <w:r>
        <w:t xml:space="preserve"> </w:t>
      </w:r>
      <w:r>
        <w:rPr>
          <w:i/>
          <w:iCs/>
        </w:rPr>
        <w:t xml:space="preserve">interaction between sources</w:t>
      </w:r>
      <w:r>
        <w:t xml:space="preserve"> </w:t>
      </w:r>
      <w:r>
        <w:t xml:space="preserve">rather than scoring each in isolation, and whether it can</w:t>
      </w:r>
      <w:r>
        <w:t xml:space="preserve"> </w:t>
      </w:r>
      <w:r>
        <w:t xml:space="preserve">represent</w:t>
      </w:r>
      <w:r>
        <w:t xml:space="preserve"> </w:t>
      </w:r>
      <w:r>
        <w:rPr>
          <w:i/>
          <w:iCs/>
        </w:rPr>
        <w:t xml:space="preserve">incomparability</w:t>
      </w:r>
      <w:r>
        <w:t xml:space="preserve">. The pattern is uniform. Every method cheap enough to run at</w:t>
      </w:r>
      <w:r>
        <w:t xml:space="preserve"> </w:t>
      </w:r>
      <w:r>
        <w:t xml:space="preserve">retrieval scale emits a final per-item number, however that number is produced, and therefore lives</w:t>
      </w:r>
      <w:r>
        <w:t xml:space="preserve"> </w:t>
      </w:r>
      <w:r>
        <w:t xml:space="preserve">in a total order; every method that genuinely models interaction is either symmetric redundancy</w:t>
      </w:r>
      <w:r>
        <w:t xml:space="preserve"> </w:t>
      </w:r>
      <w:r>
        <w:t xml:space="preserve">over embedding geometry, carries no dominance guarantee, or is as costly as direct probing. No prior</w:t>
      </w:r>
      <w:r>
        <w:t xml:space="preserve"> </w:t>
      </w:r>
      <w:r>
        <w:t xml:space="preserve">row is both cheap and partial-order-faithful; that empty cell is the open problem this paper</w:t>
      </w:r>
      <w:r>
        <w:t xml:space="preserve"> </w:t>
      </w:r>
      <w:r>
        <w:t xml:space="preserve">isolates, and we occupy the last row, paying probe cost for the guarantee.</w:t>
      </w:r>
    </w:p>
    <w:p>
      <w:pPr>
        <w:pStyle w:val="BodyText"/>
      </w:pPr>
      <w:bookmarkStart w:id="147" w:name="tab:designspace"/>
      <w:bookmarkEnd w:id="147"/>
    </w:p>
    <w:bookmarkEnd w:id="148"/>
    <w:bookmarkStart w:id="155" w:name="app:diag"/>
    <w:p>
      <w:pPr>
        <w:pStyle w:val="Heading1"/>
      </w:pPr>
      <w:r>
        <w:t xml:space="preserve">Experimental diagnostics</w:t>
      </w:r>
    </w:p>
    <w:p>
      <w:pPr>
        <w:pStyle w:val="FirstParagraph"/>
      </w:pPr>
      <w:r>
        <w:t xml:space="preserve">This appendix carries the per-draw diagnostic record behind and the</w:t>
      </w:r>
      <w:r>
        <w:t xml:space="preserve"> </w:t>
      </w:r>
      <w:r>
        <w:t xml:space="preserve">token observation of . Nothing here is required to read the verified</w:t>
      </w:r>
      <w:r>
        <w:t xml:space="preserve"> </w:t>
      </w:r>
      <w:r>
        <w:t xml:space="preserve">results; it is the evidence for what the failing replies contain.</w:t>
      </w:r>
    </w:p>
    <w:bookmarkStart w:id="150" w:name="sec:results-audit"/>
    <w:p>
      <w:pPr>
        <w:pStyle w:val="Heading2"/>
      </w:pPr>
      <w:r>
        <w:t xml:space="preserve">Raw-failure audit: what Haiku’s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cell measures</w:t>
      </w:r>
    </w:p>
    <w:p>
      <w:pPr>
        <w:pStyle w:val="FirstParagraph"/>
      </w:pPr>
      <w:r>
        <w:rPr>
          <w:i/>
          <w:iCs/>
        </w:rPr>
        <w:t xml:space="preserve">Question: when a cell fails, what does the reply actually get wrong, and is the failure the mechanism this paper describes or an artifact of packaging?</w:t>
      </w:r>
    </w:p>
    <w:p>
      <w:pPr>
        <w:pStyle w:val="BodyText"/>
      </w:pPr>
      <w:r>
        <w:t xml:space="preserve">One cell in Table A1 is anomalous: Haiku’s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scores</w:t>
      </w:r>
      <w:r>
        <w:t xml:space="preserve"> </w:t>
      </w:r>
      <m:oMath>
        <m:r>
          <m:t>52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while scoring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on the harder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under the same</w:t>
      </w:r>
      <w:r>
        <w:t xml:space="preserve"> </w:t>
      </w:r>
      <w:r>
        <w:t xml:space="preserve">source, and the pattern is stable across the five distinct single-shot Haiku runs that measure</w:t>
      </w:r>
      <w:r>
        <w:t xml:space="preserve"> </w:t>
      </w:r>
      <w:r>
        <w:t xml:space="preserve">this cell (</w:t>
      </w:r>
      <m:oMath>
        <m:r>
          <m:t>42</m:t>
        </m:r>
      </m:oMath>
      <w:r>
        <w:t xml:space="preserve">–</w:t>
      </w:r>
      <m:oMath>
        <m:r>
          <m:t>58</m:t>
        </m:r>
        <m:r>
          <m:rPr>
            <m:sty m:val="p"/>
          </m:rPr>
          <m:t>%</m:t>
        </m:r>
      </m:oMath>
      <w:r>
        <w:t xml:space="preserve">; a sixth result file,</w:t>
      </w:r>
      <w:r>
        <w:t xml:space="preserve"> </w:t>
      </w:r>
      <w:r>
        <w:rPr>
          <w:rStyle w:val="VerbatimChar"/>
        </w:rPr>
        <w:t xml:space="preserve">blackwell_haiku_singleshot_n40</w:t>
      </w:r>
      <w:r>
        <w:t xml:space="preserve">, is</w:t>
      </w:r>
      <w:r>
        <w:t xml:space="preserve"> </w:t>
      </w:r>
      <w:r>
        <w:t xml:space="preserve">byte-identical to</w:t>
      </w:r>
      <w:r>
        <w:t xml:space="preserve"> </w:t>
      </w:r>
      <w:r>
        <w:rPr>
          <w:rStyle w:val="VerbatimChar"/>
        </w:rPr>
        <w:t xml:space="preserve">blackwell_haiku_ss_n40</w:t>
      </w:r>
      <w:r>
        <w:t xml:space="preserve"> </w:t>
      </w:r>
      <w:r>
        <w:t xml:space="preserve">and is the same run, not a further</w:t>
      </w:r>
      <w:r>
        <w:t xml:space="preserve"> </w:t>
      </w:r>
      <w:r>
        <w:t xml:space="preserve">replicate). Because the</w:t>
      </w:r>
      <w:r>
        <w:t xml:space="preserve"> </w:t>
      </w:r>
      <w:r>
        <w:t xml:space="preserve">published harness does not retain raw completions, we re-drew the cell keeping every reply, the</w:t>
      </w:r>
      <w:r>
        <w:t xml:space="preserve"> </w:t>
      </w:r>
      <w:r>
        <w:t xml:space="preserve">extracted code, and the verifier’s stderr (</w:t>
      </w:r>
      <w:r>
        <w:rPr>
          <w:rStyle w:val="VerbatimChar"/>
        </w:rPr>
        <w:t xml:space="preserve">results/diag/</w:t>
      </w:r>
      <w:r>
        <w:t xml:space="preserve">,</w:t>
      </w:r>
      <w:r>
        <w:t xml:space="preserve"> </w:t>
      </w:r>
      <w:r>
        <w:rPr>
          <w:rStyle w:val="VerbatimChar"/>
        </w:rPr>
        <w:t xml:space="preserve">harness/diag/</w:t>
      </w:r>
      <w:r>
        <w:t xml:space="preserve">). The</w:t>
      </w:r>
      <w:r>
        <w:t xml:space="preserve"> </w:t>
      </w:r>
      <w:r>
        <w:t xml:space="preserve">failures are uniform. In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draws the reply calls the private contract exactly as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specifies,</w:t>
      </w:r>
      <w:r>
        <w:t xml:space="preserve"> </w:t>
      </w:r>
      <w:r>
        <w:rPr>
          <w:rStyle w:val="VerbatimChar"/>
        </w:rPr>
        <w:t xml:space="preserve">ledger.post(acct, cents, memo=note)</w:t>
      </w:r>
      <w:r>
        <w:t xml:space="preserve">, and every failure is the single omitted line</w:t>
      </w:r>
      <w:r>
        <w:t xml:space="preserve"> </w:t>
      </w:r>
      <w:r>
        <w:rPr>
          <w:rStyle w:val="VerbatimChar"/>
        </w:rPr>
        <w:t xml:space="preserve">import ledger</w:t>
      </w:r>
      <w:r>
        <w:t xml:space="preserve">: PASS coincides with the presence of that line (</w:t>
      </w:r>
      <m:oMath>
        <m:r>
          <m:t>5</m:t>
        </m:r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7</m:t>
        </m:r>
      </m:oMath>
      <w:r>
        <w:t xml:space="preserve">), and on</w:t>
      </w:r>
      <w:r>
        <w:t xml:space="preserve"> </w:t>
      </w:r>
      <w:r>
        <w:t xml:space="preserve">the control cell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the same model writes the import in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8</m:t>
        </m:r>
      </m:oMath>
      <w:r>
        <w:t xml:space="preserve">. The cause is prompt</w:t>
      </w:r>
      <w:r>
        <w:t xml:space="preserve"> </w:t>
      </w:r>
      <w:r>
        <w:t xml:space="preserve">wording, not the contract: this task’s prompt names the call as</w:t>
      </w:r>
      <w:r>
        <w:t xml:space="preserve"> </w:t>
      </w:r>
      <w:r>
        <w:rPr>
          <w:rStyle w:val="VerbatimChar"/>
        </w:rPr>
        <w:t xml:space="preserve">ledger.post</w:t>
      </w:r>
      <w:r>
        <w:t xml:space="preserve">, which Haiku</w:t>
      </w:r>
      <w:r>
        <w:t xml:space="preserve"> </w:t>
      </w:r>
      <w:r>
        <w:t xml:space="preserve">reads as already in scope. An import-neutralized control then re-measures all four arms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with a verifier that binds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into the solution’s namespace when the reply omitted the</w:t>
      </w:r>
      <w:r>
        <w:t xml:space="preserve"> </w:t>
      </w:r>
      <w:r>
        <w:t xml:space="preserve">import and is otherwise identical: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under both verifiers</w:t>
      </w:r>
      <w:r>
        <w:t xml:space="preserve"> </w:t>
      </w:r>
      <w:r>
        <w:t xml:space="preserve">(neutralization leaks nothing),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rises from</w:t>
      </w:r>
      <w:r>
        <w:t xml:space="preserve"> </w:t>
      </w:r>
      <m:oMath>
        <m:r>
          <m:t>23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, 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21</m:t>
        </m:r>
        <m:r>
          <m:rPr>
            <m:sty m:val="p"/>
          </m:rPr>
          <m:t>/</m:t>
        </m:r>
        <m:r>
          <m:t>40</m:t>
        </m:r>
      </m:oMath>
      <w:r>
        <w:t xml:space="preserve">. The superset collapse on this cell is therefore real and has the mechanism the paper</w:t>
      </w:r>
      <w:r>
        <w:t xml:space="preserve"> </w:t>
      </w:r>
      <w:r>
        <w:t xml:space="preserve">describes: in the retained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replies the model applies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wire encoding to a plain-cents</w:t>
      </w:r>
      <w:r>
        <w:t xml:space="preserve"> </w:t>
      </w:r>
      <w:r>
        <w:t xml:space="preserve">amount and posts</w:t>
      </w:r>
      <w:r>
        <w:t xml:space="preserve"> </w:t>
      </w:r>
      <w:r>
        <w:rPr>
          <w:rStyle w:val="VerbatimChar"/>
        </w:rPr>
        <w:t xml:space="preserve">’+500#5’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500</w:t>
      </w:r>
      <w:r>
        <w:t xml:space="preserve">. With the import neutralized the</w:t>
      </w:r>
      <w:r>
        <w:t xml:space="preserve"> </w:t>
      </w:r>
      <w:r>
        <w:t xml:space="preserve">harm contrast is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0.47</m:t>
        </m:r>
      </m:oMath>
      <w:r>
        <w:t xml:space="preserve"> </w:t>
      </w:r>
      <w:r>
        <w:t xml:space="preserve">with upper bound</w:t>
      </w:r>
      <w:r>
        <w:t xml:space="preserve"> </w:t>
      </w:r>
      <m:oMath>
        <m:r>
          <m:rPr>
            <m:sty m:val="p"/>
          </m:rPr>
          <m:t>−</m:t>
        </m:r>
        <m:r>
          <m:t>0.26</m:t>
        </m:r>
      </m:oMath>
      <w:r>
        <w:t xml:space="preserve">, verified in sign but not at the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margin</w:t>
      </w:r>
      <w:r>
        <w:t xml:space="preserve"> </w:t>
      </w:r>
      <w:r>
        <w:t xml:space="preserve">(Table 4). We keep the original-protocol numbers in every table, since the</w:t>
      </w:r>
      <w:r>
        <w:t xml:space="preserve"> </w:t>
      </w:r>
      <w:r>
        <w:t xml:space="preserve">verifier is identical across models and the other five models include the import; the audit changes</w:t>
      </w:r>
      <w:r>
        <w:t xml:space="preserve"> </w:t>
      </w:r>
      <w:r>
        <w:t xml:space="preserve">the reading of one cell, not its measurement. Haiku’s verified claims rest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and are unaffected.</w:t>
      </w:r>
    </w:p>
    <w:bookmarkStart w:id="149" w:name="packaging-is-not-the-confound."/>
    <w:p>
      <w:pPr>
        <w:pStyle w:val="Heading4"/>
      </w:pPr>
      <w:r>
        <w:t xml:space="preserve">Packaging is not the confound.</w:t>
      </w:r>
    </w:p>
    <w:p>
      <w:pPr>
        <w:pStyle w:val="FirstParagraph"/>
      </w:pPr>
      <w:r>
        <w:t xml:space="preserve">The same retained draws answer a second question, and</w:t>
      </w:r>
      <w:r>
        <w:t xml:space="preserve"> </w:t>
      </w:r>
      <w:r>
        <w:t xml:space="preserve">it is the one a reader should ask of any executable-verifier result: did the harness ever fail a</w:t>
      </w:r>
      <w:r>
        <w:t xml:space="preserve"> </w:t>
      </w:r>
      <w:r>
        <w:t xml:space="preserve">reply that in fact contained the right call? On this cell it did not. Across the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failing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draws the extractor returned code every time (zero empty extractions), all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contain</w:t>
      </w:r>
      <w:r>
        <w:t xml:space="preserve"> </w:t>
      </w:r>
      <w:r>
        <w:rPr>
          <w:rStyle w:val="VerbatimChar"/>
        </w:rPr>
        <w:t xml:space="preserve">ledger.post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, and none begins with prose. Code fences are</w:t>
      </w:r>
      <w:r>
        <w:t xml:space="preserve"> </w:t>
      </w:r>
      <w:r>
        <w:t xml:space="preserve">if anything commoner among the</w:t>
      </w:r>
      <w:r>
        <w:t xml:space="preserve"> </w:t>
      </w:r>
      <w:r>
        <w:rPr>
          <w:i/>
          <w:iCs/>
        </w:rPr>
        <w:t xml:space="preserve">passing</w:t>
      </w:r>
      <w:r>
        <w:t xml:space="preserve"> </w:t>
      </w:r>
      <w:r>
        <w:t xml:space="preserve">draws (</w:t>
      </w:r>
      <m:oMath>
        <m:r>
          <m:t>5</m:t>
        </m:r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passes against</w:t>
      </w:r>
      <w:r>
        <w:t xml:space="preserve"> </w:t>
      </w:r>
      <m:oMath>
        <m:r>
          <m:t>17</m:t>
        </m:r>
        <m:r>
          <m:rPr>
            <m:sty m:val="p"/>
          </m:rPr>
          <m:t>/</m:t>
        </m:r>
        <m:r>
          <m:t>32</m:t>
        </m:r>
      </m:oMath>
      <w:r>
        <w:t xml:space="preserve"> </w:t>
      </w:r>
      <w:r>
        <w:t xml:space="preserve">failures 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;</w:t>
      </w:r>
      <w:r>
        <w:t xml:space="preserve"> </w:t>
      </w:r>
      <m:oMath>
        <m:r>
          <m:t>13</m:t>
        </m:r>
        <m:r>
          <m:rPr>
            <m:sty m:val="p"/>
          </m:rPr>
          <m:t>/</m:t>
        </m:r>
        <m:r>
          <m:t>23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17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so fencing does not predict failure: the extractor</w:t>
      </w:r>
      <w:r>
        <w:t xml:space="preserve"> </w:t>
      </w:r>
      <w:r>
        <w:t xml:space="preserve">strips it. What the audit does show is that the import slip carries more of this cell than the</w:t>
      </w:r>
      <w:r>
        <w:t xml:space="preserve"> </w:t>
      </w:r>
      <w:r>
        <w:t xml:space="preserve">mechanism does,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failures being the missing import alone against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carrying the</w:t>
      </w:r>
      <w:r>
        <w:t xml:space="preserve"> </w:t>
      </w:r>
      <w:r>
        <w:t xml:space="preserve">wire-encoded amount. The two separate cleanly: under the neutralized verifier exactly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draws</w:t>
      </w:r>
      <w:r>
        <w:t xml:space="preserve"> </w:t>
      </w:r>
      <w:r>
        <w:t xml:space="preserve">still fail, and they are exactly the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that applied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convention to a plain-cents amount,</w:t>
      </w:r>
      <w:r>
        <w:t xml:space="preserve"> </w:t>
      </w:r>
      <w:r>
        <w:t xml:space="preserve">with no exception in either direction. Removing the artifact therefore leaves a residual harm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0.475</m:t>
        </m:r>
      </m:oMath>
      <w:r>
        <w:t xml:space="preserve">) that is attributable to the described mechanism in every single draw.</w:t>
      </w:r>
    </w:p>
    <w:bookmarkEnd w:id="149"/>
    <w:bookmarkEnd w:id="150"/>
    <w:bookmarkStart w:id="153" w:name="sec:remeasure"/>
    <w:p>
      <w:pPr>
        <w:pStyle w:val="Heading2"/>
      </w:pPr>
      <w:r>
        <w:t xml:space="preserve">Re-measurement with retention across the roster</w:t>
      </w:r>
    </w:p>
    <w:p>
      <w:pPr>
        <w:pStyle w:val="FirstParagraph"/>
      </w:pPr>
      <w:r>
        <w:t xml:space="preserve">The published harness discards raw completions, so the audit above covers the one cell for which</w:t>
      </w:r>
      <w:r>
        <w:t xml:space="preserve"> </w:t>
      </w:r>
      <w:r>
        <w:t xml:space="preserve">they were kept. We therefore re-measured every verified interference cell with retention enabled,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 arm, under the published prompt for each backend, and scored each draw twice: under the</w:t>
      </w:r>
      <w:r>
        <w:t xml:space="preserve"> </w:t>
      </w:r>
      <w:r>
        <w:t xml:space="preserve">published verifier and under the import-neutralized one. Table A3 reports it.</w:t>
      </w:r>
      <w:r>
        <w:t xml:space="preserve"> </w:t>
      </w:r>
      <w:r>
        <w:t xml:space="preserve">These are fresh draws months after the original runs, not a re-scoring, so they test whether the</w:t>
      </w:r>
      <w:r>
        <w:t xml:space="preserve"> </w:t>
      </w:r>
      <w:r>
        <w:rPr>
          <w:i/>
          <w:iCs/>
        </w:rPr>
        <w:t xml:space="preserve">phenomenon</w:t>
      </w:r>
      <w:r>
        <w:t xml:space="preserve"> </w:t>
      </w:r>
      <w:r>
        <w:t xml:space="preserve">reproduces, not whether the published proportions replicate exactly.</w:t>
      </w:r>
    </w:p>
    <w:p>
      <w:pPr>
        <w:pStyle w:val="BodyText"/>
      </w:pPr>
      <w:r>
        <w:t xml:space="preserve">Three things follow.</w:t>
      </w:r>
      <w:r>
        <w:t xml:space="preserve"> </w:t>
      </w:r>
      <w:r>
        <w:rPr>
          <w:b/>
          <w:bCs/>
        </w:rPr>
        <w:t xml:space="preserve">(i) The collapse reproduces in every cell</w:t>
      </w:r>
      <w:r>
        <w:t xml:space="preserve">, with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0.425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1.000</m:t>
        </m:r>
      </m:oMath>
      <w:r>
        <w:t xml:space="preserve">; no cell failed to reproduce.</w:t>
      </w:r>
      <w:r>
        <w:t xml:space="preserve"> </w:t>
      </w:r>
      <w:r>
        <w:rPr>
          <w:b/>
          <w:bCs/>
        </w:rPr>
        <w:t xml:space="preserve">(ii) Packaging is never the cause</w:t>
      </w:r>
      <w:r>
        <w:t xml:space="preserve">: across</w:t>
      </w:r>
      <w:r>
        <w:t xml:space="preserve"> </w:t>
      </w:r>
      <w:r>
        <w:t xml:space="preserve">all</w:t>
      </w:r>
      <w:r>
        <w:t xml:space="preserve"> </w:t>
      </w:r>
      <m:oMath>
        <m:r>
          <m:t>880</m:t>
        </m:r>
      </m:oMath>
      <w:r>
        <w:t xml:space="preserve"> </w:t>
      </w:r>
      <w:r>
        <w:t xml:space="preserve">retained draws of these eleven cells the extractor returned a non-empty code block every</w:t>
      </w:r>
      <w:r>
        <w:t xml:space="preserve"> </w:t>
      </w:r>
      <w:r>
        <w:t xml:space="preserve">time, so no failure is an artifact of an empty extraction or of fencing. That is weaker than a</w:t>
      </w:r>
      <w:r>
        <w:t xml:space="preserve"> </w:t>
      </w:r>
      <w:r>
        <w:t xml:space="preserve">guarantee that every reply was well-formed Python; it rules out the packaging explanation, not</w:t>
      </w:r>
      <w:r>
        <w:t xml:space="preserve"> </w:t>
      </w:r>
      <w:r>
        <w:t xml:space="preserve">every formatting one.</w:t>
      </w:r>
      <w:r>
        <w:t xml:space="preserve"> </w:t>
      </w:r>
      <w:r>
        <w:rPr>
          <w:b/>
          <w:bCs/>
        </w:rPr>
        <w:t xml:space="preserve">(iii) The import artifact suppressed the measured harm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manufacturing it.</w:t>
      </w:r>
      <w:r>
        <w:t xml:space="preserve"> </w:t>
      </w:r>
      <w:r>
        <w:t xml:space="preserve">It falls on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arm, not the superset arm, so neutralizing it deepens every</w:t>
      </w:r>
      <w:r>
        <w:t xml:space="preserve"> </w:t>
      </w:r>
      <w:r>
        <w:t xml:space="preserve">contrast it touches: DeepSeek’s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moves from</w:t>
      </w:r>
      <w:r>
        <w:t xml:space="preserve"> </w:t>
      </w:r>
      <m:oMath>
        <m:r>
          <m:rPr>
            <m:sty m:val="p"/>
          </m:rPr>
          <m:t>−</m:t>
        </m:r>
        <m:r>
          <m:t>0.425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0.975</m:t>
        </m:r>
      </m:oMath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0.625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0.950</m:t>
        </m:r>
      </m:oMath>
      <w:r>
        <w:t xml:space="preserve">.</w:t>
      </w:r>
    </w:p>
    <w:bookmarkStart w:id="152" w:name="X6048aa77d89549cebd162582b87914a697e9c2a"/>
    <w:p>
      <w:pPr>
        <w:pStyle w:val="Heading4"/>
      </w:pPr>
      <w:r>
        <w:t xml:space="preserve">The mechanism is not universal: Sonnet refuses.</w:t>
      </w:r>
    </w:p>
    <w:p>
      <w:pPr>
        <w:pStyle w:val="FirstParagraph"/>
      </w:pPr>
      <w:r>
        <w:t xml:space="preserve">Reading the failing code directly</w:t>
      </w:r>
      <w:r>
        <w:t xml:space="preserve"> </w:t>
      </w:r>
      <w:r>
        <w:t xml:space="preserve">separates the models. We count over the draws that still fail once the import is neutralized, which</w:t>
      </w:r>
      <w:r>
        <w:t xml:space="preserve"> </w:t>
      </w:r>
      <w:r>
        <w:t xml:space="preserve">removes that confound from the attribution. On nine of the eleven cells the failure is then the one</w:t>
      </w:r>
      <w:r>
        <w:t xml:space="preserve"> </w:t>
      </w:r>
      <w:r>
        <w:t xml:space="preserve">this paper describes, the reply applying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wire encoding to a plain-cents amount, in</w:t>
      </w:r>
      <w:r>
        <w:t xml:space="preserve"> </w:t>
      </w:r>
      <m:oMath>
        <m:r>
          <m:t>38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of those draws per cell (</w:t>
      </w:r>
      <m:oMath>
        <m:r>
          <m:t>359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434</m:t>
        </m:r>
      </m:oMath>
      <w:r>
        <w:t xml:space="preserve"> </w:t>
      </w:r>
      <w:r>
        <w:t xml:space="preserve">across the roster, the shortfall being Sonnet). The</w:t>
      </w:r>
      <w:r>
        <w:t xml:space="preserve"> </w:t>
      </w:r>
      <w:r>
        <w:t xml:space="preserve">verifier’s own record is a stricter witness and agrees where it can speak: it logs a wire-format</w:t>
      </w:r>
      <w:r>
        <w:t xml:space="preserve"> </w:t>
      </w:r>
      <w:r>
        <w:t xml:space="preserve">string such as</w:t>
      </w:r>
      <w:r>
        <w:t xml:space="preserve"> </w:t>
      </w:r>
      <w:r>
        <w:rPr>
          <w:rStyle w:val="VerbatimChar"/>
        </w:rPr>
        <w:t xml:space="preserve">’+500#5’</w:t>
      </w:r>
      <w:r>
        <w:t xml:space="preserve"> </w:t>
      </w:r>
      <w:r>
        <w:t xml:space="preserve">in the posted call in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draws per cell. The two counts</w:t>
      </w:r>
      <w:r>
        <w:t xml:space="preserve"> </w:t>
      </w:r>
      <w:r>
        <w:t xml:space="preserve">separate only where a missing import raises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before the call assertion executes,</w:t>
      </w:r>
      <w:r>
        <w:t xml:space="preserve"> </w:t>
      </w:r>
      <w:r>
        <w:t xml:space="preserve">so the posted value is never recorded; every such draw still fails under the neutralized verifier</w:t>
      </w:r>
      <w:r>
        <w:t xml:space="preserve"> </w:t>
      </w:r>
      <w:r>
        <w:t xml:space="preserve">and its code computes the encoding. Sonnet is the exception, and completely so.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of its superset</w:t>
      </w:r>
      <w:r>
        <w:t xml:space="preserve"> </w:t>
      </w:r>
      <w:r>
        <w:t xml:space="preserve">draws, and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m:oMath>
        <m:r>
          <m:t>36</m:t>
        </m:r>
        <m:r>
          <m:rPr>
            <m:sty m:val="p"/>
          </m:rPr>
          <m:t>/</m:t>
        </m:r>
        <m:r>
          <m:t>40</m:t>
        </m:r>
      </m:oMath>
      <w:r>
        <w:t xml:space="preserve">, decline the task, opening with a variant of</w:t>
      </w:r>
      <w:r>
        <w:t xml:space="preserve"> </w:t>
      </w:r>
      <w:r>
        <w:t xml:space="preserve">“I’m</w:t>
      </w:r>
      <w:r>
        <w:t xml:space="preserve"> </w:t>
      </w:r>
      <w:r>
        <w:t xml:space="preserve">flagging this as a likely prompt injection attempt”</w:t>
      </w:r>
      <w:r>
        <w:t xml:space="preserve"> </w:t>
      </w:r>
      <w:r>
        <w:t xml:space="preserve">and identifying the stacked</w:t>
      </w:r>
      <w:r>
        <w:t xml:space="preserve"> </w:t>
      </w:r>
      <w:r>
        <w:rPr>
          <w:rStyle w:val="VerbatimChar"/>
        </w:rPr>
        <w:t xml:space="preserve">TEAM CONTEXT (private)</w:t>
      </w:r>
      <w:r>
        <w:t xml:space="preserve"> </w:t>
      </w:r>
      <w:r>
        <w:t xml:space="preserve">blocks as injected instructions; the encoding error accounts for</w:t>
      </w:r>
      <w:r>
        <w:t xml:space="preserve"> </w:t>
      </w:r>
      <w:r>
        <w:t xml:space="preserve">only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39</m:t>
        </m:r>
      </m:oMath>
      <w:r>
        <w:t xml:space="preserve">. No other model on any arm produced such a reply. Sonnet’s refusals are not</w:t>
      </w:r>
      <w:r>
        <w:t xml:space="preserve"> </w:t>
      </w:r>
      <w:r>
        <w:t xml:space="preserve">confined to the superset, and counting them across all of its retained arms locates the trigger</w:t>
      </w:r>
      <w:r>
        <w:t xml:space="preserve"> </w:t>
      </w:r>
      <w:r>
        <w:t xml:space="preserve">elsewhere than in the number of blocks: an arm carrying only the block that is</w:t>
      </w:r>
      <w:r>
        <w:t xml:space="preserve"> </w:t>
      </w:r>
      <w:r>
        <w:rPr>
          <w:i/>
          <w:iCs/>
        </w:rPr>
        <w:t xml:space="preserve">decisive</w:t>
      </w:r>
      <w:r>
        <w:t xml:space="preserve"> </w:t>
      </w:r>
      <w:r>
        <w:t xml:space="preserve">for</w:t>
      </w:r>
      <w:r>
        <w:t xml:space="preserve"> </w:t>
      </w:r>
      <w:r>
        <w:t xml:space="preserve">its task draws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refusals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and the trap and</w:t>
      </w:r>
      <w:r>
        <w:t xml:space="preserve"> </w:t>
      </w:r>
      <m:oMath>
        <m:r>
          <m:t>13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while an arm carrying only a</w:t>
      </w:r>
      <w:r>
        <w:t xml:space="preserve"> </w:t>
      </w:r>
      <w:r>
        <w:rPr>
          <w:i/>
          <w:iCs/>
        </w:rPr>
        <w:t xml:space="preserve">non</w:t>
      </w:r>
      <w:r>
        <w:t xml:space="preserve">-decisive block draws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r>
          <m:t>22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36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 the same four tasks. A single private block is therefore</w:t>
      </w:r>
      <w:r>
        <w:t xml:space="preserve"> </w:t>
      </w:r>
      <w:r>
        <w:t xml:space="preserve">enough, when it does not serve the task at hand. On that reading the superset refuses because it</w:t>
      </w:r>
      <w:r>
        <w:t xml:space="preserve"> </w:t>
      </w:r>
      <w:r>
        <w:t xml:space="preserve">always contains a block the task does not need, which is the same mismatch the collapse turns on</w:t>
      </w:r>
      <w:r>
        <w:t xml:space="preserve"> </w:t>
      </w:r>
      <w:r>
        <w:t xml:space="preserve">rather than a separate effect of stacking. We state this as the pattern the retained draws show,</w:t>
      </w:r>
      <w:r>
        <w:t xml:space="preserve"> </w:t>
      </w:r>
      <w:r>
        <w:t xml:space="preserve">not as a mechanism: it rests on one model and four tasks.</w:t>
      </w:r>
      <w:r>
        <w:t xml:space="preserve"> </w:t>
      </w:r>
      <w:r>
        <w:t xml:space="preserve">Theorem 3 is indifferent to it, since it constrains any rule whose PASS</w:t>
      </w:r>
      <w:r>
        <w:t xml:space="preserve"> </w:t>
      </w:r>
      <w:r>
        <w:t xml:space="preserve">falls under a strict superset whatever the internal cause, and Sonnet’s PASS does fall. What the</w:t>
      </w:r>
      <w:r>
        <w:t xml:space="preserve"> </w:t>
      </w:r>
      <w:r>
        <w:t xml:space="preserve">observation costs is the reading: for Sonnet the collapse is a refusal, not convention</w:t>
      </w:r>
      <w:r>
        <w:t xml:space="preserve"> </w:t>
      </w:r>
      <w:r>
        <w:t xml:space="preserve">mis-binding, and should be read with that exception in force. Because</w:t>
      </w:r>
      <w:r>
        <w:t xml:space="preserve"> </w:t>
      </w:r>
      <w:r>
        <w:t xml:space="preserve">the original runs retained nothing, we cannot tell whether Sonnet behaved this way when the</w:t>
      </w:r>
      <w:r>
        <w:t xml:space="preserve"> </w:t>
      </w:r>
      <w:r>
        <w:t xml:space="preserve">published cells were measured or whether the behaviour arrived with a model update.</w:t>
      </w:r>
    </w:p>
    <w:bookmarkStart w:id="151" w:name="tab:remeasure"/>
    <w:p>
      <w:pPr>
        <w:pStyle w:val="TableCaption"/>
      </w:pPr>
      <w:r>
        <w:t xml:space="preserve">Re-measurement with raw-completion retention,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 arm, fresh draws.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under the published verifier and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u</m:t>
            </m:r>
          </m:sub>
        </m:sSub>
      </m:oMath>
      <w:r>
        <w:t xml:space="preserve"> </w:t>
      </w:r>
      <w:r>
        <w:t xml:space="preserve">under the import-neutralized one.</w:t>
      </w:r>
      <w:r>
        <w:t xml:space="preserve"> </w:t>
      </w:r>
      <w:r>
        <w:t xml:space="preserve">“Mechanism”</w:t>
      </w:r>
      <w:r>
        <w:t xml:space="preserve"> </w:t>
      </w:r>
      <w:r>
        <w:t xml:space="preserve">counts, among the superset draws that still fail once the import is neutralized,</w:t>
      </w:r>
      <w:r>
        <w:t xml:space="preserve"> </w:t>
      </w:r>
      <w:r>
        <w:t xml:space="preserve">those that wire-encode the amount;</w:t>
      </w:r>
      <w:r>
        <w:t xml:space="preserve"> </w:t>
      </w:r>
      <w:r>
        <w:t xml:space="preserve">“Refusal”</w:t>
      </w:r>
      <w:r>
        <w:t xml:space="preserve"> </w:t>
      </w:r>
      <w:r>
        <w:t xml:space="preserve">counts draws declining the task as a suspected</w:t>
      </w:r>
      <w:r>
        <w:t xml:space="preserve"> </w:t>
      </w:r>
      <w:r>
        <w:t xml:space="preserve">prompt injection, over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the arm. The two denominators therefore differ, and the</w:t>
      </w:r>
      <w:r>
        <w:t xml:space="preserve"> </w:t>
      </w:r>
      <w:r>
        <w:t xml:space="preserve">labels are not mutually exclusive: on Sonnet’s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one draw carries both flags,</w:t>
      </w:r>
      <w:r>
        <w:t xml:space="preserve"> </w:t>
      </w:r>
      <w:r>
        <w:t xml:space="preserve">and on its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one refusal-flagged draw nonetheless passed. Every row is a</w:t>
      </w:r>
      <w:r>
        <w:t xml:space="preserve"> </w:t>
      </w:r>
      <w:r>
        <w:t xml:space="preserve">single-shot re-measurement in the published regime.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-measurement with raw-completion retention, n=40 per arm, fresh draws. \Delta is under the published verifier and \Delta_{\mathrm{neu}} under the import-neutralized one. “Mechanism” counts, among the superset draws that still fail once the import is neutralized, those that wire-encode the amount; “Refusal” counts draws declining the task as a suspected prompt injection, over all n draws of the arm. The two denominators therefore differ, and the labels are not mutually exclusive: on Sonnet’s api_argorder one draw carries both flags, and on its api_post_ok one refusal-flagged draw nonetheless passed. Every row is a single-shot re-measurement in the published regime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u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Refusal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98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39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38</m:t>
              </m:r>
              <m:r>
                <m:rPr>
                  <m:sty m:val="p"/>
                </m:rPr>
                <m:t>/</m:t>
              </m:r>
              <m:r>
                <m:t>39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39</m:t>
              </m:r>
              <m:r>
                <m:rPr>
                  <m:sty m:val="p"/>
                </m:rPr>
                <m:t>/</m:t>
              </m:r>
              <m:r>
                <m:t>39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43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0.43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39</m:t>
              </m:r>
              <m:r>
                <m:rPr>
                  <m:sty m:val="p"/>
                </m:rPr>
                <m:t>/</m:t>
              </m:r>
              <m:r>
                <m:t>39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68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0.63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38</m:t>
              </m:r>
              <m:r>
                <m:rPr>
                  <m:sty m:val="p"/>
                </m:rPr>
                <m:t>/</m:t>
              </m:r>
              <m:r>
                <m:t>38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bookmarkEnd w:id="151"/>
    <w:bookmarkEnd w:id="152"/>
    <w:bookmarkEnd w:id="153"/>
    <w:bookmarkStart w:id="154" w:name="sec:disc-mechanism"/>
    <w:p>
      <w:pPr>
        <w:pStyle w:val="Heading2"/>
      </w:pPr>
      <w:r>
        <w:t xml:space="preserve">Output-token inflation on the harmful arm</w:t>
      </w:r>
    </w:p>
    <w:p>
      <w:pPr>
        <w:pStyle w:val="FirstParagraph"/>
      </w:pPr>
      <w:r>
        <w:t xml:space="preserve">Every collapse is accompanied by output-token inflation on the harmful arm. On the two API</w:t>
      </w:r>
      <w:r>
        <w:t xml:space="preserve"> </w:t>
      </w:r>
      <w:r>
        <w:t xml:space="preserve">collapse cells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emits between</w:t>
      </w:r>
      <w:r>
        <w:t xml:space="preserve"> </w:t>
      </w:r>
      <m:oMath>
        <m:r>
          <m:rPr>
            <m:sty m:val="p"/>
          </m:rPr>
          <m:t>+</m:t>
        </m:r>
        <m:r>
          <m:t>93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520</m:t>
        </m:r>
        <m:r>
          <m:rPr>
            <m:sty m:val="p"/>
          </m:rPr>
          <m:t>%</m:t>
        </m:r>
      </m:oMath>
      <w:r>
        <w:t xml:space="preserve"> </w:t>
      </w:r>
      <w:r>
        <w:t xml:space="preserve">more output tokens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(Haiku</w:t>
      </w:r>
      <w:r>
        <w:t xml:space="preserve"> </w:t>
      </w:r>
      <m:oMath>
        <m:r>
          <m:rPr>
            <m:sty m:val="p"/>
          </m:rPr>
          <m:t>+</m:t>
        </m:r>
        <m:r>
          <m:t>115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163</m:t>
        </m:r>
        <m:r>
          <m:rPr>
            <m:sty m:val="p"/>
          </m:rPr>
          <m:t>%</m:t>
        </m:r>
      </m:oMath>
      <w:r>
        <w:t xml:space="preserve">; Sonnet</w:t>
      </w:r>
      <w:r>
        <w:t xml:space="preserve"> </w:t>
      </w:r>
      <m:oMath>
        <m:r>
          <m:rPr>
            <m:sty m:val="p"/>
          </m:rPr>
          <m:t>+</m:t>
        </m:r>
        <m:r>
          <m:t>520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473</m:t>
        </m:r>
        <m:r>
          <m:rPr>
            <m:sty m:val="p"/>
          </m:rPr>
          <m:t>%</m:t>
        </m:r>
      </m:oMath>
      <w:r>
        <w:t xml:space="preserve">; GPT-5.5</w:t>
      </w:r>
      <w:r>
        <w:t xml:space="preserve"> </w:t>
      </w:r>
      <m:oMath>
        <m:r>
          <m:rPr>
            <m:sty m:val="p"/>
          </m:rPr>
          <m:t>+</m:t>
        </m:r>
        <m:r>
          <m:t>281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274</m:t>
        </m:r>
        <m:r>
          <m:rPr>
            <m:sty m:val="p"/>
          </m:rPr>
          <m:t>%</m:t>
        </m:r>
      </m:oMath>
      <w:r>
        <w:t xml:space="preserve">; DeepSeek</w:t>
      </w:r>
      <w:r>
        <w:t xml:space="preserve"> </w:t>
      </w:r>
      <m:oMath>
        <m:r>
          <m:rPr>
            <m:sty m:val="p"/>
          </m:rPr>
          <m:t>+</m:t>
        </m:r>
        <m:r>
          <m:t>93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166</m:t>
        </m:r>
        <m:r>
          <m:rPr>
            <m:sty m:val="p"/>
          </m:rPr>
          <m:t>%</m:t>
        </m:r>
      </m:oMath>
      <w:r>
        <w:t xml:space="preserve">; Kimi</w:t>
      </w:r>
      <w:r>
        <w:t xml:space="preserve"> </w:t>
      </w:r>
      <m:oMath>
        <m:r>
          <m:rPr>
            <m:sty m:val="p"/>
          </m:rPr>
          <m:t>+</m:t>
        </m:r>
        <m:r>
          <m:t>203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249</m:t>
        </m:r>
        <m:r>
          <m:rPr>
            <m:sty m:val="p"/>
          </m:rPr>
          <m:t>%</m:t>
        </m:r>
      </m:oMath>
      <w:r>
        <w:t xml:space="preserve">; the re-measured Opus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 carries no token record). One might read this</w:t>
      </w:r>
      <w:r>
        <w:t xml:space="preserve"> </w:t>
      </w:r>
      <w:r>
        <w:t xml:space="preserve">as</w:t>
      </w:r>
      <w:r>
        <w:t xml:space="preserve"> </w:t>
      </w:r>
      <w:r>
        <w:t xml:space="preserve">“verbose thrashing”</w:t>
      </w:r>
      <w:r>
        <w:t xml:space="preserve"> </w:t>
      </w:r>
      <w:r>
        <w:t xml:space="preserve">causing the failure, but the relationship is correlational and</w:t>
      </w:r>
      <w:r>
        <w:t xml:space="preserve"> </w:t>
      </w:r>
      <w:r>
        <w:t xml:space="preserve">uncontrolled: on the</w:t>
      </w:r>
      <w:r>
        <w:t xml:space="preserve"> </w:t>
      </w:r>
      <w:r>
        <w:rPr>
          <w:i/>
          <w:iCs/>
        </w:rPr>
        <w:t xml:space="preserve">still-passing</w:t>
      </w:r>
      <w:r>
        <w:t xml:space="preserve"> </w:t>
      </w:r>
      <w:r>
        <w:t xml:space="preserve">encoding cell the same superset arm ranges from</w:t>
      </w:r>
      <w:r>
        <w:t xml:space="preserve"> </w:t>
      </w:r>
      <m:oMath>
        <m:r>
          <m:rPr>
            <m:sty m:val="p"/>
          </m:rPr>
          <m:t>−</m:t>
        </m:r>
        <m:r>
          <m:t>73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114</m:t>
        </m:r>
        <m:r>
          <m:rPr>
            <m:sty m:val="p"/>
          </m:rPr>
          <m:t>%</m:t>
        </m:r>
      </m:oMath>
      <w:r>
        <w:t xml:space="preserve"> </w:t>
      </w:r>
      <w:r>
        <w:t xml:space="preserve">across the same models, with no consistent direction, which undercuts a clean</w:t>
      </w:r>
      <w:r>
        <w:t xml:space="preserve"> </w:t>
      </w:r>
      <w:r>
        <w:t xml:space="preserve">“verbosity causes collapse”</w:t>
      </w:r>
      <w:r>
        <w:t xml:space="preserve"> </w:t>
      </w:r>
      <w:r>
        <w:t xml:space="preserve">account. We therefore treat the token fingerprint as a reproducible</w:t>
      </w:r>
      <w:r>
        <w:t xml:space="preserve"> </w:t>
      </w:r>
      <w:r>
        <w:t xml:space="preserve">correlate of the harmful arm, not a mechanism.</w:t>
      </w:r>
    </w:p>
    <w:p>
      <w:pPr>
        <w:pStyle w:val="BodyText"/>
      </w:pPr>
      <w:r>
        <w:t xml:space="preserve">One qualification governs this whole subsection. Re-measuring the verified cells with raw</w:t>
      </w:r>
      <w:r>
        <w:t xml:space="preserve"> </w:t>
      </w:r>
      <w:r>
        <w:t xml:space="preserve">completions retained () confirms the convention-misbinding account on nine of</w:t>
      </w:r>
      <w:r>
        <w:t xml:space="preserve"> </w:t>
      </w:r>
      <w:r>
        <w:t xml:space="preserve">eleven cells by direct inspection of the failing code, but not on Sonnet’s two, where the model</w:t>
      </w:r>
      <w:r>
        <w:t xml:space="preserve"> </w:t>
      </w:r>
      <w:r>
        <w:t xml:space="preserve">instead declines the superset prompt as a suspected injection. The mechanism discussion below</w:t>
      </w:r>
      <w:r>
        <w:t xml:space="preserve"> </w:t>
      </w:r>
      <w:r>
        <w:t xml:space="preserve">therefore describes nine cells, not all eleven.</w:t>
      </w:r>
    </w:p>
    <w:p>
      <w:pPr>
        <w:pStyle w:val="BodyText"/>
      </w:pPr>
      <w:r>
        <w:t xml:space="preserve">The claim structure is deliberately mechanism-agnostic: Theorem 3 verifies that</w:t>
      </w:r>
      <w:r>
        <w:t xml:space="preserve"> </w:t>
      </w:r>
      <w:r>
        <w:t xml:space="preserve">the realized rule is not Blackwell-coherent</w:t>
      </w:r>
      <w:r>
        <w:t xml:space="preserve"> </w:t>
      </w:r>
      <w:r>
        <w:rPr>
          <w:i/>
          <w:iCs/>
        </w:rPr>
        <w:t xml:space="preserve">whatever</w:t>
      </w:r>
      <w:r>
        <w:t xml:space="preserve"> </w:t>
      </w:r>
      <w:r>
        <w:t xml:space="preserve">the internal cause, and the behavioral</w:t>
      </w:r>
      <w:r>
        <w:t xml:space="preserve"> </w:t>
      </w:r>
      <w:r>
        <w:t xml:space="preserve">controls already constrain the hypothesis space from outside, the harm is not position (order</w:t>
      </w:r>
      <w:r>
        <w:t xml:space="preserve"> </w:t>
      </w:r>
      <w:r>
        <w:t xml:space="preserve">control) and not by an off-topic block of equal character length (padding control), and is largely curable by explicit convention routing</w:t>
      </w:r>
      <w:r>
        <w:t xml:space="preserve"> </w:t>
      </w:r>
      <w:r>
        <w:t xml:space="preserve">(instruction ablation), a signature consistent with mis-binding rather than capacity exhaustion.</w:t>
      </w:r>
      <w:r>
        <w:t xml:space="preserve"> </w:t>
      </w:r>
      <w:r>
        <w:t xml:space="preserve">That the one-line routing note recovers most of the collapse while labeled XML segmentation of the</w:t>
      </w:r>
      <w:r>
        <w:t xml:space="preserve"> </w:t>
      </w:r>
      <w:r>
        <w:t xml:space="preserve">same content recovers only a minority (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45</m:t>
        </m:r>
        <m:r>
          <m:rPr>
            <m:sty m:val="p"/>
          </m:rPr>
          <m:t>%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rPr>
            <m:sty m:val="p"/>
          </m:rPr>
          <m:t>→</m:t>
        </m:r>
        <m:r>
          <m:t>80</m:t>
        </m:r>
        <m:r>
          <m:rPr>
            <m:sty m:val="p"/>
          </m:rPr>
          <m:t>%</m:t>
        </m:r>
      </m:oMath>
      <w:r>
        <w:t xml:space="preserve">) locates the operative</w:t>
      </w:r>
      <w:r>
        <w:t xml:space="preserve"> </w:t>
      </w:r>
      <w:r>
        <w:t xml:space="preserve">variable in convention-to-task routing rather than formatting; this is an interpretation, not a</w:t>
      </w:r>
      <w:r>
        <w:t xml:space="preserve"> </w:t>
      </w:r>
      <w:r>
        <w:t xml:space="preserve">finding, and every verified claim is independent of it. An activation-level account is out of reach</w:t>
      </w:r>
      <w:r>
        <w:t xml:space="preserve"> </w:t>
      </w:r>
      <w:r>
        <w:t xml:space="preserve">here, since four of the six models are closed-weight and the phenomenon is cross-vendor; the direct</w:t>
      </w:r>
      <w:r>
        <w:t xml:space="preserve"> </w:t>
      </w:r>
      <w:r>
        <w:t xml:space="preserve">route is to reproduce the collapse on an open-weight model with the same harness and instrument the</w:t>
      </w:r>
      <w:r>
        <w:t xml:space="preserve"> </w:t>
      </w:r>
      <w:r>
        <w:t xml:space="preserve">contrasting arms, downstream of rather than prerequisite to the behavioral claim. Distractor</w:t>
      </w:r>
      <w:r>
        <w:t xml:space="preserve"> </w:t>
      </w:r>
      <w:r>
        <w:t xml:space="preserve">interference in RAG has been localized to a sparse feature subspace and corrected</w:t>
      </w:r>
      <w:r>
        <w:t xml:space="preserve"> </w:t>
      </w:r>
      <w:r>
        <w:t xml:space="preserve">there </w:t>
      </w:r>
      <w:r>
        <w:t xml:space="preserve">(Giannetti et al. 2026)</w:t>
      </w:r>
      <w:r>
        <w:t xml:space="preserve">; ours differs in cause, the added source is each true, and each needed by some task in the battery though not by every task</w:t>
      </w:r>
      <w:r>
        <w:t xml:space="preserve"> </w:t>
      </w:r>
      <w:r>
        <w:t xml:space="preserve">rather than a distractor, and it is not a knowledge conflict in the sense of</w:t>
      </w:r>
      <w:r>
        <w:t xml:space="preserve"> </w:t>
      </w:r>
      <w:r>
        <w:t xml:space="preserve">Xu et al. (2024)</w:t>
      </w:r>
      <w:r>
        <w:t xml:space="preserve">, since nothing in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contradicts.</w:t>
      </w:r>
    </w:p>
    <w:bookmarkEnd w:id="154"/>
    <w:bookmarkEnd w:id="155"/>
    <w:bookmarkStart w:id="295" w:name="app:repro"/>
    <w:p>
      <w:pPr>
        <w:pStyle w:val="Heading1"/>
      </w:pPr>
      <w:r>
        <w:t xml:space="preserve">Reproducibility and protocol</w:t>
      </w:r>
    </w:p>
    <w:p>
      <w:pPr>
        <w:pStyle w:val="FirstParagraph"/>
      </w:pPr>
      <w:r>
        <w:t xml:space="preserve">All reported numbers come from real model calls whose outputs are checked by executable verifiers; there</w:t>
      </w:r>
      <w:r>
        <w:t xml:space="preserve"> </w:t>
      </w:r>
      <w:r>
        <w:t xml:space="preserve">are no modeled or aspirational figures. The complete artifact bundle (the measurement harness, the</w:t>
      </w:r>
      <w:r>
        <w:t xml:space="preserve"> </w:t>
      </w:r>
      <w:r>
        <w:t xml:space="preserve">executable verifiers, and every per-model run log and result JSON cited below) is available at</w:t>
      </w:r>
      <w:r>
        <w:t xml:space="preserve"> 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. The harness (</w:t>
      </w:r>
      <w:r>
        <w:rPr>
          <w:rStyle w:val="VerbatimChar"/>
        </w:rPr>
        <w:t xml:space="preserve">harness/measure_blackwell.py</w:t>
      </w:r>
      <w:r>
        <w:t xml:space="preserve">) is</w:t>
      </w:r>
      <w:r>
        <w:t xml:space="preserve"> </w:t>
      </w:r>
      <w:r>
        <w:t xml:space="preserve">Python-standard-library only (no third-party dependencies; the Clopper–Pearson endpoints use a stdlib</w:t>
      </w:r>
      <w:r>
        <w:t xml:space="preserve"> </w:t>
      </w:r>
      <w:r>
        <w:t xml:space="preserve">regularized incomplete beta), is cross-OS, and implements the surrogate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 the uniform</w:t>
      </w:r>
      <w:r>
        <w:t xml:space="preserve"> </w:t>
      </w:r>
      <w:r>
        <w:t xml:space="preserve">incomparability verification (</w:t>
      </w:r>
      <w:r>
        <w:rPr>
          <w:rStyle w:val="VerbatimChar"/>
        </w:rPr>
        <w:t xml:space="preserve">certify_incomparable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clopper_pearson</w:t>
      </w:r>
      <w:r>
        <w:t xml:space="preserve">), the dominance</w:t>
      </w:r>
      <w:r>
        <w:t xml:space="preserve"> </w:t>
      </w:r>
      <w:r>
        <w:t xml:space="preserve">control (</w:t>
      </w:r>
      <w:r>
        <w:rPr>
          <w:rStyle w:val="VerbatimChar"/>
        </w:rPr>
        <w:t xml:space="preserve">certify_dominance</w:t>
      </w:r>
      <w:r>
        <w:t xml:space="preserve">), the interference verification, the sample-size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required_n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required_n_stark</w:t>
      </w:r>
      <w:r>
        <w:t xml:space="preserve">), and the lexical-relevance scalar</w:t>
      </w:r>
      <w:r>
        <w:t xml:space="preserve"> </w:t>
      </w:r>
      <w:r>
        <w:t xml:space="preserve">(</w:t>
      </w:r>
      <w:r>
        <w:rPr>
          <w:rStyle w:val="VerbatimChar"/>
        </w:rPr>
        <w:t xml:space="preserve">lexical_relevance</w:t>
      </w:r>
      <w:r>
        <w:t xml:space="preserve">). It includes launchers for the Anthropic CLI (</w:t>
      </w:r>
      <w:r>
        <w:rPr>
          <w:rStyle w:val="VerbatimChar"/>
        </w:rPr>
        <w:t xml:space="preserve">claude -p</w:t>
      </w:r>
      <w:r>
        <w:t xml:space="preserve">), the</w:t>
      </w:r>
      <w:r>
        <w:t xml:space="preserve"> </w:t>
      </w:r>
      <w:r>
        <w:t xml:space="preserve">Azure Responses API, and OpenAI-compatible chat completions; the launcher auto-detects API style from the</w:t>
      </w:r>
      <w:r>
        <w:t xml:space="preserve"> </w:t>
      </w:r>
      <w:r>
        <w:t xml:space="preserve">endpoint, and all API keys are read from the environment (never written to a file).</w:t>
      </w:r>
    </w:p>
    <w:bookmarkStart w:id="156" w:name="protocol."/>
    <w:p>
      <w:pPr>
        <w:pStyle w:val="Heading4"/>
      </w:pPr>
      <w:r>
        <w:t xml:space="preserve">Protocol.</w:t>
      </w:r>
    </w:p>
    <w:p>
      <w:pPr>
        <w:pStyle w:val="FirstParagraph"/>
      </w:pPr>
      <w:r>
        <w:t xml:space="preserve">The verifier stubs a fake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 that accepts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exact</w:t>
      </w:r>
      <w:r>
        <w:t xml:space="preserve"> </w:t>
      </w:r>
      <w:r>
        <w:t xml:space="preserve">private contract (it rejects wrong positional arg order, a missing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 </w:t>
      </w:r>
      <w:r>
        <w:t xml:space="preserve">keyword, and the wrong</w:t>
      </w:r>
      <w:r>
        <w:t xml:space="preserve"> </w:t>
      </w:r>
      <w:r>
        <w:t xml:space="preserve">exception type); return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PASS. The four verified cells are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arrives via a parameter, forcing the keyword-only fact),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; the arms are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ty m:val="p"/>
          </m:rPr>
          <m:t>none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(character-matched neutral filler</w:t>
      </w:r>
      <w:r>
        <w:t xml:space="preserve"> </w:t>
      </w:r>
      <m:oMath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 added for the padding control.</w:t>
      </w:r>
      <w:r>
        <w:t xml:space="preserve"> </w:t>
      </w:r>
      <w:r>
        <w:t xml:space="preserve">All six models are queried in a single-shot completion (one call, no tools, code extracted from the</w:t>
      </w:r>
      <w:r>
        <w:t xml:space="preserve"> </w:t>
      </w:r>
      <w:r>
        <w:t xml:space="preserve">returned text), and PASS is measured over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i.i.d. completions per cell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bookmarkEnd w:id="156"/>
    <w:bookmarkStart w:id="157" w:name="decoding-seeding-and-retries."/>
    <w:p>
      <w:pPr>
        <w:pStyle w:val="Heading4"/>
      </w:pPr>
      <w:r>
        <w:t xml:space="preserve">Decoding, seeding, and retries.</w:t>
      </w:r>
    </w:p>
    <w:p>
      <w:pPr>
        <w:pStyle w:val="FirstParagraph"/>
      </w:pPr>
      <w:r>
        <w:t xml:space="preserve">All runs use the provider’s default decoding</w:t>
      </w:r>
      <w:r>
        <w:t xml:space="preserve"> </w:t>
      </w:r>
      <w:r>
        <w:t xml:space="preserve">configuration: the harness sets no explicit temperature, top-</w:t>
      </w:r>
      <m:oMath>
        <m:r>
          <m:t>p</m:t>
        </m:r>
      </m:oMath>
      <w:r>
        <w:t xml:space="preserve">, or seed (the Claude CLI and the</w:t>
      </w:r>
      <w:r>
        <w:t xml:space="preserve"> </w:t>
      </w:r>
      <w:r>
        <w:t xml:space="preserve">Azure/OpenAI-compatible launchers are invoked without sampling overrides), so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per cell</w:t>
      </w:r>
      <w:r>
        <w:t xml:space="preserve"> </w:t>
      </w:r>
      <w:r>
        <w:t xml:space="preserve">are independent samples from each provider’s default decoder, each a fresh single-turn call with a</w:t>
      </w:r>
      <w:r>
        <w:t xml:space="preserve"> </w:t>
      </w:r>
      <m:oMath>
        <m:r>
          <m:t>200</m:t>
        </m:r>
      </m:oMath>
      <w:r>
        <w:t xml:space="preserve">-second timeout. This describes every run behind the six-model tables. Two reported runs sit</w:t>
      </w:r>
      <w:r>
        <w:t xml:space="preserve"> </w:t>
      </w:r>
      <w:r>
        <w:t xml:space="preserve">outside it, both on the agentic Claude CLI path (up to six turns per attempt) rather than the</w:t>
      </w:r>
      <w:r>
        <w:t xml:space="preserve"> </w:t>
      </w:r>
      <w:r>
        <w:t xml:space="preserve">single-shot one, and both identifiable from their run logs, which lack the</w:t>
      </w:r>
      <w:r>
        <w:t xml:space="preserve"> </w:t>
      </w:r>
      <w:r>
        <w:rPr>
          <w:rStyle w:val="VerbatimChar"/>
        </w:rPr>
        <w:t xml:space="preserve">[SINGLE-SHOT]</w:t>
      </w:r>
      <w:r>
        <w:t xml:space="preserve"> </w:t>
      </w:r>
      <w:r>
        <w:t xml:space="preserve">marker every single-shot run carries. The first is the order control of</w:t>
      </w:r>
      <w:r>
        <w:t xml:space="preserve"> </w:t>
      </w:r>
      <w:r>
        <w:t xml:space="preserve">§7.4.3, an earlier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Haiku run, reported as an auxiliary control and</w:t>
      </w:r>
      <w:r>
        <w:t xml:space="preserve"> </w:t>
      </w:r>
      <w:r>
        <w:t xml:space="preserve">entering no table of the six-model record. The second is the entire second source pair</w:t>
      </w:r>
      <w:r>
        <w:t xml:space="preserve"> </w:t>
      </w:r>
      <w:r>
        <w:t xml:space="preserve">(§7.5), measured agentically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. Its role is generality, so</w:t>
      </w:r>
      <w:r>
        <w:t xml:space="preserve"> </w:t>
      </w:r>
      <w:r>
        <w:t xml:space="preserve">the regime difference is worth stating plainly: what that pair shows is that incomparability and</w:t>
      </w:r>
      <w:r>
        <w:t xml:space="preserve"> </w:t>
      </w:r>
      <w:r>
        <w:t xml:space="preserve">the superset collapse reappear in another domain</w:t>
      </w:r>
      <w:r>
        <w:t xml:space="preserve"> </w:t>
      </w:r>
      <w:r>
        <w:rPr>
          <w:i/>
          <w:iCs/>
        </w:rPr>
        <w:t xml:space="preserve">under the agentic harness</w:t>
      </w:r>
      <w:r>
        <w:t xml:space="preserve">, not that they</w:t>
      </w:r>
      <w:r>
        <w:t xml:space="preserve"> </w:t>
      </w:r>
      <w:r>
        <w:t xml:space="preserve">reappear under the single-shot one. The single-shot evidence for both phenomena is the six-model</w:t>
      </w:r>
      <w:r>
        <w:t xml:space="preserve"> </w:t>
      </w:r>
      <w:r>
        <w:t xml:space="preserve">record on the first pair.</w:t>
      </w:r>
    </w:p>
    <w:p>
      <w:pPr>
        <w:pStyle w:val="BodyText"/>
      </w:pPr>
      <w:r>
        <w:t xml:space="preserve">Four arm-only re-measurements were originally produced by ad-hoc scripts that were not kept, so</w:t>
      </w:r>
      <w:r>
        <w:t xml:space="preserve"> </w:t>
      </w:r>
      <w:r>
        <w:t xml:space="preserve">their regime could be asserted but not recovered from a run log. All four have since been</w:t>
      </w:r>
      <w:r>
        <w:t xml:space="preserve"> </w:t>
      </w:r>
      <w:r>
        <w:t xml:space="preserve">re-measured with</w:t>
      </w:r>
      <w:r>
        <w:t xml:space="preserve"> </w:t>
      </w:r>
      <w:r>
        <w:rPr>
          <w:rStyle w:val="VerbatimChar"/>
        </w:rPr>
        <w:t xml:space="preserve">harness/diag/rerun_arm.py</w:t>
      </w:r>
      <w:r>
        <w:t xml:space="preserve">, which calls the same</w:t>
      </w:r>
      <w:r>
        <w:t xml:space="preserve"> </w:t>
      </w:r>
      <w:r>
        <w:rPr>
          <w:rStyle w:val="VerbatimChar"/>
        </w:rPr>
        <w:t xml:space="preserve">run_one</w:t>
      </w:r>
      <w:r>
        <w:t xml:space="preserve"> </w:t>
      </w:r>
      <w:r>
        <w:t xml:space="preserve">the</w:t>
      </w:r>
      <w:r>
        <w:t xml:space="preserve"> </w:t>
      </w:r>
      <w:r>
        <w:t xml:space="preserve">six-model tables are built from and writes a log recording the regime. Three reproduced their</w:t>
      </w:r>
      <w:r>
        <w:t xml:space="preserve"> </w:t>
      </w:r>
      <w:r>
        <w:t xml:space="preserve">published values closely: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and Haiku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cells returned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exactly as before, and the structured-context arm</w:t>
      </w:r>
      <w:r>
        <w:t xml:space="preserve"> </w:t>
      </w:r>
      <w:r>
        <w:t xml:space="preserve">moved by one draw on one cell.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 moved further, and deeper:</w:t>
      </w:r>
      <w:r>
        <w:t xml:space="preserve"> </w:t>
      </w:r>
      <m:oMath>
        <m:r>
          <m:t>38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12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. This manuscript reports the</w:t>
      </w:r>
      <w:r>
        <w:t xml:space="preserve"> </w:t>
      </w:r>
      <w:r>
        <w:t xml:space="preserve">re-measurements throughout, so every cited run now has a log naming its regime;</w:t>
      </w:r>
      <w:r>
        <w:t xml:space="preserve"> </w:t>
      </w:r>
      <w:r>
        <w:rPr>
          <w:rStyle w:val="VerbatimChar"/>
        </w:rPr>
        <w:t xml:space="preserve">harness/diag/check_regimes.py</w:t>
      </w:r>
      <w:r>
        <w:t xml:space="preserve"> </w:t>
      </w:r>
      <w:r>
        <w:t xml:space="preserve">lists them with the evidence for each. The between-run</w:t>
      </w:r>
      <w:r>
        <w:t xml:space="preserve"> </w:t>
      </w:r>
      <w:r>
        <w:t xml:space="preserve">movement on the Opus arm is itself a data point for §8.4: repeated measurement</w:t>
      </w:r>
      <w:r>
        <w:t xml:space="preserve"> </w:t>
      </w:r>
      <w:r>
        <w:t xml:space="preserve">of the same cell months apart shifts by more than the nominal interval width. Transport-level failures (empty or zero-token results) are retried up to three</w:t>
      </w:r>
      <w:r>
        <w:t xml:space="preserve"> </w:t>
      </w:r>
      <w:r>
        <w:t xml:space="preserve">times with quadratic backoff; a draw that still fails is scored as a failure, never as a pass. Where a transport-outage window hit a whole arm or a single cell, we re-measured it cleanly in isolation with the retry harness and report only the clean measurement: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arm;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cell, roughly</w:t>
      </w:r>
      <w:r>
        <w:t xml:space="preserve"> </w:t>
      </w:r>
      <m:oMath>
        <m:r>
          <m:t>18</m:t>
        </m:r>
      </m:oMath>
      <w:r>
        <w:t xml:space="preserve"> </w:t>
      </w:r>
      <w:r>
        <w:t xml:space="preserve">of whose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first-run draws were outage-scored (inferred from per-draw cost); and the Haiku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cell, whose first run predated the retry wrapper. One cell resisted re-measurement for longer than the others: GPT-5.5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returned HTTP 500 after retries during the original run and no GPT-5.5 deployment was available on the resource at first revision, so for one revision cycle its reported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was carried with outage-scored draws in it. A GPT-5.5 deployment was subsequently provisioned and all four GPT-5.5 cells were re-run single-shot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 arm with retention and zero transport failures. The re-run reproduces the published grid exactly in all eight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entries, the disputed cell included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clean), so every cell in the coverage family is now a valid binomial sample and the reported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real draws throughout. The GPT-5.5 rows of Table A3 come from that run.</w:t>
      </w:r>
    </w:p>
    <w:bookmarkEnd w:id="157"/>
    <w:bookmarkStart w:id="158" w:name="artifacts."/>
    <w:p>
      <w:pPr>
        <w:pStyle w:val="Heading4"/>
      </w:pPr>
      <w:r>
        <w:t xml:space="preserve">Artifacts.</w:t>
      </w:r>
    </w:p>
    <w:p>
      <w:pPr>
        <w:pStyle w:val="FirstParagraph"/>
      </w:pPr>
      <w:r>
        <w:t xml:space="preserve">Per-model run logs and result JSONs are in the artifact repository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) under the pattern</w:t>
      </w:r>
      <w:r>
        <w:t xml:space="preserve"> </w:t>
      </w:r>
      <w:r>
        <w:rPr>
          <w:rStyle w:val="VerbatimChar"/>
        </w:rPr>
        <w:t xml:space="preserve">blackwell_*.{log,json}</w:t>
      </w:r>
      <w:r>
        <w:t xml:space="preserve">: the six single-shot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model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blackwell_haiku_ss_n40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blackwell_sonnet_ss_n40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blackwell_opus_ss_n40</w:t>
      </w:r>
      <w:r>
        <w:t xml:space="preserve"> </w:t>
      </w:r>
      <w:r>
        <w:t xml:space="preserve">with its arm-only re-run</w:t>
      </w:r>
      <w:r>
        <w:t xml:space="preserve"> </w:t>
      </w:r>
      <w:r>
        <w:rPr>
          <w:rStyle w:val="VerbatimChar"/>
        </w:rPr>
        <w:t xml:space="preserve">blackwell_opus_ss_W1plus_v2</w:t>
      </w:r>
      <w:r>
        <w:t xml:space="preserve"> </w:t>
      </w:r>
      <w:r>
        <w:t xml:space="preserve">and the clean single-cell re-measurements</w:t>
      </w:r>
      <w:r>
        <w:t xml:space="preserve"> </w:t>
      </w:r>
      <w:r>
        <w:rPr>
          <w:rStyle w:val="VerbatimChar"/>
        </w:rPr>
        <w:t xml:space="preserve">blackwell_opus_ss_W2_trap_v2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blackwell_haiku_ss_W1_enc_v2</w:t>
      </w:r>
      <w:r>
        <w:t xml:space="preserve">, all produced by</w:t>
      </w:r>
      <w:r>
        <w:t xml:space="preserve"> </w:t>
      </w:r>
      <w:r>
        <w:rPr>
          <w:rStyle w:val="VerbatimChar"/>
        </w:rPr>
        <w:t xml:space="preserve">harness/diag/rerun_arm.py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blackwell_gpt55_n40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blackwell_deepseek_n40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blackwell_kimi_n40</w:t>
      </w:r>
      <w:r>
        <w:t xml:space="preserve">), and the follow-up controls</w:t>
      </w:r>
      <w:r>
        <w:t xml:space="preserve"> </w:t>
      </w:r>
      <w:r>
        <w:rPr>
          <w:rStyle w:val="VerbatimChar"/>
        </w:rPr>
        <w:t xml:space="preserve">blackwell_pad_n40b</w:t>
      </w:r>
      <w:r>
        <w:t xml:space="preserve"> </w:t>
      </w:r>
      <w:r>
        <w:t xml:space="preserve">(character-matched padding,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calls),</w:t>
      </w:r>
      <w:r>
        <w:t xml:space="preserve"> </w:t>
      </w:r>
      <w:r>
        <w:rPr>
          <w:rStyle w:val="VerbatimChar"/>
        </w:rPr>
        <w:t xml:space="preserve">blackwell_order_ss_n40</w:t>
      </w:r>
      <w:r>
        <w:t xml:space="preserve"> </w:t>
      </w:r>
      <w:r>
        <w:t xml:space="preserve">(order control, reversed concatenation, single-shot,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calls),</w:t>
      </w:r>
      <w:r>
        <w:t xml:space="preserve"> </w:t>
      </w:r>
      <w:r>
        <w:rPr>
          <w:rStyle w:val="VerbatimChar"/>
        </w:rPr>
        <w:t xml:space="preserve">blackwell_pair2_n40</w:t>
      </w:r>
      <w:r>
        <w:t xml:space="preserve"> </w:t>
      </w:r>
      <w:r>
        <w:t xml:space="preserve">(second source pair; the reported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all come from this file) and</w:t>
      </w:r>
      <w:r>
        <w:t xml:space="preserve"> </w:t>
      </w:r>
      <w:r>
        <w:rPr>
          <w:rStyle w:val="VerbatimChar"/>
        </w:rPr>
        <w:t xml:space="preserve">blackwell_pair2_n80</w:t>
      </w:r>
      <w:r>
        <w:t xml:space="preserve"> </w:t>
      </w:r>
      <w:r>
        <w:t xml:space="preserve">(second source pair),</w:t>
      </w:r>
      <w:r>
        <w:t xml:space="preserve"> </w:t>
      </w:r>
      <w:r>
        <w:rPr>
          <w:rStyle w:val="VerbatimChar"/>
        </w:rPr>
        <w:t xml:space="preserve">blackwell_instr_n40</w:t>
      </w:r>
      <w:r>
        <w:t xml:space="preserve"> </w:t>
      </w:r>
      <w:r>
        <w:t xml:space="preserve">(routing-instruction ablation),</w:t>
      </w:r>
      <w:r>
        <w:t xml:space="preserve"> </w:t>
      </w:r>
      <w:r>
        <w:rPr>
          <w:rStyle w:val="VerbatimChar"/>
        </w:rPr>
        <w:t xml:space="preserve">blackwell_xml_n40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blackwell_xml_arm_v2</w:t>
      </w:r>
      <w:r>
        <w:t xml:space="preserve"> </w:t>
      </w:r>
      <w:r>
        <w:t xml:space="preserve">(structured-context ablation),</w:t>
      </w:r>
      <w:r>
        <w:t xml:space="preserve"> </w:t>
      </w:r>
      <w:r>
        <w:rPr>
          <w:rStyle w:val="VerbatimChar"/>
        </w:rPr>
        <w:t xml:space="preserve">reranker_trap_n30</w:t>
      </w:r>
      <w:r>
        <w:t xml:space="preserve"> </w:t>
      </w:r>
      <w:r>
        <w:t xml:space="preserve">(LLM listwise reranker probe;</w:t>
      </w:r>
      <w:r>
        <w:t xml:space="preserve"> </w:t>
      </w:r>
      <w:r>
        <w:rPr>
          <w:rStyle w:val="VerbatimChar"/>
        </w:rPr>
        <w:t xml:space="preserve">harness/measure_reranker_trap.py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dense_trap.json</w:t>
      </w:r>
      <w:r>
        <w:t xml:space="preserve"> </w:t>
      </w:r>
      <w:r>
        <w:t xml:space="preserve">(dense/cross-encoder</w:t>
      </w:r>
      <w:r>
        <w:t xml:space="preserve"> </w:t>
      </w:r>
      <w:r>
        <w:t xml:space="preserve">probe, deterministic local scoring of open-weight checkpoints at zero API cost;</w:t>
      </w:r>
      <w:r>
        <w:t xml:space="preserve"> </w:t>
      </w:r>
      <w:r>
        <w:rPr>
          <w:rStyle w:val="VerbatimChar"/>
        </w:rPr>
        <w:t xml:space="preserve">harness/measure_dense_trap.py</w:t>
      </w:r>
      <w:r>
        <w:t xml:space="preserve">). The full per-cell record is in</w:t>
      </w:r>
      <w:r>
        <w:t xml:space="preserve"> </w:t>
      </w:r>
      <w:r>
        <w:rPr>
          <w:rStyle w:val="VerbatimChar"/>
        </w:rPr>
        <w:t xml:space="preserve">docs/EXPERIMENT-BLACKWELL.md</w:t>
      </w:r>
      <w:r>
        <w:t xml:space="preserve"> </w:t>
      </w:r>
      <w:r>
        <w:t xml:space="preserve">and the theory hardening (formalization and proof</w:t>
      </w:r>
      <w:r>
        <w:t xml:space="preserve"> </w:t>
      </w:r>
      <w:r>
        <w:t xml:space="preserve">sketches) in</w:t>
      </w:r>
      <w:r>
        <w:t xml:space="preserve"> </w:t>
      </w:r>
      <w:r>
        <w:rPr>
          <w:rStyle w:val="VerbatimChar"/>
        </w:rPr>
        <w:t xml:space="preserve">docs/BLACKWELL.md</w:t>
      </w:r>
      <w:r>
        <w:t xml:space="preserve">.</w:t>
      </w:r>
    </w:p>
    <w:bookmarkEnd w:id="158"/>
    <w:bookmarkStart w:id="294" w:name="compute-and-cost."/>
    <w:p>
      <w:pPr>
        <w:pStyle w:val="Heading4"/>
      </w:pPr>
      <w:r>
        <w:t xml:space="preserve">Compute and cost.</w:t>
      </w:r>
    </w:p>
    <w:p>
      <w:pPr>
        <w:pStyle w:val="FirstParagraph"/>
      </w:pPr>
      <w:r>
        <w:t xml:space="preserve">Total measured Anthropic spend was approximately $147: the</w:t>
      </w:r>
      <w:r>
        <w:t xml:space="preserve"> </w:t>
      </w:r>
      <w:r>
        <w:t xml:space="preserve">single-shot Haiku, Sonnet, and Opus runs (Opus the costliest, plus its arm-only re-run) and the</w:t>
      </w:r>
      <w:r>
        <w:t xml:space="preserve"> </w:t>
      </w:r>
      <w:r>
        <w:t xml:space="preserve">follow-up controls (padding, second pair, routing, structured-context). The non-Anthropic runs</w:t>
      </w:r>
      <w:r>
        <w:t xml:space="preserve"> </w:t>
      </w:r>
      <w:r>
        <w:t xml:space="preserve">(GPT-5.5, DeepSeek, Kimi) used Azure quota; the Azure API returns no cost field, so this figure is</w:t>
      </w:r>
      <w:r>
        <w:t xml:space="preserve"> </w:t>
      </w:r>
      <w:r>
        <w:t xml:space="preserve">the Anthropic spend, not the total across all six models. The dense/cross-encoder probe ran locally</w:t>
      </w:r>
      <w:r>
        <w:t xml:space="preserve"> </w:t>
      </w:r>
      <w:r>
        <w:t xml:space="preserve">on open weights at zero API cost.</w:t>
      </w:r>
    </w:p>
    <w:bookmarkStart w:id="293" w:name="refs"/>
    <w:bookmarkStart w:id="160" w:name="ref-akdemir2025"/>
    <w:p>
      <w:pPr>
        <w:pStyle w:val="Bibliography"/>
      </w:pPr>
      <w:r>
        <w:t xml:space="preserve">Akdemir, Deniz. 2025.</w:t>
      </w:r>
      <w:r>
        <w:t xml:space="preserve"> </w:t>
      </w:r>
      <w:r>
        <w:t xml:space="preserve">“</w:t>
      </w:r>
      <w:r>
        <w:t xml:space="preserve">Le Cam</w:t>
      </w:r>
      <w:r>
        <w:t xml:space="preserve"> </w:t>
      </w:r>
      <w:r>
        <w:t xml:space="preserve">Distortion: A Decision-Theoretic Framework for Robust Transfer Learning.”</w:t>
      </w:r>
      <w:r>
        <w:t xml:space="preserve"> </w:t>
      </w:r>
      <w:r>
        <w:rPr>
          <w:i/>
          <w:iCs/>
        </w:rPr>
        <w:t xml:space="preserve">arXiv Preprint arXiv:2512.23617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https://arxiv.org/abs/2512.23617</w:t>
        </w:r>
      </w:hyperlink>
      <w:r>
        <w:t xml:space="preserve">.</w:t>
      </w:r>
    </w:p>
    <w:bookmarkEnd w:id="160"/>
    <w:bookmarkStart w:id="162" w:name="ref-alpila2026"/>
    <w:p>
      <w:pPr>
        <w:pStyle w:val="Bibliography"/>
      </w:pPr>
      <w:r>
        <w:t xml:space="preserve">Alpila, Pia. 2026a.</w:t>
      </w:r>
      <w:r>
        <w:t xml:space="preserve"> </w:t>
      </w:r>
      <w:r>
        <w:rPr>
          <w:i/>
          <w:iCs/>
        </w:rPr>
        <w:t xml:space="preserve">Context Selection as Approximate Sufficiency:</w:t>
      </w:r>
      <w:r>
        <w:rPr>
          <w:i/>
          <w:iCs/>
        </w:rPr>
        <w:t xml:space="preserve"> </w:t>
      </w:r>
      <w:r>
        <w:rPr>
          <w:i/>
          <w:iCs/>
        </w:rPr>
        <w:t xml:space="preserve">Le Cam</w:t>
      </w:r>
      <w:r>
        <w:rPr>
          <w:i/>
          <w:iCs/>
        </w:rPr>
        <w:t xml:space="preserve"> </w:t>
      </w:r>
      <w:r>
        <w:rPr>
          <w:i/>
          <w:iCs/>
        </w:rPr>
        <w:t xml:space="preserve">Deficiency and</w:t>
      </w:r>
      <w:r>
        <w:rPr>
          <w:i/>
          <w:iCs/>
        </w:rPr>
        <w:t xml:space="preserve"> </w:t>
      </w:r>
      <w:r>
        <w:rPr>
          <w:i/>
          <w:iCs/>
        </w:rPr>
        <w:t xml:space="preserve">Kolmogorov</w:t>
      </w:r>
      <w:r>
        <w:rPr>
          <w:i/>
          <w:iCs/>
        </w:rPr>
        <w:t xml:space="preserve">’s Structure Function Against a Fixed Decoder</w:t>
      </w:r>
      <w:r>
        <w:t xml:space="preserve">. Zenodo.</w:t>
      </w:r>
      <w:r>
        <w:t xml:space="preserve"> </w:t>
      </w:r>
      <w:hyperlink r:id="rId161">
        <w:r>
          <w:rPr>
            <w:rStyle w:val="Hyperlink"/>
          </w:rPr>
          <w:t xml:space="preserve">https://doi.org/10.5281/zenodo.20800175</w:t>
        </w:r>
      </w:hyperlink>
      <w:r>
        <w:t xml:space="preserve">.</w:t>
      </w:r>
    </w:p>
    <w:bookmarkEnd w:id="162"/>
    <w:bookmarkStart w:id="164" w:name="ref-alpila2026essay"/>
    <w:p>
      <w:pPr>
        <w:pStyle w:val="Bibliography"/>
      </w:pPr>
      <w:r>
        <w:t xml:space="preserve">Alpila, Pia. 2026b.</w:t>
      </w:r>
      <w:r>
        <w:t xml:space="preserve"> </w:t>
      </w:r>
      <w:r>
        <w:rPr>
          <w:i/>
          <w:iCs/>
        </w:rPr>
        <w:t xml:space="preserve">Context Selection Has Been a Solved Problem Since 1951</w:t>
      </w:r>
      <w:r>
        <w:t xml:space="preserve">. Zenodo.</w:t>
      </w:r>
      <w:r>
        <w:t xml:space="preserve"> </w:t>
      </w:r>
      <w:hyperlink r:id="rId163">
        <w:r>
          <w:rPr>
            <w:rStyle w:val="Hyperlink"/>
          </w:rPr>
          <w:t xml:space="preserve">https://doi.org/10.5281/zenodo.20800031</w:t>
        </w:r>
      </w:hyperlink>
      <w:r>
        <w:t xml:space="preserve">.</w:t>
      </w:r>
    </w:p>
    <w:bookmarkEnd w:id="164"/>
    <w:bookmarkStart w:id="166" w:name="ref-alpila2026lmrecall"/>
    <w:p>
      <w:pPr>
        <w:pStyle w:val="Bibliography"/>
      </w:pPr>
      <w:r>
        <w:t xml:space="preserve">Alpila, Pia. 2026c.</w:t>
      </w:r>
      <w:r>
        <w:t xml:space="preserve"> </w:t>
      </w:r>
      <w:r>
        <w:rPr>
          <w:i/>
          <w:iCs/>
        </w:rPr>
        <w:t xml:space="preserve">LM Recall</w:t>
      </w:r>
      <w:r>
        <w:rPr>
          <w:i/>
          <w:iCs/>
        </w:rPr>
        <w:t xml:space="preserve">: Code and Data for</w:t>
      </w:r>
      <w:r>
        <w:rPr>
          <w:i/>
          <w:iCs/>
        </w:rPr>
        <w:t xml:space="preserve"> </w:t>
      </w:r>
      <w:r>
        <w:rPr>
          <w:i/>
          <w:iCs/>
        </w:rPr>
        <w:t xml:space="preserve">“Context Selection as Approximate Sufficiency”</w:t>
      </w:r>
      <w:r>
        <w:t xml:space="preserve">. Zenodo.</w:t>
      </w:r>
      <w:r>
        <w:t xml:space="preserve"> </w:t>
      </w:r>
      <w:hyperlink r:id="rId165">
        <w:r>
          <w:rPr>
            <w:rStyle w:val="Hyperlink"/>
          </w:rPr>
          <w:t xml:space="preserve">https://doi.org/10.5281/zenodo.20800209</w:t>
        </w:r>
      </w:hyperlink>
      <w:r>
        <w:t xml:space="preserve">.</w:t>
      </w:r>
    </w:p>
    <w:bookmarkEnd w:id="166"/>
    <w:bookmarkStart w:id="167" w:name="ref-auer2016pareto"/>
    <w:p>
      <w:pPr>
        <w:pStyle w:val="Bibliography"/>
      </w:pPr>
      <w:r>
        <w:t xml:space="preserve">Auer, Peter, Chao-Kai Chiang, Ronald Ortner, and Madalina Drugan. 2016.</w:t>
      </w:r>
      <w:r>
        <w:t xml:space="preserve"> </w:t>
      </w:r>
      <w:r>
        <w:t xml:space="preserve">“Pareto Front Identification from Stochastic Bandit Feedback.”</w:t>
      </w:r>
      <w:r>
        <w:t xml:space="preserve"> </w:t>
      </w:r>
      <w:r>
        <w:rPr>
          <w:i/>
          <w:iCs/>
        </w:rPr>
        <w:t xml:space="preserve">Proceedings of the 19th International Conference on Artificial Intelligence and Statistics (AISTATS)</w:t>
      </w:r>
      <w:r>
        <w:t xml:space="preserve">, PMLR, vol. 51: 939–47.</w:t>
      </w:r>
    </w:p>
    <w:bookmarkEnd w:id="167"/>
    <w:bookmarkStart w:id="169" w:name="ref-bertschinger2014nolattice"/>
    <w:p>
      <w:pPr>
        <w:pStyle w:val="Bibliography"/>
      </w:pPr>
      <w:r>
        <w:t xml:space="preserve">Bertschinger, Nils, and Johannes Rauh. 2014.</w:t>
      </w:r>
      <w:r>
        <w:t xml:space="preserve"> </w:t>
      </w:r>
      <w:r>
        <w:t xml:space="preserve">“The</w:t>
      </w:r>
      <w:r>
        <w:t xml:space="preserve"> </w:t>
      </w:r>
      <w:r>
        <w:t xml:space="preserve">Blackwell</w:t>
      </w:r>
      <w:r>
        <w:t xml:space="preserve"> </w:t>
      </w:r>
      <w:r>
        <w:t xml:space="preserve">Relation Defines No Lattice.”</w:t>
      </w:r>
      <w:r>
        <w:t xml:space="preserve"> </w:t>
      </w:r>
      <w:r>
        <w:rPr>
          <w:i/>
          <w:iCs/>
        </w:rPr>
        <w:t xml:space="preserve">2014 IEEE International Symposium on Information Theory (ISIT)</w:t>
      </w:r>
      <w:r>
        <w:t xml:space="preserve">, 2479–83.</w:t>
      </w:r>
      <w:r>
        <w:t xml:space="preserve"> </w:t>
      </w:r>
      <w:hyperlink r:id="rId168">
        <w:r>
          <w:rPr>
            <w:rStyle w:val="Hyperlink"/>
          </w:rPr>
          <w:t xml:space="preserve">https://doi.org/10.1109/ISIT.2014.6875280</w:t>
        </w:r>
      </w:hyperlink>
      <w:r>
        <w:t xml:space="preserve">.</w:t>
      </w:r>
    </w:p>
    <w:bookmarkEnd w:id="169"/>
    <w:bookmarkStart w:id="171" w:name="ref-blackwell1953"/>
    <w:p>
      <w:pPr>
        <w:pStyle w:val="Bibliography"/>
      </w:pPr>
      <w:r>
        <w:t xml:space="preserve">Blackwell, David. 1953.</w:t>
      </w:r>
      <w:r>
        <w:t xml:space="preserve"> </w:t>
      </w:r>
      <w:r>
        <w:t xml:space="preserve">“Equivalent Comparisons of Experiments.”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24 (2): 265–72.</w:t>
      </w:r>
      <w:r>
        <w:t xml:space="preserve"> </w:t>
      </w:r>
      <w:hyperlink r:id="rId170">
        <w:r>
          <w:rPr>
            <w:rStyle w:val="Hyperlink"/>
          </w:rPr>
          <w:t xml:space="preserve">https://doi.org/10.1214/aoms/1177729032</w:t>
        </w:r>
      </w:hyperlink>
      <w:r>
        <w:t xml:space="preserve">.</w:t>
      </w:r>
    </w:p>
    <w:bookmarkEnd w:id="171"/>
    <w:bookmarkStart w:id="172" w:name="ref-bonferroni1936"/>
    <w:p>
      <w:pPr>
        <w:pStyle w:val="Bibliography"/>
      </w:pPr>
      <w:r>
        <w:t xml:space="preserve">Bonferroni, Carlo Emilio. 1936.</w:t>
      </w:r>
      <w:r>
        <w:t xml:space="preserve"> </w:t>
      </w:r>
      <w:r>
        <w:t xml:space="preserve">“Teoria Statistica Delle Classi e Calcolo Delle Probabilità.”</w:t>
      </w:r>
      <w:r>
        <w:t xml:space="preserve"> </w:t>
      </w:r>
      <w:r>
        <w:rPr>
          <w:i/>
          <w:iCs/>
        </w:rPr>
        <w:t xml:space="preserve">Pubblicazioni Del R. Istituto Superiore Di Scienze Economiche e Commerciali Di Firenze</w:t>
      </w:r>
      <w:r>
        <w:t xml:space="preserve"> </w:t>
      </w:r>
      <w:r>
        <w:t xml:space="preserve">8: 3–62.</w:t>
      </w:r>
    </w:p>
    <w:bookmarkEnd w:id="172"/>
    <w:bookmarkStart w:id="174" w:name="ref-bowyer2025clt"/>
    <w:p>
      <w:pPr>
        <w:pStyle w:val="Bibliography"/>
      </w:pPr>
      <w:r>
        <w:t xml:space="preserve">Bowyer, Sam, Laurence Aitchison, and Desi R. Ivanova. 2025.</w:t>
      </w:r>
      <w:r>
        <w:t xml:space="preserve"> </w:t>
      </w:r>
      <w:r>
        <w:t xml:space="preserve">“Position: Don’t Use the</w:t>
      </w:r>
      <w:r>
        <w:t xml:space="preserve"> </w:t>
      </w:r>
      <w:r>
        <w:t xml:space="preserve">CLT</w:t>
      </w:r>
      <w:r>
        <w:t xml:space="preserve"> </w:t>
      </w:r>
      <w:r>
        <w:t xml:space="preserve">in</w:t>
      </w:r>
      <w:r>
        <w:t xml:space="preserve"> </w:t>
      </w:r>
      <w:r>
        <w:t xml:space="preserve">LLM</w:t>
      </w:r>
      <w:r>
        <w:t xml:space="preserve"> </w:t>
      </w:r>
      <w:r>
        <w:t xml:space="preserve">Evals with Fewer Than a Few Hundred Datapoints.”</w:t>
      </w:r>
      <w:r>
        <w:t xml:space="preserve"> </w:t>
      </w:r>
      <w:r>
        <w:rPr>
          <w:i/>
          <w:iCs/>
        </w:rPr>
        <w:t xml:space="preserve">arXiv Preprint arXiv:2503.01747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https://arxiv.org/abs/2503.01747</w:t>
        </w:r>
      </w:hyperlink>
      <w:r>
        <w:t xml:space="preserve">.</w:t>
      </w:r>
    </w:p>
    <w:bookmarkEnd w:id="174"/>
    <w:bookmarkStart w:id="176" w:name="ref-bradley2024garbling"/>
    <w:p>
      <w:pPr>
        <w:pStyle w:val="Bibliography"/>
      </w:pPr>
      <w:r>
        <w:t xml:space="preserve">Bradley, William F. 2024.</w:t>
      </w:r>
      <w:r>
        <w:t xml:space="preserve"> </w:t>
      </w:r>
      <w:r>
        <w:t xml:space="preserve">“Enhancing</w:t>
      </w:r>
      <w:r>
        <w:t xml:space="preserve"> </w:t>
      </w:r>
      <w:r>
        <w:t xml:space="preserve">LLM</w:t>
      </w:r>
      <w:r>
        <w:t xml:space="preserve"> </w:t>
      </w:r>
      <w:r>
        <w:t xml:space="preserve">Evaluations: The Garbling Trick.”</w:t>
      </w:r>
      <w:r>
        <w:t xml:space="preserve"> </w:t>
      </w:r>
      <w:r>
        <w:rPr>
          <w:i/>
          <w:iCs/>
        </w:rPr>
        <w:t xml:space="preserve">arXiv Preprint arXiv:2411.01533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https://arxiv.org/abs/2411.01533</w:t>
        </w:r>
      </w:hyperlink>
      <w:r>
        <w:t xml:space="preserve">.</w:t>
      </w:r>
    </w:p>
    <w:bookmarkEnd w:id="176"/>
    <w:bookmarkStart w:id="178" w:name="ref-carbonell1998"/>
    <w:p>
      <w:pPr>
        <w:pStyle w:val="Bibliography"/>
      </w:pPr>
      <w:r>
        <w:t xml:space="preserve">Carbonell, Jaime, and Jade Goldstein. 1998.</w:t>
      </w:r>
      <w:r>
        <w:t xml:space="preserve"> </w:t>
      </w:r>
      <w:r>
        <w:t xml:space="preserve">“The Use of</w:t>
      </w:r>
      <w:r>
        <w:t xml:space="preserve"> </w:t>
      </w:r>
      <w:r>
        <w:t xml:space="preserve">MMR</w:t>
      </w:r>
      <w:r>
        <w:t xml:space="preserve">, Diversity-Based Reranking for Reordering Documents and Producing Summaries.”</w:t>
      </w:r>
      <w:r>
        <w:t xml:space="preserve"> </w:t>
      </w:r>
      <w:r>
        <w:rPr>
          <w:i/>
          <w:iCs/>
        </w:rPr>
        <w:t xml:space="preserve">Proceedings of the 21st Annual International ACM SIGIR Conference on Research and Development in Information Retrieval</w:t>
      </w:r>
      <w:r>
        <w:t xml:space="preserve">, 335–36.</w:t>
      </w:r>
      <w:r>
        <w:t xml:space="preserve"> </w:t>
      </w:r>
      <w:hyperlink r:id="rId177">
        <w:r>
          <w:rPr>
            <w:rStyle w:val="Hyperlink"/>
          </w:rPr>
          <w:t xml:space="preserve">https://doi.org/10.1145/290941.291025</w:t>
        </w:r>
      </w:hyperlink>
      <w:r>
        <w:t xml:space="preserve">.</w:t>
      </w:r>
    </w:p>
    <w:bookmarkEnd w:id="178"/>
    <w:bookmarkStart w:id="180" w:name="ref-chakraborty2026conformal"/>
    <w:p>
      <w:pPr>
        <w:pStyle w:val="Bibliography"/>
      </w:pPr>
      <w:r>
        <w:t xml:space="preserve">Chakraborty, Debashish, Eugene Yang, Daniel Khashabi, Dawn Lawrie, and Kevin Duh. 2025.</w:t>
      </w:r>
      <w:r>
        <w:t xml:space="preserve"> </w:t>
      </w:r>
      <w:r>
        <w:t xml:space="preserve">“Principled Context Engineering for</w:t>
      </w:r>
      <w:r>
        <w:t xml:space="preserve"> </w:t>
      </w:r>
      <w:r>
        <w:t xml:space="preserve">RAG</w:t>
      </w:r>
      <w:r>
        <w:t xml:space="preserve">: Statistical Guarantees via Conformal Prediction.”</w:t>
      </w:r>
      <w:r>
        <w:t xml:space="preserve"> </w:t>
      </w:r>
      <w:r>
        <w:rPr>
          <w:i/>
          <w:iCs/>
        </w:rPr>
        <w:t xml:space="preserve">arXiv Preprint arXiv:2511.17908</w:t>
      </w:r>
      <w:r>
        <w:t xml:space="preserve">.</w:t>
      </w:r>
      <w:r>
        <w:t xml:space="preserve"> </w:t>
      </w:r>
      <w:hyperlink r:id="rId179">
        <w:r>
          <w:rPr>
            <w:rStyle w:val="Hyperlink"/>
          </w:rPr>
          <w:t xml:space="preserve">https://arxiv.org/abs/2511.17908</w:t>
        </w:r>
      </w:hyperlink>
      <w:r>
        <w:t xml:space="preserve">.</w:t>
      </w:r>
    </w:p>
    <w:bookmarkEnd w:id="180"/>
    <w:bookmarkStart w:id="182" w:name="ref-conformalip2025"/>
    <w:p>
      <w:pPr>
        <w:pStyle w:val="Bibliography"/>
      </w:pPr>
      <w:r>
        <w:t xml:space="preserve">Chan, Kwan Ho Ryan, Yuyan Ge, Edgar Dobriban, Hamed Hassani, and René Vidal. 2025.</w:t>
      </w:r>
      <w:r>
        <w:t xml:space="preserve"> </w:t>
      </w:r>
      <w:r>
        <w:t xml:space="preserve">“Conformal Information Pursuit for Interactively Guiding Large Language Models.”</w:t>
      </w:r>
      <w:r>
        <w:t xml:space="preserve"> </w:t>
      </w:r>
      <w:r>
        <w:rPr>
          <w:i/>
          <w:iCs/>
        </w:rPr>
        <w:t xml:space="preserve">arXiv Preprint arXiv:2507.03279</w:t>
      </w:r>
      <w:r>
        <w:t xml:space="preserve">.</w:t>
      </w:r>
      <w:r>
        <w:t xml:space="preserve"> </w:t>
      </w:r>
      <w:hyperlink r:id="rId181">
        <w:r>
          <w:rPr>
            <w:rStyle w:val="Hyperlink"/>
          </w:rPr>
          <w:t xml:space="preserve">https://arxiv.org/abs/2507.03279</w:t>
        </w:r>
      </w:hyperlink>
      <w:r>
        <w:t xml:space="preserve">.</w:t>
      </w:r>
    </w:p>
    <w:bookmarkEnd w:id="182"/>
    <w:bookmarkStart w:id="184" w:name="ref-chen2026deepera"/>
    <w:p>
      <w:pPr>
        <w:pStyle w:val="Bibliography"/>
      </w:pPr>
      <w:r>
        <w:t xml:space="preserve">Chen, Haotian, Qingqing Long, Siyu Pu, et al. 2026.</w:t>
      </w:r>
      <w:r>
        <w:t xml:space="preserve"> </w:t>
      </w:r>
      <w:r>
        <w:t xml:space="preserve">“</w:t>
      </w:r>
      <w:r>
        <w:t xml:space="preserve">DeepEra</w:t>
      </w:r>
      <w:r>
        <w:t xml:space="preserve">: A Deep Evidence Reranking Agent for Scientific Retrieval-Augmented Generated Question Answering.”</w:t>
      </w:r>
      <w:r>
        <w:t xml:space="preserve"> </w:t>
      </w:r>
      <w:r>
        <w:rPr>
          <w:i/>
          <w:iCs/>
        </w:rPr>
        <w:t xml:space="preserve">arXiv Preprint arXiv:2601.16478</w:t>
      </w:r>
      <w:r>
        <w:t xml:space="preserve">.</w:t>
      </w:r>
      <w:r>
        <w:t xml:space="preserve"> </w:t>
      </w:r>
      <w:hyperlink r:id="rId183">
        <w:r>
          <w:rPr>
            <w:rStyle w:val="Hyperlink"/>
          </w:rPr>
          <w:t xml:space="preserve">https://arxiv.org/abs/2601.16478</w:t>
        </w:r>
      </w:hyperlink>
      <w:r>
        <w:t xml:space="preserve">.</w:t>
      </w:r>
    </w:p>
    <w:bookmarkEnd w:id="184"/>
    <w:bookmarkStart w:id="186" w:name="ref-bedllm2026"/>
    <w:p>
      <w:pPr>
        <w:pStyle w:val="Bibliography"/>
      </w:pPr>
      <w:r>
        <w:t xml:space="preserve">Choudhury, Deepro, Sinead Williamson, Adam Goliński, et al. 2025.</w:t>
      </w:r>
      <w:r>
        <w:t xml:space="preserve"> </w:t>
      </w:r>
      <w:r>
        <w:t xml:space="preserve">“</w:t>
      </w:r>
      <w:r>
        <w:t xml:space="preserve">BED-LLM</w:t>
      </w:r>
      <w:r>
        <w:t xml:space="preserve">: Intelligent Information Gathering with</w:t>
      </w:r>
      <w:r>
        <w:t xml:space="preserve"> </w:t>
      </w:r>
      <w:r>
        <w:t xml:space="preserve">LLMs</w:t>
      </w:r>
      <w:r>
        <w:t xml:space="preserve"> </w:t>
      </w:r>
      <w:r>
        <w:t xml:space="preserve">and Bayesian Experimental Design.”</w:t>
      </w:r>
      <w:r>
        <w:t xml:space="preserve"> </w:t>
      </w:r>
      <w:r>
        <w:rPr>
          <w:i/>
          <w:iCs/>
        </w:rPr>
        <w:t xml:space="preserve">arXiv Preprint arXiv:2508.21184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https://arxiv.org/abs/2508.21184</w:t>
        </w:r>
      </w:hyperlink>
      <w:r>
        <w:t xml:space="preserve">.</w:t>
      </w:r>
    </w:p>
    <w:bookmarkEnd w:id="186"/>
    <w:bookmarkStart w:id="188" w:name="ref-clopperpearson1934"/>
    <w:p>
      <w:pPr>
        <w:pStyle w:val="Bibliography"/>
      </w:pPr>
      <w:r>
        <w:t xml:space="preserve">Clopper, C. J., and E. S. Pearson. 1934.</w:t>
      </w:r>
      <w:r>
        <w:t xml:space="preserve"> </w:t>
      </w:r>
      <w:r>
        <w:t xml:space="preserve">“The Use of Confidence or Fiducial Limits Illustrated in the Case of the Binomial.”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26 (4): 404–13.</w:t>
      </w:r>
      <w:r>
        <w:t xml:space="preserve"> </w:t>
      </w:r>
      <w:hyperlink r:id="rId187">
        <w:r>
          <w:rPr>
            <w:rStyle w:val="Hyperlink"/>
          </w:rPr>
          <w:t xml:space="preserve">https://doi.org/10.1093/biomet/26.4.404</w:t>
        </w:r>
      </w:hyperlink>
      <w:r>
        <w:t xml:space="preserve">.</w:t>
      </w:r>
    </w:p>
    <w:bookmarkEnd w:id="188"/>
    <w:bookmarkStart w:id="190" w:name="ref-cuconasu2024noise"/>
    <w:p>
      <w:pPr>
        <w:pStyle w:val="Bibliography"/>
      </w:pPr>
      <w:r>
        <w:t xml:space="preserve">Cuconasu, Florin, Giovanni Trappolini, Federico Siciliano, et al. 2024.</w:t>
      </w:r>
      <w:r>
        <w:t xml:space="preserve"> </w:t>
      </w:r>
      <w:r>
        <w:t xml:space="preserve">“The Power of Noise: Redefining Retrieval for</w:t>
      </w:r>
      <w:r>
        <w:t xml:space="preserve"> </w:t>
      </w:r>
      <w:r>
        <w:t xml:space="preserve">RAG</w:t>
      </w:r>
      <w:r>
        <w:t xml:space="preserve"> </w:t>
      </w:r>
      <w:r>
        <w:t xml:space="preserve">Systems.”</w:t>
      </w:r>
      <w:r>
        <w:t xml:space="preserve"> </w:t>
      </w:r>
      <w:r>
        <w:rPr>
          <w:i/>
          <w:iCs/>
        </w:rPr>
        <w:t xml:space="preserve">Proceedings of the 47th International ACM SIGIR Conference on Research and Development in Information Retrieval</w:t>
      </w:r>
      <w:r>
        <w:t xml:space="preserve">.</w:t>
      </w:r>
      <w:r>
        <w:t xml:space="preserve"> </w:t>
      </w:r>
      <w:hyperlink r:id="rId189">
        <w:r>
          <w:rPr>
            <w:rStyle w:val="Hyperlink"/>
          </w:rPr>
          <w:t xml:space="preserve">https://arxiv.org/abs/2401.14887</w:t>
        </w:r>
      </w:hyperlink>
      <w:r>
        <w:t xml:space="preserve">.</w:t>
      </w:r>
    </w:p>
    <w:bookmarkEnd w:id="190"/>
    <w:bookmarkStart w:id="192" w:name="ref-dai2025seper"/>
    <w:p>
      <w:pPr>
        <w:pStyle w:val="Bibliography"/>
      </w:pPr>
      <w:r>
        <w:t xml:space="preserve">Dai, Lu, Yijie Xu, Jinhui Ye, Hao Liu, and Hui Xiong. 2025.</w:t>
      </w:r>
      <w:r>
        <w:t xml:space="preserve"> </w:t>
      </w:r>
      <w:r>
        <w:t xml:space="preserve">“</w:t>
      </w:r>
      <w:r>
        <w:t xml:space="preserve">SePer</w:t>
      </w:r>
      <w:r>
        <w:t xml:space="preserve">: Measure Retrieval Utility Through the Lens of Semantic Perplexity Reduction.”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91">
        <w:r>
          <w:rPr>
            <w:rStyle w:val="Hyperlink"/>
          </w:rPr>
          <w:t xml:space="preserve">https://arxiv.org/abs/2503.01478</w:t>
        </w:r>
      </w:hyperlink>
      <w:r>
        <w:t xml:space="preserve">.</w:t>
      </w:r>
    </w:p>
    <w:bookmarkEnd w:id="192"/>
    <w:bookmarkStart w:id="194" w:name="ref-dong2013lessismore"/>
    <w:p>
      <w:pPr>
        <w:pStyle w:val="Bibliography"/>
      </w:pPr>
      <w:r>
        <w:t xml:space="preserve">Dong, Xin Luna, Barna Saha, and Divesh Srivastava. 2012.</w:t>
      </w:r>
      <w:r>
        <w:t xml:space="preserve"> </w:t>
      </w:r>
      <w:r>
        <w:t xml:space="preserve">“Less Is More: Selecting Sources Wisely for Integration.”</w:t>
      </w:r>
      <w:r>
        <w:t xml:space="preserve"> </w:t>
      </w:r>
      <w:r>
        <w:rPr>
          <w:i/>
          <w:iCs/>
        </w:rPr>
        <w:t xml:space="preserve">Proceedings of the VLDB Endowment</w:t>
      </w:r>
      <w:r>
        <w:t xml:space="preserve"> </w:t>
      </w:r>
      <w:r>
        <w:t xml:space="preserve">6 (2): 37–48.</w:t>
      </w:r>
      <w:r>
        <w:t xml:space="preserve"> </w:t>
      </w:r>
      <w:hyperlink r:id="rId193">
        <w:r>
          <w:rPr>
            <w:rStyle w:val="Hyperlink"/>
          </w:rPr>
          <w:t xml:space="preserve">http://www.vldb.org/pvldb/vol6/p37-dong.pdf</w:t>
        </w:r>
      </w:hyperlink>
      <w:r>
        <w:t xml:space="preserve">.</w:t>
      </w:r>
    </w:p>
    <w:bookmarkEnd w:id="194"/>
    <w:bookmarkStart w:id="196" w:name="ref-contexthurts2025"/>
    <w:p>
      <w:pPr>
        <w:pStyle w:val="Bibliography"/>
      </w:pPr>
      <w:r>
        <w:t xml:space="preserve">Du, Yufeng, Minyang Tian, Srikanth Ronanki, et al. 2025.</w:t>
      </w:r>
      <w:r>
        <w:t xml:space="preserve"> </w:t>
      </w:r>
      <w:r>
        <w:t xml:space="preserve">“Context Length Alone Hurts</w:t>
      </w:r>
      <w:r>
        <w:t xml:space="preserve"> </w:t>
      </w:r>
      <w:r>
        <w:t xml:space="preserve">LLM</w:t>
      </w:r>
      <w:r>
        <w:t xml:space="preserve"> </w:t>
      </w:r>
      <w:r>
        <w:t xml:space="preserve">Performance Despite Perfect Retrieval.”</w:t>
      </w:r>
      <w:r>
        <w:t xml:space="preserve"> </w:t>
      </w:r>
      <w:r>
        <w:rPr>
          <w:i/>
          <w:iCs/>
        </w:rPr>
        <w:t xml:space="preserve">arXiv Preprint arXiv:2510.05381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https://arxiv.org/abs/2510.05381</w:t>
        </w:r>
      </w:hyperlink>
      <w:r>
        <w:t xml:space="preserve">.</w:t>
      </w:r>
    </w:p>
    <w:bookmarkEnd w:id="196"/>
    <w:bookmarkStart w:id="198" w:name="ref-dvoretzky1956"/>
    <w:p>
      <w:pPr>
        <w:pStyle w:val="Bibliography"/>
      </w:pPr>
      <w:r>
        <w:t xml:space="preserve">Dvoretzky, A., J. Kiefer, and J. Wolfowitz. 1956.</w:t>
      </w:r>
      <w:r>
        <w:t xml:space="preserve"> </w:t>
      </w:r>
      <w:r>
        <w:t xml:space="preserve">“Asymptotic Minimax Character of the Sample Distribution Function and of the Classical Multinomial Estimator.”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27 (3): 642–69.</w:t>
      </w:r>
      <w:r>
        <w:t xml:space="preserve"> </w:t>
      </w:r>
      <w:hyperlink r:id="rId197">
        <w:r>
          <w:rPr>
            <w:rStyle w:val="Hyperlink"/>
          </w:rPr>
          <w:t xml:space="preserve">https://doi.org/10.1214/aoms/1177728174</w:t>
        </w:r>
      </w:hyperlink>
      <w:r>
        <w:t xml:space="preserve">.</w:t>
      </w:r>
    </w:p>
    <w:bookmarkEnd w:id="198"/>
    <w:bookmarkStart w:id="199" w:name="ref-ethayarajh2022"/>
    <w:p>
      <w:pPr>
        <w:pStyle w:val="Bibliography"/>
      </w:pPr>
      <w:r>
        <w:t xml:space="preserve">Ethayarajh, Kawin, Yejin Choi, and Swabha Swayamdipta. 2022.</w:t>
      </w:r>
      <w:r>
        <w:t xml:space="preserve"> </w:t>
      </w:r>
      <w:r>
        <w:t xml:space="preserve">“Understanding Dataset Difficulty with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Information.”</w:t>
      </w:r>
      <w:r>
        <w:t xml:space="preserve"> </w:t>
      </w:r>
      <w:r>
        <w:rPr>
          <w:i/>
          <w:iCs/>
        </w:rPr>
        <w:t xml:space="preserve">Proceedings of the 39th International Conference on Machine Learning (ICML)</w:t>
      </w:r>
      <w:r>
        <w:t xml:space="preserve">, PMLR, vol. 162: 5988–6008.</w:t>
      </w:r>
    </w:p>
    <w:bookmarkEnd w:id="199"/>
    <w:bookmarkStart w:id="201" w:name="ref-rank4gen2026"/>
    <w:p>
      <w:pPr>
        <w:pStyle w:val="Bibliography"/>
      </w:pPr>
      <w:r>
        <w:t xml:space="preserve">Fan, Yongqi, Yuxiang Chu, Zhentao Xia, et al. 2026.</w:t>
      </w:r>
      <w:r>
        <w:t xml:space="preserve"> </w:t>
      </w:r>
      <w:r>
        <w:t xml:space="preserve">“</w:t>
      </w:r>
      <w:r>
        <w:t xml:space="preserve">Rank4Gen</w:t>
      </w:r>
      <w:r>
        <w:t xml:space="preserve">:</w:t>
      </w:r>
      <w:r>
        <w:t xml:space="preserve"> </w:t>
      </w:r>
      <w:r>
        <w:t xml:space="preserve">RAG</w:t>
      </w:r>
      <w:r>
        <w:t xml:space="preserve">-Preference-Aligned Document Set Selection and Ranking.”</w:t>
      </w:r>
      <w:r>
        <w:t xml:space="preserve"> </w:t>
      </w:r>
      <w:r>
        <w:rPr>
          <w:i/>
          <w:iCs/>
        </w:rPr>
        <w:t xml:space="preserve">arXiv Preprint arXiv:2601.11273</w:t>
      </w:r>
      <w:r>
        <w:t xml:space="preserve">.</w:t>
      </w:r>
      <w:r>
        <w:t xml:space="preserve"> </w:t>
      </w:r>
      <w:hyperlink r:id="rId200">
        <w:r>
          <w:rPr>
            <w:rStyle w:val="Hyperlink"/>
          </w:rPr>
          <w:t xml:space="preserve">https://arxiv.org/abs/2601.11273</w:t>
        </w:r>
      </w:hyperlink>
      <w:r>
        <w:t xml:space="preserve">.</w:t>
      </w:r>
    </w:p>
    <w:bookmarkEnd w:id="201"/>
    <w:bookmarkStart w:id="203" w:name="ref-fosse2025"/>
    <w:p>
      <w:pPr>
        <w:pStyle w:val="Bibliography"/>
      </w:pPr>
      <w:r>
        <w:t xml:space="preserve">Fosse, Loïc, Frederic Bechet, Benoit Favre, et al. 2025.</w:t>
      </w:r>
      <w:r>
        <w:t xml:space="preserve"> </w:t>
      </w:r>
      <w:r>
        <w:t xml:space="preserve">“Statistical Deficiency for Task Inclusion Estimation.”</w:t>
      </w:r>
      <w:r>
        <w:t xml:space="preserve"> </w:t>
      </w:r>
      <w:r>
        <w:rPr>
          <w:i/>
          <w:iCs/>
        </w:rPr>
        <w:t xml:space="preserve">Proceedings of the 63rd Annual Meeting of the Association for Computational Linguistics (ACL), Volume 1: Long Papers</w:t>
      </w:r>
      <w:r>
        <w:t xml:space="preserve">.</w:t>
      </w:r>
      <w:r>
        <w:t xml:space="preserve"> </w:t>
      </w:r>
      <w:hyperlink r:id="rId202">
        <w:r>
          <w:rPr>
            <w:rStyle w:val="Hyperlink"/>
          </w:rPr>
          <w:t xml:space="preserve">https://arxiv.org/abs/2503.05491</w:t>
        </w:r>
      </w:hyperlink>
      <w:r>
        <w:t xml:space="preserve">.</w:t>
      </w:r>
    </w:p>
    <w:bookmarkEnd w:id="203"/>
    <w:bookmarkStart w:id="205" w:name="ref-frohmann2026orderconsistent"/>
    <w:p>
      <w:pPr>
        <w:pStyle w:val="Bibliography"/>
      </w:pPr>
      <w:r>
        <w:t xml:space="preserve">Frohmann, Markus, Mahdiyar Alavi, Elizabeth Lingg, and Navid Rekabsaz. 2026.</w:t>
      </w:r>
      <w:r>
        <w:t xml:space="preserve"> </w:t>
      </w:r>
      <w:r>
        <w:t xml:space="preserve">“Equal Ranking Quality, Different Decisions: Training Order-Consistent</w:t>
      </w:r>
      <w:r>
        <w:t xml:space="preserve"> </w:t>
      </w:r>
      <w:r>
        <w:t xml:space="preserve">LLM</w:t>
      </w:r>
      <w:r>
        <w:t xml:space="preserve"> </w:t>
      </w:r>
      <w:r>
        <w:t xml:space="preserve">Scorers.”</w:t>
      </w:r>
      <w:r>
        <w:t xml:space="preserve"> </w:t>
      </w:r>
      <w:r>
        <w:rPr>
          <w:i/>
          <w:iCs/>
        </w:rPr>
        <w:t xml:space="preserve">arXiv Preprint arXiv:2608.26762</w:t>
      </w:r>
      <w:r>
        <w:t xml:space="preserve">.</w:t>
      </w:r>
      <w:r>
        <w:t xml:space="preserve"> </w:t>
      </w:r>
      <w:hyperlink r:id="rId204">
        <w:r>
          <w:rPr>
            <w:rStyle w:val="Hyperlink"/>
          </w:rPr>
          <w:t xml:space="preserve">https://arxiv.org/abs/2608.26762</w:t>
        </w:r>
      </w:hyperlink>
      <w:r>
        <w:t xml:space="preserve">.</w:t>
      </w:r>
    </w:p>
    <w:bookmarkEnd w:id="205"/>
    <w:bookmarkStart w:id="207" w:name="ref-fuhr2008"/>
    <w:p>
      <w:pPr>
        <w:pStyle w:val="Bibliography"/>
      </w:pPr>
      <w:r>
        <w:t xml:space="preserve">Fuhr, Norbert. 2008.</w:t>
      </w:r>
      <w:r>
        <w:t xml:space="preserve"> </w:t>
      </w:r>
      <w:r>
        <w:t xml:space="preserve">“A Probability Ranking Principle for Interactive Information Retrieval.”</w:t>
      </w:r>
      <w:r>
        <w:t xml:space="preserve"> </w:t>
      </w:r>
      <w:r>
        <w:rPr>
          <w:i/>
          <w:iCs/>
        </w:rPr>
        <w:t xml:space="preserve">Information Retrieval</w:t>
      </w:r>
      <w:r>
        <w:t xml:space="preserve"> </w:t>
      </w:r>
      <w:r>
        <w:t xml:space="preserve">11 (3): 251–65.</w:t>
      </w:r>
      <w:r>
        <w:t xml:space="preserve"> </w:t>
      </w:r>
      <w:hyperlink r:id="rId206">
        <w:r>
          <w:rPr>
            <w:rStyle w:val="Hyperlink"/>
          </w:rPr>
          <w:t xml:space="preserve">https://doi.org/10.1007/s10791-008-9045-0</w:t>
        </w:r>
      </w:hyperlink>
      <w:r>
        <w:t xml:space="preserve">.</w:t>
      </w:r>
    </w:p>
    <w:bookmarkEnd w:id="207"/>
    <w:bookmarkStart w:id="209" w:name="ref-gao2024modelequality"/>
    <w:p>
      <w:pPr>
        <w:pStyle w:val="Bibliography"/>
      </w:pPr>
      <w:r>
        <w:t xml:space="preserve">Gao, Irena, Percy Liang, and Carlos Guestrin. 2025.</w:t>
      </w:r>
      <w:r>
        <w:t xml:space="preserve"> </w:t>
      </w:r>
      <w:r>
        <w:t xml:space="preserve">“Model Equality Testing: Which Model Is This</w:t>
      </w:r>
      <w:r>
        <w:t xml:space="preserve"> </w:t>
      </w:r>
      <w:r>
        <w:t xml:space="preserve">API</w:t>
      </w:r>
      <w:r>
        <w:t xml:space="preserve"> </w:t>
      </w:r>
      <w:r>
        <w:t xml:space="preserve">Serving?”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208">
        <w:r>
          <w:rPr>
            <w:rStyle w:val="Hyperlink"/>
          </w:rPr>
          <w:t xml:space="preserve">https://arxiv.org/abs/2410.20247</w:t>
        </w:r>
      </w:hyperlink>
      <w:r>
        <w:t xml:space="preserve">.</w:t>
      </w:r>
    </w:p>
    <w:bookmarkEnd w:id="209"/>
    <w:bookmarkStart w:id="211" w:name="ref-pacms2026"/>
    <w:p>
      <w:pPr>
        <w:pStyle w:val="Bibliography"/>
      </w:pPr>
      <w:r>
        <w:t xml:space="preserve">Ghulyani, Manu, Arunabh Singh, Karan Bharadwaj, Ankit Nath, and Suranjan Goswami. 2026.</w:t>
      </w:r>
      <w:r>
        <w:t xml:space="preserve"> </w:t>
      </w:r>
      <w:r>
        <w:t xml:space="preserve">“</w:t>
      </w:r>
      <w:r>
        <w:t xml:space="preserve">PACMS</w:t>
      </w:r>
      <w:r>
        <w:t xml:space="preserve">: Submodular Context Selection as a Pluggable Engine for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rPr>
          <w:i/>
          <w:iCs/>
        </w:rPr>
        <w:t xml:space="preserve">arXiv Preprint arXiv:2606.20047</w:t>
      </w:r>
      <w:r>
        <w:t xml:space="preserve">.</w:t>
      </w:r>
      <w:r>
        <w:t xml:space="preserve"> </w:t>
      </w:r>
      <w:hyperlink r:id="rId210">
        <w:r>
          <w:rPr>
            <w:rStyle w:val="Hyperlink"/>
          </w:rPr>
          <w:t xml:space="preserve">https://arxiv.org/abs/2606.20047</w:t>
        </w:r>
      </w:hyperlink>
      <w:r>
        <w:t xml:space="preserve">.</w:t>
      </w:r>
    </w:p>
    <w:bookmarkEnd w:id="211"/>
    <w:bookmarkStart w:id="213" w:name="ref-giannetti2026interference"/>
    <w:p>
      <w:pPr>
        <w:pStyle w:val="Bibliography"/>
      </w:pPr>
      <w:r>
        <w:t xml:space="preserve">Giannetti, Christian, Giovanni Trappolini, Nicola Tonellotto, Fabrizio Silvestri, and Pietro Liò. 2026.</w:t>
      </w:r>
      <w:r>
        <w:t xml:space="preserve"> </w:t>
      </w:r>
      <w:r>
        <w:t xml:space="preserve">“The Mechanics of Interference: Defusing Distractors in</w:t>
      </w:r>
      <w:r>
        <w:t xml:space="preserve"> </w:t>
      </w:r>
      <w:r>
        <w:t xml:space="preserve">RAG</w:t>
      </w:r>
      <w:r>
        <w:t xml:space="preserve"> </w:t>
      </w:r>
      <w:r>
        <w:t xml:space="preserve">via Sparse Autoencoder Interventions.”</w:t>
      </w:r>
      <w:r>
        <w:t xml:space="preserve"> </w:t>
      </w:r>
      <w:r>
        <w:rPr>
          <w:i/>
          <w:iCs/>
        </w:rPr>
        <w:t xml:space="preserve">Findings of the Association for Computational Linguistics: ACL 2026</w:t>
      </w:r>
      <w:r>
        <w:t xml:space="preserve">.</w:t>
      </w:r>
      <w:r>
        <w:t xml:space="preserve"> </w:t>
      </w:r>
      <w:hyperlink r:id="rId212">
        <w:r>
          <w:rPr>
            <w:rStyle w:val="Hyperlink"/>
          </w:rPr>
          <w:t xml:space="preserve">https://aclanthology.org/2026.findings-acl.583/</w:t>
        </w:r>
      </w:hyperlink>
      <w:r>
        <w:t xml:space="preserve">.</w:t>
      </w:r>
    </w:p>
    <w:bookmarkEnd w:id="213"/>
    <w:bookmarkStart w:id="215" w:name="ref-hagstrom2025druid"/>
    <w:p>
      <w:pPr>
        <w:pStyle w:val="Bibliography"/>
      </w:pPr>
      <w:r>
        <w:t xml:space="preserve">Hagström, Lovisa, Sara Vera Marjanović, Haeun Yu, et al. 2025.</w:t>
      </w:r>
      <w:r>
        <w:t xml:space="preserve"> </w:t>
      </w:r>
      <w:r>
        <w:t xml:space="preserve">“A Reality Check on Context Utilisation for Retrieval-Augmented Generation.”</w:t>
      </w:r>
      <w:r>
        <w:t xml:space="preserve"> </w:t>
      </w:r>
      <w:r>
        <w:rPr>
          <w:i/>
          <w:iCs/>
        </w:rPr>
        <w:t xml:space="preserve">Proceedings of the 63rd Annual Meeting of the Association for Computational Linguistics (ACL)</w:t>
      </w:r>
      <w:r>
        <w:t xml:space="preserve">.</w:t>
      </w:r>
      <w:r>
        <w:t xml:space="preserve"> </w:t>
      </w:r>
      <w:hyperlink r:id="rId214">
        <w:r>
          <w:rPr>
            <w:rStyle w:val="Hyperlink"/>
          </w:rPr>
          <w:t xml:space="preserve">https://arxiv.org/abs/2412.17031</w:t>
        </w:r>
      </w:hyperlink>
      <w:r>
        <w:t xml:space="preserve">.</w:t>
      </w:r>
    </w:p>
    <w:bookmarkEnd w:id="215"/>
    <w:bookmarkStart w:id="217" w:name="ref-hagstrom2025lexical"/>
    <w:p>
      <w:pPr>
        <w:pStyle w:val="Bibliography"/>
      </w:pPr>
      <w:r>
        <w:t xml:space="preserve">Hagström, Lovisa, Ercong Nie, Ruben Halifa, Helmut Schmid, Richard Johansson, and Alexander Junge. 2025.</w:t>
      </w:r>
      <w:r>
        <w:t xml:space="preserve"> </w:t>
      </w:r>
      <w:r>
        <w:t xml:space="preserve">“Language Model Re-Rankers Are Fooled by Lexical Similarities.”</w:t>
      </w:r>
      <w:r>
        <w:t xml:space="preserve"> </w:t>
      </w:r>
      <w:r>
        <w:rPr>
          <w:i/>
          <w:iCs/>
        </w:rPr>
        <w:t xml:space="preserve">Proceedings of the Eighth Fact Extraction and VERification Workshop (FEVER)</w:t>
      </w:r>
      <w:r>
        <w:t xml:space="preserve"> </w:t>
      </w:r>
      <w:r>
        <w:t xml:space="preserve">(Vienna, Austria), 18–33.</w:t>
      </w:r>
      <w:r>
        <w:t xml:space="preserve"> </w:t>
      </w:r>
      <w:hyperlink r:id="rId216">
        <w:r>
          <w:rPr>
            <w:rStyle w:val="Hyperlink"/>
          </w:rPr>
          <w:t xml:space="preserve">https://aclanthology.org/2025.fever-1.2/</w:t>
        </w:r>
      </w:hyperlink>
      <w:r>
        <w:t xml:space="preserve">.</w:t>
      </w:r>
    </w:p>
    <w:bookmarkEnd w:id="217"/>
    <w:bookmarkStart w:id="219" w:name="ref-halevy2023learnings"/>
    <w:p>
      <w:pPr>
        <w:pStyle w:val="Bibliography"/>
      </w:pPr>
      <w:r>
        <w:t xml:space="preserve">Halevy, Alon, and Jane Dwivedi-Yu. 2023.</w:t>
      </w:r>
      <w:r>
        <w:t xml:space="preserve"> </w:t>
      </w:r>
      <w:r>
        <w:t xml:space="preserve">“Learnings from Data Integration for Augmented Language Models.”</w:t>
      </w:r>
      <w:r>
        <w:t xml:space="preserve"> </w:t>
      </w:r>
      <w:r>
        <w:rPr>
          <w:i/>
          <w:iCs/>
        </w:rPr>
        <w:t xml:space="preserve">arXiv Preprint arXiv:2304.04576</w:t>
      </w:r>
      <w:r>
        <w:t xml:space="preserve">.</w:t>
      </w:r>
      <w:r>
        <w:t xml:space="preserve"> </w:t>
      </w:r>
      <w:hyperlink r:id="rId218">
        <w:r>
          <w:rPr>
            <w:rStyle w:val="Hyperlink"/>
          </w:rPr>
          <w:t xml:space="preserve">https://arxiv.org/abs/2304.04576</w:t>
        </w:r>
      </w:hyperlink>
      <w:r>
        <w:t xml:space="preserve">.</w:t>
      </w:r>
    </w:p>
    <w:bookmarkEnd w:id="219"/>
    <w:bookmarkStart w:id="221" w:name="ref-hong2025contextrot"/>
    <w:p>
      <w:pPr>
        <w:pStyle w:val="Bibliography"/>
      </w:pPr>
      <w:r>
        <w:t xml:space="preserve">Hong, Kelly, Anton Troynikov, and Jeff Huber. 2025.</w:t>
      </w:r>
      <w:r>
        <w:t xml:space="preserve"> </w:t>
      </w:r>
      <w:r>
        <w:rPr>
          <w:i/>
          <w:iCs/>
        </w:rPr>
        <w:t xml:space="preserve">Context Rot: How Increasing Input Tokens Impacts</w:t>
      </w:r>
      <w:r>
        <w:rPr>
          <w:i/>
          <w:iCs/>
        </w:rPr>
        <w:t xml:space="preserve"> </w:t>
      </w:r>
      <w:r>
        <w:rPr>
          <w:i/>
          <w:iCs/>
        </w:rPr>
        <w:t xml:space="preserve">LLM</w:t>
      </w:r>
      <w:r>
        <w:rPr>
          <w:i/>
          <w:iCs/>
        </w:rPr>
        <w:t xml:space="preserve"> </w:t>
      </w:r>
      <w:r>
        <w:rPr>
          <w:i/>
          <w:iCs/>
        </w:rPr>
        <w:t xml:space="preserve">Performance</w:t>
      </w:r>
      <w:r>
        <w:t xml:space="preserve">. Technical Report. Chroma.</w:t>
      </w:r>
      <w:r>
        <w:t xml:space="preserve"> </w:t>
      </w:r>
      <w:hyperlink r:id="rId220">
        <w:r>
          <w:rPr>
            <w:rStyle w:val="Hyperlink"/>
          </w:rPr>
          <w:t xml:space="preserve">https://www.trychroma.com/research/context-rot</w:t>
        </w:r>
      </w:hyperlink>
      <w:r>
        <w:t xml:space="preserve">.</w:t>
      </w:r>
    </w:p>
    <w:bookmarkEnd w:id="221"/>
    <w:bookmarkStart w:id="223" w:name="ref-huang2025gammacover"/>
    <w:p>
      <w:pPr>
        <w:pStyle w:val="Bibliography"/>
      </w:pPr>
      <w:r>
        <w:t xml:space="preserve">Huang, Hai. 2025.</w:t>
      </w:r>
      <w:r>
        <w:t xml:space="preserve"> </w:t>
      </w:r>
      <w:r>
        <w:t xml:space="preserve">“Directed Information</w:t>
      </w:r>
      <w:r>
        <w:t xml:space="preserve"> </w:t>
      </w:r>
      <m:oMath>
        <m:r>
          <m:t>γ</m:t>
        </m:r>
      </m:oMath>
      <w:r>
        <w:t xml:space="preserve">-Covering: An Information-Theoretic Framework for Context Engineering.”</w:t>
      </w:r>
      <w:r>
        <w:t xml:space="preserve"> </w:t>
      </w:r>
      <w:r>
        <w:rPr>
          <w:i/>
          <w:iCs/>
        </w:rPr>
        <w:t xml:space="preserve">arXiv Preprint arXiv:2510.00079</w:t>
      </w:r>
      <w:r>
        <w:t xml:space="preserve">.</w:t>
      </w:r>
      <w:r>
        <w:t xml:space="preserve"> </w:t>
      </w:r>
      <w:hyperlink r:id="rId222">
        <w:r>
          <w:rPr>
            <w:rStyle w:val="Hyperlink"/>
          </w:rPr>
          <w:t xml:space="preserve">https://arxiv.org/abs/2510.00079</w:t>
        </w:r>
      </w:hyperlink>
      <w:r>
        <w:t xml:space="preserve">.</w:t>
      </w:r>
    </w:p>
    <w:bookmarkEnd w:id="223"/>
    <w:bookmarkStart w:id="225" w:name="ref-jain2025contextualutility"/>
    <w:p>
      <w:pPr>
        <w:pStyle w:val="Bibliography"/>
      </w:pPr>
      <w:r>
        <w:t xml:space="preserve">Jain, Akriti, and Aparna Garimella. 2025.</w:t>
      </w:r>
      <w:r>
        <w:t xml:space="preserve"> </w:t>
      </w:r>
      <w:r>
        <w:t xml:space="preserve">“Modeling Contextual Passage Utility for Multihop Question Answering.”</w:t>
      </w:r>
      <w:r>
        <w:t xml:space="preserve"> </w:t>
      </w:r>
      <w:r>
        <w:rPr>
          <w:i/>
          <w:iCs/>
        </w:rPr>
        <w:t xml:space="preserve">Proceedings of IJCNLP-AACL 2025</w:t>
      </w:r>
      <w:r>
        <w:t xml:space="preserve">.</w:t>
      </w:r>
      <w:r>
        <w:t xml:space="preserve"> </w:t>
      </w:r>
      <w:hyperlink r:id="rId224">
        <w:r>
          <w:rPr>
            <w:rStyle w:val="Hyperlink"/>
          </w:rPr>
          <w:t xml:space="preserve">https://arxiv.org/abs/2512.06464</w:t>
        </w:r>
      </w:hyperlink>
      <w:r>
        <w:t xml:space="preserve">.</w:t>
      </w:r>
    </w:p>
    <w:bookmarkEnd w:id="225"/>
    <w:bookmarkStart w:id="227" w:name="ref-optiset2026"/>
    <w:p>
      <w:pPr>
        <w:pStyle w:val="Bibliography"/>
      </w:pPr>
      <w:r>
        <w:t xml:space="preserve">Jiang, Yi, Sendong Zhao, Jianbo Li, et al. 2026.</w:t>
      </w:r>
      <w:r>
        <w:t xml:space="preserve"> </w:t>
      </w:r>
      <w:r>
        <w:t xml:space="preserve">“</w:t>
      </w:r>
      <w:r>
        <w:t xml:space="preserve">OptiSet</w:t>
      </w:r>
      <w:r>
        <w:t xml:space="preserve">: Unified Optimizing Set Selection and Ranking for Retrieval-Augmented Generation.”</w:t>
      </w:r>
      <w:r>
        <w:t xml:space="preserve"> </w:t>
      </w:r>
      <w:r>
        <w:rPr>
          <w:i/>
          <w:iCs/>
        </w:rPr>
        <w:t xml:space="preserve">arXiv Preprint arXiv:2601.05027</w:t>
      </w:r>
      <w:r>
        <w:t xml:space="preserve">.</w:t>
      </w:r>
      <w:r>
        <w:t xml:space="preserve"> </w:t>
      </w:r>
      <w:hyperlink r:id="rId226">
        <w:r>
          <w:rPr>
            <w:rStyle w:val="Hyperlink"/>
          </w:rPr>
          <w:t xml:space="preserve">https://arxiv.org/abs/2601.05027</w:t>
        </w:r>
      </w:hyperlink>
      <w:r>
        <w:t xml:space="preserve">.</w:t>
      </w:r>
    </w:p>
    <w:bookmarkEnd w:id="227"/>
    <w:bookmarkStart w:id="229" w:name="ref-jin2024longrag"/>
    <w:p>
      <w:pPr>
        <w:pStyle w:val="Bibliography"/>
      </w:pPr>
      <w:r>
        <w:t xml:space="preserve">Jin, Bowen, Jinsung Yoon, Jiawei Han, and Sercan O. Arik. 2024.</w:t>
      </w:r>
      <w:r>
        <w:t xml:space="preserve"> </w:t>
      </w:r>
      <w:r>
        <w:t xml:space="preserve">“Long-Context</w:t>
      </w:r>
      <w:r>
        <w:t xml:space="preserve"> </w:t>
      </w:r>
      <w:r>
        <w:t xml:space="preserve">LLMs</w:t>
      </w:r>
      <w:r>
        <w:t xml:space="preserve"> </w:t>
      </w:r>
      <w:r>
        <w:t xml:space="preserve">Meet</w:t>
      </w:r>
      <w:r>
        <w:t xml:space="preserve"> </w:t>
      </w:r>
      <w:r>
        <w:t xml:space="preserve">RAG</w:t>
      </w:r>
      <w:r>
        <w:t xml:space="preserve">: Overcoming Challenges for Long Inputs in</w:t>
      </w:r>
      <w:r>
        <w:t xml:space="preserve"> </w:t>
      </w:r>
      <w:r>
        <w:t xml:space="preserve">RAG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arXiv:2410.05983</w:t>
      </w:r>
      <w:r>
        <w:t xml:space="preserve">.</w:t>
      </w:r>
      <w:r>
        <w:t xml:space="preserve"> </w:t>
      </w:r>
      <w:hyperlink r:id="rId228">
        <w:r>
          <w:rPr>
            <w:rStyle w:val="Hyperlink"/>
          </w:rPr>
          <w:t xml:space="preserve">https://arxiv.org/abs/2410.05983</w:t>
        </w:r>
      </w:hyperlink>
      <w:r>
        <w:t xml:space="preserve">.</w:t>
      </w:r>
    </w:p>
    <w:bookmarkEnd w:id="229"/>
    <w:bookmarkStart w:id="231" w:name="ref-sufficientcontext2024"/>
    <w:p>
      <w:pPr>
        <w:pStyle w:val="Bibliography"/>
      </w:pPr>
      <w:r>
        <w:t xml:space="preserve">Joren, Hailey, Jianyi Zhang, Chun-Sung Ferng, Da-Cheng Juan, Ankur Taly, and Cyrus Rashtchian. 2024.</w:t>
      </w:r>
      <w:r>
        <w:t xml:space="preserve"> </w:t>
      </w:r>
      <w:r>
        <w:t xml:space="preserve">“Sufficient Context: A New Lens on Retrieval Augmented Generation Systems.”</w:t>
      </w:r>
      <w:r>
        <w:t xml:space="preserve"> </w:t>
      </w:r>
      <w:r>
        <w:rPr>
          <w:i/>
          <w:iCs/>
        </w:rPr>
        <w:t xml:space="preserve">arXiv Preprint arXiv:2411.06037</w:t>
      </w:r>
      <w:r>
        <w:t xml:space="preserve">.</w:t>
      </w:r>
      <w:r>
        <w:t xml:space="preserve"> </w:t>
      </w:r>
      <w:hyperlink r:id="rId230">
        <w:r>
          <w:rPr>
            <w:rStyle w:val="Hyperlink"/>
          </w:rPr>
          <w:t xml:space="preserve">https://arxiv.org/abs/2411.06037</w:t>
        </w:r>
      </w:hyperlink>
      <w:r>
        <w:t xml:space="preserve">.</w:t>
      </w:r>
    </w:p>
    <w:bookmarkEnd w:id="231"/>
    <w:bookmarkStart w:id="233" w:name="ref-khan2025blackwell"/>
    <w:p>
      <w:pPr>
        <w:pStyle w:val="Bibliography"/>
      </w:pPr>
      <w:r>
        <w:t xml:space="preserve">Khan, M. Ali, Haomiao Yu, and Zhixiang Zhang. 2025.</w:t>
      </w:r>
      <w:r>
        <w:t xml:space="preserve"> </w:t>
      </w:r>
      <w:r>
        <w:t xml:space="preserve">“A Simple Proof of</w:t>
      </w:r>
      <w:r>
        <w:t xml:space="preserve"> </w:t>
      </w:r>
      <w:r>
        <w:t xml:space="preserve">Blackwell</w:t>
      </w:r>
      <w:r>
        <w:t xml:space="preserve">’s Theorem on the Comparison of Experiments for a General State Space.”</w:t>
      </w:r>
      <w:r>
        <w:t xml:space="preserve"> </w:t>
      </w:r>
      <w:r>
        <w:rPr>
          <w:i/>
          <w:iCs/>
        </w:rPr>
        <w:t xml:space="preserve">Economics Letters</w:t>
      </w:r>
      <w:r>
        <w:t xml:space="preserve"> </w:t>
      </w:r>
      <w:r>
        <w:t xml:space="preserve">247: 112146.</w:t>
      </w:r>
      <w:r>
        <w:t xml:space="preserve"> </w:t>
      </w:r>
      <w:hyperlink r:id="rId232">
        <w:r>
          <w:rPr>
            <w:rStyle w:val="Hyperlink"/>
          </w:rPr>
          <w:t xml:space="preserve">https://doi.org/10.1016/j.econlet.2024.112146</w:t>
        </w:r>
      </w:hyperlink>
      <w:r>
        <w:t xml:space="preserve">.</w:t>
      </w:r>
    </w:p>
    <w:bookmarkEnd w:id="233"/>
    <w:bookmarkStart w:id="235" w:name="ref-lecam1964"/>
    <w:p>
      <w:pPr>
        <w:pStyle w:val="Bibliography"/>
      </w:pPr>
      <w:r>
        <w:t xml:space="preserve">Le Cam, Lucien. 1964.</w:t>
      </w:r>
      <w:r>
        <w:t xml:space="preserve"> </w:t>
      </w:r>
      <w:r>
        <w:t xml:space="preserve">“Sufficiency and Approximate Sufficiency.”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35 (4): 1419–55.</w:t>
      </w:r>
      <w:r>
        <w:t xml:space="preserve"> </w:t>
      </w:r>
      <w:hyperlink r:id="rId234">
        <w:r>
          <w:rPr>
            <w:rStyle w:val="Hyperlink"/>
          </w:rPr>
          <w:t xml:space="preserve">https://doi.org/10.1214/aoms/1177700372</w:t>
        </w:r>
      </w:hyperlink>
      <w:r>
        <w:t xml:space="preserve">.</w:t>
      </w:r>
    </w:p>
    <w:bookmarkEnd w:id="235"/>
    <w:bookmarkStart w:id="237" w:name="ref-lecam1986"/>
    <w:p>
      <w:pPr>
        <w:pStyle w:val="Bibliography"/>
      </w:pPr>
      <w:r>
        <w:t xml:space="preserve">Le Cam, Lucien. 1986.</w:t>
      </w:r>
      <w:r>
        <w:t xml:space="preserve"> </w:t>
      </w:r>
      <w:r>
        <w:rPr>
          <w:i/>
          <w:iCs/>
        </w:rPr>
        <w:t xml:space="preserve">Asymptotic Methods in Statistical Decision Theory</w:t>
      </w:r>
      <w:r>
        <w:t xml:space="preserve">. Springer Series in Statistics. Springer.</w:t>
      </w:r>
      <w:r>
        <w:t xml:space="preserve"> </w:t>
      </w:r>
      <w:hyperlink r:id="rId236">
        <w:r>
          <w:rPr>
            <w:rStyle w:val="Hyperlink"/>
          </w:rPr>
          <w:t xml:space="preserve">https://doi.org/10.1007/978-1-4612-4946-7</w:t>
        </w:r>
      </w:hyperlink>
      <w:r>
        <w:t xml:space="preserve">.</w:t>
      </w:r>
    </w:p>
    <w:bookmarkEnd w:id="237"/>
    <w:bookmarkStart w:id="239" w:name="ref-relevanceutility2025"/>
    <w:p>
      <w:pPr>
        <w:pStyle w:val="Bibliography"/>
      </w:pPr>
      <w:r>
        <w:t xml:space="preserve">LeVine, Will, and Bijan Varjavand. 2025.</w:t>
      </w:r>
      <w:r>
        <w:t xml:space="preserve"> </w:t>
      </w:r>
      <w:r>
        <w:t xml:space="preserve">“Relevance Isn’t All You Need: Scaling</w:t>
      </w:r>
      <w:r>
        <w:t xml:space="preserve"> </w:t>
      </w:r>
      <w:r>
        <w:t xml:space="preserve">RAG</w:t>
      </w:r>
      <w:r>
        <w:t xml:space="preserve"> </w:t>
      </w:r>
      <w:r>
        <w:t xml:space="preserve">Systems with Inference-Time Compute via Multi-Criteria Reranking.”</w:t>
      </w:r>
      <w:r>
        <w:t xml:space="preserve"> </w:t>
      </w:r>
      <w:r>
        <w:rPr>
          <w:i/>
          <w:iCs/>
        </w:rPr>
        <w:t xml:space="preserve">arXiv Preprint arXiv:2504.07104</w:t>
      </w:r>
      <w:r>
        <w:t xml:space="preserve">.</w:t>
      </w:r>
      <w:r>
        <w:t xml:space="preserve"> </w:t>
      </w:r>
      <w:hyperlink r:id="rId238">
        <w:r>
          <w:rPr>
            <w:rStyle w:val="Hyperlink"/>
          </w:rPr>
          <w:t xml:space="preserve">https://arxiv.org/abs/2504.07104</w:t>
        </w:r>
      </w:hyperlink>
      <w:r>
        <w:t xml:space="preserve">.</w:t>
      </w:r>
    </w:p>
    <w:bookmarkEnd w:id="239"/>
    <w:bookmarkStart w:id="241" w:name="ref-levy2025moredocs"/>
    <w:p>
      <w:pPr>
        <w:pStyle w:val="Bibliography"/>
      </w:pPr>
      <w:r>
        <w:t xml:space="preserve">Levy, Shahar, Nir Mazor, Lihi Shalmon, Michael Hassid, and Gabriel Stanovsky. 2025.</w:t>
      </w:r>
      <w:r>
        <w:t xml:space="preserve"> </w:t>
      </w:r>
      <w:r>
        <w:t xml:space="preserve">“More Documents, Same Length: Isolating the Challenge of Multiple Documents in</w:t>
      </w:r>
      <w:r>
        <w:t xml:space="preserve"> </w:t>
      </w:r>
      <w:r>
        <w:t xml:space="preserve">RAG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arXiv:2503.04388</w:t>
      </w:r>
      <w:r>
        <w:t xml:space="preserve">.</w:t>
      </w:r>
      <w:r>
        <w:t xml:space="preserve"> </w:t>
      </w:r>
      <w:hyperlink r:id="rId240">
        <w:r>
          <w:rPr>
            <w:rStyle w:val="Hyperlink"/>
          </w:rPr>
          <w:t xml:space="preserve">https://arxiv.org/abs/2503.04388</w:t>
        </w:r>
      </w:hyperlink>
      <w:r>
        <w:t xml:space="preserve">.</w:t>
      </w:r>
    </w:p>
    <w:bookmarkEnd w:id="241"/>
    <w:bookmarkStart w:id="243" w:name="ref-longcontextdegrade2026"/>
    <w:p>
      <w:pPr>
        <w:pStyle w:val="Bibliography"/>
      </w:pPr>
      <w:r>
        <w:t xml:space="preserve">Liu, Ming. 2026.</w:t>
      </w:r>
      <w:r>
        <w:t xml:space="preserve"> </w:t>
      </w:r>
      <w:r>
        <w:t xml:space="preserve">“More Is Not Always Better: Cross-Component Interference in</w:t>
      </w:r>
      <w:r>
        <w:t xml:space="preserve"> </w:t>
      </w:r>
      <w:r>
        <w:t xml:space="preserve">LLM</w:t>
      </w:r>
      <w:r>
        <w:t xml:space="preserve"> </w:t>
      </w:r>
      <w:r>
        <w:t xml:space="preserve">Agent Scaffolding.”</w:t>
      </w:r>
      <w:r>
        <w:t xml:space="preserve"> </w:t>
      </w:r>
      <w:r>
        <w:rPr>
          <w:i/>
          <w:iCs/>
        </w:rPr>
        <w:t xml:space="preserve">arXiv Preprint arXiv:2605.05716</w:t>
      </w:r>
      <w:r>
        <w:t xml:space="preserve">.</w:t>
      </w:r>
      <w:r>
        <w:t xml:space="preserve"> </w:t>
      </w:r>
      <w:hyperlink r:id="rId242">
        <w:r>
          <w:rPr>
            <w:rStyle w:val="Hyperlink"/>
          </w:rPr>
          <w:t xml:space="preserve">https://arxiv.org/abs/2605.05716</w:t>
        </w:r>
      </w:hyperlink>
      <w:r>
        <w:t xml:space="preserve">.</w:t>
      </w:r>
    </w:p>
    <w:bookmarkEnd w:id="243"/>
    <w:bookmarkStart w:id="245" w:name="ref-liu2024lost"/>
    <w:p>
      <w:pPr>
        <w:pStyle w:val="Bibliography"/>
      </w:pPr>
      <w:r>
        <w:t xml:space="preserve">Liu, Nelson F., Kevin Lin, John Hewitt, et al. 2024.</w:t>
      </w:r>
      <w:r>
        <w:t xml:space="preserve"> </w:t>
      </w:r>
      <w:r>
        <w:t xml:space="preserve">“Lost in the Middle: How Language Models Use Long Contexts.”</w:t>
      </w:r>
      <w:r>
        <w:t xml:space="preserve"> </w:t>
      </w:r>
      <w:r>
        <w:rPr>
          <w:i/>
          <w:iCs/>
        </w:rPr>
        <w:t xml:space="preserve">Transactions of the Association for Computational Linguistics</w:t>
      </w:r>
      <w:r>
        <w:t xml:space="preserve"> </w:t>
      </w:r>
      <w:r>
        <w:t xml:space="preserve">12: 157–73.</w:t>
      </w:r>
      <w:r>
        <w:t xml:space="preserve"> </w:t>
      </w:r>
      <w:hyperlink r:id="rId244">
        <w:r>
          <w:rPr>
            <w:rStyle w:val="Hyperlink"/>
          </w:rPr>
          <w:t xml:space="preserve">https://arxiv.org/abs/2307.03172</w:t>
        </w:r>
      </w:hyperlink>
      <w:r>
        <w:t xml:space="preserve">.</w:t>
      </w:r>
    </w:p>
    <w:bookmarkEnd w:id="245"/>
    <w:bookmarkStart w:id="247" w:name="ref-miller2024errorbars"/>
    <w:p>
      <w:pPr>
        <w:pStyle w:val="Bibliography"/>
      </w:pPr>
      <w:r>
        <w:t xml:space="preserve">Miller, Evan. 2024.</w:t>
      </w:r>
      <w:r>
        <w:t xml:space="preserve"> </w:t>
      </w:r>
      <w:r>
        <w:t xml:space="preserve">“Adding Error Bars to Evals: A Statistical Approach to Language Model Evaluations.”</w:t>
      </w:r>
      <w:r>
        <w:t xml:space="preserve"> </w:t>
      </w:r>
      <w:r>
        <w:rPr>
          <w:i/>
          <w:iCs/>
        </w:rPr>
        <w:t xml:space="preserve">arXiv Preprint arXiv:2411.00640</w:t>
      </w:r>
      <w:r>
        <w:t xml:space="preserve">.</w:t>
      </w:r>
      <w:r>
        <w:t xml:space="preserve"> </w:t>
      </w:r>
      <w:hyperlink r:id="rId246">
        <w:r>
          <w:rPr>
            <w:rStyle w:val="Hyperlink"/>
          </w:rPr>
          <w:t xml:space="preserve">https://arxiv.org/abs/2411.00640</w:t>
        </w:r>
      </w:hyperlink>
      <w:r>
        <w:t xml:space="preserve">.</w:t>
      </w:r>
    </w:p>
    <w:bookmarkEnd w:id="247"/>
    <w:bookmarkStart w:id="249" w:name="ref-nematov2025shapley"/>
    <w:p>
      <w:pPr>
        <w:pStyle w:val="Bibliography"/>
      </w:pPr>
      <w:r>
        <w:t xml:space="preserve">Nematov, Ikhtiyor, Tarik Kalai, Elizaveta Kuzmenko, et al. 2025.</w:t>
      </w:r>
      <w:r>
        <w:t xml:space="preserve"> </w:t>
      </w:r>
      <w:r>
        <w:t xml:space="preserve">“Source Attribution in Retrieval-Augmented Generation.”</w:t>
      </w:r>
      <w:r>
        <w:t xml:space="preserve"> </w:t>
      </w:r>
      <w:r>
        <w:rPr>
          <w:i/>
          <w:iCs/>
        </w:rPr>
        <w:t xml:space="preserve">Machine Learning and Knowledge Discovery in Databases (ECML PKDD 2025)</w:t>
      </w:r>
      <w:r>
        <w:t xml:space="preserve">.</w:t>
      </w:r>
      <w:r>
        <w:t xml:space="preserve"> </w:t>
      </w:r>
      <w:hyperlink r:id="rId248">
        <w:r>
          <w:rPr>
            <w:rStyle w:val="Hyperlink"/>
          </w:rPr>
          <w:t xml:space="preserve">https://doi.org/10.1007/978-3-032-19099-4_23</w:t>
        </w:r>
      </w:hyperlink>
      <w:r>
        <w:t xml:space="preserve">.</w:t>
      </w:r>
    </w:p>
    <w:bookmarkEnd w:id="249"/>
    <w:bookmarkStart w:id="251" w:name="ref-blackwellrep2026"/>
    <w:p>
      <w:pPr>
        <w:pStyle w:val="Bibliography"/>
      </w:pPr>
      <w:r>
        <w:t xml:space="preserve">Paxton, Napoleon. 2026.</w:t>
      </w:r>
      <w:r>
        <w:t xml:space="preserve"> </w:t>
      </w:r>
      <w:r>
        <w:t xml:space="preserve">“The Theorems of Dr. David Blackwell and Their Contributions to Artificial Intelligence.”</w:t>
      </w:r>
      <w:r>
        <w:t xml:space="preserve"> </w:t>
      </w:r>
      <w:r>
        <w:rPr>
          <w:i/>
          <w:iCs/>
        </w:rPr>
        <w:t xml:space="preserve">arXiv Preprint arXiv:2604.06621</w:t>
      </w:r>
      <w:r>
        <w:t xml:space="preserve">.</w:t>
      </w:r>
      <w:r>
        <w:t xml:space="preserve"> </w:t>
      </w:r>
      <w:hyperlink r:id="rId250">
        <w:r>
          <w:rPr>
            <w:rStyle w:val="Hyperlink"/>
          </w:rPr>
          <w:t xml:space="preserve">https://arxiv.org/abs/2604.06621</w:t>
        </w:r>
      </w:hyperlink>
      <w:r>
        <w:t xml:space="preserve">.</w:t>
      </w:r>
    </w:p>
    <w:bookmarkEnd w:id="251"/>
    <w:bookmarkStart w:id="253" w:name="ref-sureRAG2026"/>
    <w:p>
      <w:pPr>
        <w:pStyle w:val="Bibliography"/>
      </w:pPr>
      <w:r>
        <w:t xml:space="preserve">Qiu, Jingxi, Zeyu Han, and Cheng Huang. 2026.</w:t>
      </w:r>
      <w:r>
        <w:t xml:space="preserve"> </w:t>
      </w:r>
      <w:r>
        <w:t xml:space="preserve">“</w:t>
      </w:r>
      <w:r>
        <w:t xml:space="preserve">SURE-RAG</w:t>
      </w:r>
      <w:r>
        <w:t xml:space="preserve">: Sufficiency and Uncertainty-Aware Evidence Verification for Selective Retrieval-Augmented Generation.”</w:t>
      </w:r>
      <w:r>
        <w:t xml:space="preserve"> </w:t>
      </w:r>
      <w:r>
        <w:rPr>
          <w:i/>
          <w:iCs/>
        </w:rPr>
        <w:t xml:space="preserve">arXiv Preprint arXiv:2605.03534</w:t>
      </w:r>
      <w:r>
        <w:t xml:space="preserve">.</w:t>
      </w:r>
      <w:r>
        <w:t xml:space="preserve"> </w:t>
      </w:r>
      <w:hyperlink r:id="rId252">
        <w:r>
          <w:rPr>
            <w:rStyle w:val="Hyperlink"/>
          </w:rPr>
          <w:t xml:space="preserve">https://arxiv.org/abs/2605.03534</w:t>
        </w:r>
      </w:hyperlink>
      <w:r>
        <w:t xml:space="preserve">.</w:t>
      </w:r>
    </w:p>
    <w:bookmarkEnd w:id="253"/>
    <w:bookmarkStart w:id="255" w:name="ref-robertson1977"/>
    <w:p>
      <w:pPr>
        <w:pStyle w:val="Bibliography"/>
      </w:pPr>
      <w:r>
        <w:t xml:space="preserve">Robertson, Stephen E. 1977.</w:t>
      </w:r>
      <w:r>
        <w:t xml:space="preserve"> </w:t>
      </w:r>
      <w:r>
        <w:t xml:space="preserve">“The Probability Ranking Principle in</w:t>
      </w:r>
      <w:r>
        <w:t xml:space="preserve"> </w:t>
      </w:r>
      <w:r>
        <w:t xml:space="preserve">IR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Documentation</w:t>
      </w:r>
      <w:r>
        <w:t xml:space="preserve"> </w:t>
      </w:r>
      <w:r>
        <w:t xml:space="preserve">33 (4): 294–304.</w:t>
      </w:r>
      <w:r>
        <w:t xml:space="preserve"> </w:t>
      </w:r>
      <w:hyperlink r:id="rId254">
        <w:r>
          <w:rPr>
            <w:rStyle w:val="Hyperlink"/>
          </w:rPr>
          <w:t xml:space="preserve">https://doi.org/10.1108/eb026647</w:t>
        </w:r>
      </w:hyperlink>
      <w:r>
        <w:t xml:space="preserve">.</w:t>
      </w:r>
    </w:p>
    <w:bookmarkEnd w:id="255"/>
    <w:bookmarkStart w:id="257" w:name="ref-vanrooyen2014"/>
    <w:p>
      <w:pPr>
        <w:pStyle w:val="Bibliography"/>
      </w:pPr>
      <w:r>
        <w:t xml:space="preserve">Rooyen, Brendan van, and Robert C. Williamson. 2014.</w:t>
      </w:r>
      <w:r>
        <w:t xml:space="preserve"> </w:t>
      </w:r>
      <w:r>
        <w:t xml:space="preserve">“</w:t>
      </w:r>
      <w:r>
        <w:t xml:space="preserve">Le Cam</w:t>
      </w:r>
      <w:r>
        <w:t xml:space="preserve"> </w:t>
      </w:r>
      <w:r>
        <w:t xml:space="preserve">Meets</w:t>
      </w:r>
      <w:r>
        <w:t xml:space="preserve"> </w:t>
      </w:r>
      <w:r>
        <w:t xml:space="preserve">LeCun</w:t>
      </w:r>
      <w:r>
        <w:t xml:space="preserve">: Deficiency and Generic Feature Learning.”</w:t>
      </w:r>
      <w:r>
        <w:t xml:space="preserve"> </w:t>
      </w:r>
      <w:r>
        <w:rPr>
          <w:i/>
          <w:iCs/>
        </w:rPr>
        <w:t xml:space="preserve">arXiv Preprint arXiv:1402.4884</w:t>
      </w:r>
      <w:r>
        <w:t xml:space="preserve">.</w:t>
      </w:r>
      <w:r>
        <w:t xml:space="preserve"> </w:t>
      </w:r>
      <w:hyperlink r:id="rId256">
        <w:r>
          <w:rPr>
            <w:rStyle w:val="Hyperlink"/>
          </w:rPr>
          <w:t xml:space="preserve">https://arxiv.org/abs/1402.4884</w:t>
        </w:r>
      </w:hyperlink>
      <w:r>
        <w:t xml:space="preserve">.</w:t>
      </w:r>
    </w:p>
    <w:bookmarkEnd w:id="257"/>
    <w:bookmarkStart w:id="259" w:name="ref-shi2023distracted"/>
    <w:p>
      <w:pPr>
        <w:pStyle w:val="Bibliography"/>
      </w:pPr>
      <w:r>
        <w:t xml:space="preserve">Shi, Freda, Xinyun Chen, Kanishka Misra, et al. 2023.</w:t>
      </w:r>
      <w:r>
        <w:t xml:space="preserve"> </w:t>
      </w:r>
      <w:r>
        <w:t xml:space="preserve">“Large Language Models Can Be Easily Distracted by Irrelevant Context.”</w:t>
      </w:r>
      <w:r>
        <w:t xml:space="preserve"> </w:t>
      </w:r>
      <w:r>
        <w:rPr>
          <w:i/>
          <w:iCs/>
        </w:rPr>
        <w:t xml:space="preserve">Proceedings of the 40th International Conference on Machine Learning (ICML)</w:t>
      </w:r>
      <w:r>
        <w:t xml:space="preserve">.</w:t>
      </w:r>
      <w:r>
        <w:t xml:space="preserve"> </w:t>
      </w:r>
      <w:hyperlink r:id="rId258">
        <w:r>
          <w:rPr>
            <w:rStyle w:val="Hyperlink"/>
          </w:rPr>
          <w:t xml:space="preserve">https://arxiv.org/abs/2302.00093</w:t>
        </w:r>
      </w:hyperlink>
      <w:r>
        <w:t xml:space="preserve">.</w:t>
      </w:r>
    </w:p>
    <w:bookmarkEnd w:id="259"/>
    <w:bookmarkStart w:id="261" w:name="ref-sun2023rankgpt"/>
    <w:p>
      <w:pPr>
        <w:pStyle w:val="Bibliography"/>
      </w:pPr>
      <w:r>
        <w:t xml:space="preserve">Sun, Weiwei, Lingyong Yan, Xinyu Ma, et al. 2023.</w:t>
      </w:r>
      <w:r>
        <w:t xml:space="preserve"> </w:t>
      </w:r>
      <w:r>
        <w:t xml:space="preserve">“Is</w:t>
      </w:r>
      <w:r>
        <w:t xml:space="preserve"> </w:t>
      </w:r>
      <w:r>
        <w:t xml:space="preserve">ChatGPT</w:t>
      </w:r>
      <w:r>
        <w:t xml:space="preserve"> </w:t>
      </w:r>
      <w:r>
        <w:t xml:space="preserve">Good at Search?</w:t>
      </w:r>
      <w:r>
        <w:t xml:space="preserve"> </w:t>
      </w:r>
      <w:r>
        <w:t xml:space="preserve">Investigating</w:t>
      </w:r>
      <w:r>
        <w:t xml:space="preserve"> </w:t>
      </w:r>
      <w:r>
        <w:t xml:space="preserve">Large Language Models as Re-Ranking Agents.”</w:t>
      </w:r>
      <w:r>
        <w:t xml:space="preserve"> </w:t>
      </w:r>
      <w:r>
        <w:rPr>
          <w:i/>
          <w:iCs/>
        </w:rPr>
        <w:t xml:space="preserve">Proceedings of the 2023 Conference on Empirical Methods in Natural Language Processing (EMNLP)</w:t>
      </w:r>
      <w:r>
        <w:t xml:space="preserve">.</w:t>
      </w:r>
      <w:r>
        <w:t xml:space="preserve"> </w:t>
      </w:r>
      <w:hyperlink r:id="rId260">
        <w:r>
          <w:rPr>
            <w:rStyle w:val="Hyperlink"/>
          </w:rPr>
          <w:t xml:space="preserve">https://arxiv.org/abs/2304.09542</w:t>
        </w:r>
      </w:hyperlink>
      <w:r>
        <w:t xml:space="preserve">.</w:t>
      </w:r>
    </w:p>
    <w:bookmarkEnd w:id="261"/>
    <w:bookmarkStart w:id="263" w:name="ref-torgersen1991"/>
    <w:p>
      <w:pPr>
        <w:pStyle w:val="Bibliography"/>
      </w:pPr>
      <w:r>
        <w:t xml:space="preserve">Torgersen, Erik N. 1991.</w:t>
      </w:r>
      <w:r>
        <w:t xml:space="preserve"> </w:t>
      </w:r>
      <w:r>
        <w:rPr>
          <w:i/>
          <w:iCs/>
        </w:rPr>
        <w:t xml:space="preserve">Comparison of Statistical Experiments</w:t>
      </w:r>
      <w:r>
        <w:t xml:space="preserve">. Vol. 36. Encyclopedia of Mathematics and Its Applications. Cambridge University Press.</w:t>
      </w:r>
      <w:r>
        <w:t xml:space="preserve"> </w:t>
      </w:r>
      <w:hyperlink r:id="rId262">
        <w:r>
          <w:rPr>
            <w:rStyle w:val="Hyperlink"/>
          </w:rPr>
          <w:t xml:space="preserve">https://doi.org/10.1017/CBO9780511666353</w:t>
        </w:r>
      </w:hyperlink>
      <w:r>
        <w:t xml:space="preserve">.</w:t>
      </w:r>
    </w:p>
    <w:bookmarkEnd w:id="263"/>
    <w:bookmarkStart w:id="265" w:name="ref-inficl2024"/>
    <w:p>
      <w:pPr>
        <w:pStyle w:val="Bibliography"/>
      </w:pPr>
      <w:r>
        <w:t xml:space="preserve">Vinay, M. S., Minh-Hao Van, and Xintao Wu. 2024.</w:t>
      </w:r>
      <w:r>
        <w:t xml:space="preserve"> </w:t>
      </w:r>
      <w:r>
        <w:t xml:space="preserve">“In-Context Learning Demonstration Selection via Influence Analysis.”</w:t>
      </w:r>
      <w:r>
        <w:t xml:space="preserve"> </w:t>
      </w:r>
      <w:r>
        <w:rPr>
          <w:i/>
          <w:iCs/>
        </w:rPr>
        <w:t xml:space="preserve">arXiv Preprint arXiv:2402.11750</w:t>
      </w:r>
      <w:r>
        <w:t xml:space="preserve">.</w:t>
      </w:r>
      <w:r>
        <w:t xml:space="preserve"> </w:t>
      </w:r>
      <w:hyperlink r:id="rId264">
        <w:r>
          <w:rPr>
            <w:rStyle w:val="Hyperlink"/>
          </w:rPr>
          <w:t xml:space="preserve">https://arxiv.org/abs/2402.11750</w:t>
        </w:r>
      </w:hyperlink>
      <w:r>
        <w:t xml:space="preserve">.</w:t>
      </w:r>
    </w:p>
    <w:bookmarkEnd w:id="265"/>
    <w:bookmarkStart w:id="267" w:name="ref-wang2026whencontext"/>
    <w:p>
      <w:pPr>
        <w:pStyle w:val="Bibliography"/>
      </w:pPr>
      <w:r>
        <w:t xml:space="preserve">Wang, Dingzirui, Xuanliang Zhang, Keyan Xu, Qingfu Zhu, Wanxiang Che, and Yang Deng. 2026.</w:t>
      </w:r>
      <w:r>
        <w:t xml:space="preserve"> </w:t>
      </w:r>
      <w:r>
        <w:t xml:space="preserve">“When Does Context Help? Error Dynamics of Contextual Information in Large Language Models.”</w:t>
      </w:r>
      <w:r>
        <w:t xml:space="preserve"> </w:t>
      </w:r>
      <w:r>
        <w:rPr>
          <w:i/>
          <w:iCs/>
        </w:rPr>
        <w:t xml:space="preserve">arXiv Preprint arXiv:2602.08294</w:t>
      </w:r>
      <w:r>
        <w:t xml:space="preserve">.</w:t>
      </w:r>
      <w:r>
        <w:t xml:space="preserve"> </w:t>
      </w:r>
      <w:hyperlink r:id="rId266">
        <w:r>
          <w:rPr>
            <w:rStyle w:val="Hyperlink"/>
          </w:rPr>
          <w:t xml:space="preserve">https://arxiv.org/abs/2602.08294</w:t>
        </w:r>
      </w:hyperlink>
      <w:r>
        <w:t xml:space="preserve">.</w:t>
      </w:r>
    </w:p>
    <w:bookmarkEnd w:id="267"/>
    <w:bookmarkStart w:id="269" w:name="ref-wang2009portfolio"/>
    <w:p>
      <w:pPr>
        <w:pStyle w:val="Bibliography"/>
      </w:pPr>
      <w:r>
        <w:t xml:space="preserve">Wang, Jun, and Jianhan Zhu. 2009.</w:t>
      </w:r>
      <w:r>
        <w:t xml:space="preserve"> </w:t>
      </w:r>
      <w:r>
        <w:t xml:space="preserve">“Portfolio Theory of Information Retrieval.”</w:t>
      </w:r>
      <w:r>
        <w:t xml:space="preserve"> </w:t>
      </w:r>
      <w:r>
        <w:rPr>
          <w:i/>
          <w:iCs/>
        </w:rPr>
        <w:t xml:space="preserve">Proceedings of the 32nd International ACM SIGIR Conference on Research and Development in Information Retrieval</w:t>
      </w:r>
      <w:r>
        <w:t xml:space="preserve">, 115–22.</w:t>
      </w:r>
      <w:r>
        <w:t xml:space="preserve"> </w:t>
      </w:r>
      <w:hyperlink r:id="rId268">
        <w:r>
          <w:rPr>
            <w:rStyle w:val="Hyperlink"/>
          </w:rPr>
          <w:t xml:space="preserve">https://doi.org/10.1145/1571941.1571963</w:t>
        </w:r>
      </w:hyperlink>
      <w:r>
        <w:t xml:space="preserve">.</w:t>
      </w:r>
    </w:p>
    <w:bookmarkEnd w:id="269"/>
    <w:bookmarkStart w:id="271" w:name="ref-demoshapley2024"/>
    <w:p>
      <w:pPr>
        <w:pStyle w:val="Bibliography"/>
      </w:pPr>
      <w:r>
        <w:t xml:space="preserve">Xie, Shan, Man Luo, Chadly Daniel Stern, Mengnan Du, and Lu Cheng. 2024.</w:t>
      </w:r>
      <w:r>
        <w:t xml:space="preserve"> </w:t>
      </w:r>
      <w:r>
        <w:t xml:space="preserve">“</w:t>
      </w:r>
      <w:r>
        <w:t xml:space="preserve">DemoShapley</w:t>
      </w:r>
      <w:r>
        <w:t xml:space="preserve">: Valuation of Demonstrations for in-Context Learning.”</w:t>
      </w:r>
      <w:r>
        <w:t xml:space="preserve"> </w:t>
      </w:r>
      <w:r>
        <w:rPr>
          <w:i/>
          <w:iCs/>
        </w:rPr>
        <w:t xml:space="preserve">arXiv Preprint arXiv:2410.07523</w:t>
      </w:r>
      <w:r>
        <w:t xml:space="preserve">.</w:t>
      </w:r>
      <w:r>
        <w:t xml:space="preserve"> </w:t>
      </w:r>
      <w:hyperlink r:id="rId270">
        <w:r>
          <w:rPr>
            <w:rStyle w:val="Hyperlink"/>
          </w:rPr>
          <w:t xml:space="preserve">https://arxiv.org/abs/2410.07523</w:t>
        </w:r>
      </w:hyperlink>
      <w:r>
        <w:t xml:space="preserve">.</w:t>
      </w:r>
    </w:p>
    <w:bookmarkEnd w:id="271"/>
    <w:bookmarkStart w:id="273" w:name="ref-xu2024knowledgeconflicts"/>
    <w:p>
      <w:pPr>
        <w:pStyle w:val="Bibliography"/>
      </w:pPr>
      <w:r>
        <w:t xml:space="preserve">Xu, Rongwu, Zehan Qi, Zhijiang Guo, et al. 2024.</w:t>
      </w:r>
      <w:r>
        <w:t xml:space="preserve"> </w:t>
      </w:r>
      <w:r>
        <w:t xml:space="preserve">“Knowledge Conflicts for</w:t>
      </w:r>
      <w:r>
        <w:t xml:space="preserve"> </w:t>
      </w:r>
      <w:r>
        <w:t xml:space="preserve">LLMs</w:t>
      </w:r>
      <w:r>
        <w:t xml:space="preserve">: A Survey.”</w:t>
      </w:r>
      <w:r>
        <w:t xml:space="preserve"> </w:t>
      </w:r>
      <w:r>
        <w:rPr>
          <w:i/>
          <w:iCs/>
        </w:rPr>
        <w:t xml:space="preserve">Proceedings of the 2024 Conference on Empirical Methods in Natural Language Processing (EMNLP)</w:t>
      </w:r>
      <w:r>
        <w:t xml:space="preserve">.</w:t>
      </w:r>
      <w:r>
        <w:t xml:space="preserve"> </w:t>
      </w:r>
      <w:hyperlink r:id="rId272">
        <w:r>
          <w:rPr>
            <w:rStyle w:val="Hyperlink"/>
          </w:rPr>
          <w:t xml:space="preserve">https://arxiv.org/abs/2403.08319</w:t>
        </w:r>
      </w:hyperlink>
      <w:r>
        <w:t xml:space="preserve">.</w:t>
      </w:r>
    </w:p>
    <w:bookmarkEnd w:id="273"/>
    <w:bookmarkStart w:id="275" w:name="ref-ye2023ceil"/>
    <w:p>
      <w:pPr>
        <w:pStyle w:val="Bibliography"/>
      </w:pPr>
      <w:r>
        <w:t xml:space="preserve">Ye, Jiacheng, Zhiyong Wu, Jiangtao Feng, Tao Yu, and Lingpeng Kong. 2023.</w:t>
      </w:r>
      <w:r>
        <w:t xml:space="preserve"> </w:t>
      </w:r>
      <w:r>
        <w:t xml:space="preserve">“Compositional Exemplars for in-Context Learning.”</w:t>
      </w:r>
      <w:r>
        <w:t xml:space="preserve"> </w:t>
      </w:r>
      <w:r>
        <w:rPr>
          <w:i/>
          <w:iCs/>
        </w:rPr>
        <w:t xml:space="preserve">Proceedings of the 40th International Conference on Machine Learning (ICML)</w:t>
      </w:r>
      <w:r>
        <w:t xml:space="preserve">.</w:t>
      </w:r>
      <w:r>
        <w:t xml:space="preserve"> </w:t>
      </w:r>
      <w:hyperlink r:id="rId274">
        <w:r>
          <w:rPr>
            <w:rStyle w:val="Hyperlink"/>
          </w:rPr>
          <w:t xml:space="preserve">https://arxiv.org/abs/2302.05698</w:t>
        </w:r>
      </w:hyperlink>
      <w:r>
        <w:t xml:space="preserve">.</w:t>
      </w:r>
    </w:p>
    <w:bookmarkEnd w:id="275"/>
    <w:bookmarkStart w:id="277" w:name="ref-rankrag2024"/>
    <w:p>
      <w:pPr>
        <w:pStyle w:val="Bibliography"/>
      </w:pPr>
      <w:r>
        <w:t xml:space="preserve">Yu, Yue, Wei Ping, Zihan Liu, et al. 2024.</w:t>
      </w:r>
      <w:r>
        <w:t xml:space="preserve"> </w:t>
      </w:r>
      <w:r>
        <w:t xml:space="preserve">“</w:t>
      </w:r>
      <w:r>
        <w:t xml:space="preserve">RankRAG</w:t>
      </w:r>
      <w:r>
        <w:t xml:space="preserve">: Unifying Context Ranking with Retrieval-Augmented Generation in</w:t>
      </w:r>
      <w:r>
        <w:t xml:space="preserve"> </w:t>
      </w:r>
      <w:r>
        <w:t xml:space="preserve">LLMs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arXiv:2407.02485</w:t>
      </w:r>
      <w:r>
        <w:t xml:space="preserve">.</w:t>
      </w:r>
      <w:r>
        <w:t xml:space="preserve"> </w:t>
      </w:r>
      <w:hyperlink r:id="rId276">
        <w:r>
          <w:rPr>
            <w:rStyle w:val="Hyperlink"/>
          </w:rPr>
          <w:t xml:space="preserve">https://arxiv.org/abs/2407.02485</w:t>
        </w:r>
      </w:hyperlink>
      <w:r>
        <w:t xml:space="preserve">.</w:t>
      </w:r>
    </w:p>
    <w:bookmarkEnd w:id="277"/>
    <w:bookmarkStart w:id="279" w:name="ref-cale2025"/>
    <w:p>
      <w:pPr>
        <w:pStyle w:val="Bibliography"/>
      </w:pPr>
      <w:r>
        <w:t xml:space="preserve">Yuan, Xiaowei, Zhao Yang, Ziyang Huang, et al. 2025.</w:t>
      </w:r>
      <w:r>
        <w:t xml:space="preserve"> </w:t>
      </w:r>
      <w:r>
        <w:t xml:space="preserve">“Exploiting Contextual Knowledge in</w:t>
      </w:r>
      <w:r>
        <w:t xml:space="preserve"> </w:t>
      </w:r>
      <w:r>
        <w:t xml:space="preserve">LLMs</w:t>
      </w:r>
      <w:r>
        <w:t xml:space="preserve"> </w:t>
      </w:r>
      <w:r>
        <w:t xml:space="preserve">Through</w:t>
      </w:r>
      <w:r>
        <w:t xml:space="preserve"> </w:t>
      </w:r>
      <w:r>
        <w:t xml:space="preserve">V</w:t>
      </w:r>
      <w:r>
        <w:t xml:space="preserve">-Usable Information Based Layer Enhancement.”</w:t>
      </w:r>
      <w:r>
        <w:t xml:space="preserve"> </w:t>
      </w:r>
      <w:r>
        <w:rPr>
          <w:i/>
          <w:iCs/>
        </w:rPr>
        <w:t xml:space="preserve">arXiv Preprint arXiv:2504.15630</w:t>
      </w:r>
      <w:r>
        <w:t xml:space="preserve">.</w:t>
      </w:r>
      <w:r>
        <w:t xml:space="preserve"> </w:t>
      </w:r>
      <w:hyperlink r:id="rId278">
        <w:r>
          <w:rPr>
            <w:rStyle w:val="Hyperlink"/>
          </w:rPr>
          <w:t xml:space="preserve">https://arxiv.org/abs/2504.15630</w:t>
        </w:r>
      </w:hyperlink>
      <w:r>
        <w:t xml:space="preserve">.</w:t>
      </w:r>
    </w:p>
    <w:bookmarkEnd w:id="279"/>
    <w:bookmarkStart w:id="281" w:name="ref-zhang2025llmutility"/>
    <w:p>
      <w:pPr>
        <w:pStyle w:val="Bibliography"/>
      </w:pPr>
      <w:r>
        <w:t xml:space="preserve">Zhang, Hengran, Keping Bi, Jiafeng Guo, et al. 2025.</w:t>
      </w:r>
      <w:r>
        <w:t xml:space="preserve"> </w:t>
      </w:r>
      <w:r>
        <w:t xml:space="preserve">“</w:t>
      </w:r>
      <w:r>
        <w:t xml:space="preserve">LLM</w:t>
      </w:r>
      <w:r>
        <w:t xml:space="preserve">-Specific Utility for Retrieval-Augmented Generation.”</w:t>
      </w:r>
      <w:r>
        <w:t xml:space="preserve"> </w:t>
      </w:r>
      <w:r>
        <w:rPr>
          <w:i/>
          <w:iCs/>
        </w:rPr>
        <w:t xml:space="preserve">arXiv Preprint arXiv:2510.11358</w:t>
      </w:r>
      <w:r>
        <w:t xml:space="preserve">.</w:t>
      </w:r>
      <w:r>
        <w:t xml:space="preserve"> </w:t>
      </w:r>
      <w:hyperlink r:id="rId280">
        <w:r>
          <w:rPr>
            <w:rStyle w:val="Hyperlink"/>
          </w:rPr>
          <w:t xml:space="preserve">https://arxiv.org/abs/2510.11358</w:t>
        </w:r>
      </w:hyperlink>
      <w:r>
        <w:t xml:space="preserve">.</w:t>
      </w:r>
    </w:p>
    <w:bookmarkEnd w:id="281"/>
    <w:bookmarkStart w:id="283" w:name="ref-zhang2026utility"/>
    <w:p>
      <w:pPr>
        <w:pStyle w:val="Bibliography"/>
      </w:pPr>
      <w:r>
        <w:t xml:space="preserve">Zhang, Hengran, Minghao Tang, Keping Bi, and Jiafeng Guo. 2026.</w:t>
      </w:r>
      <w:r>
        <w:t xml:space="preserve"> </w:t>
      </w:r>
      <w:r>
        <w:t xml:space="preserve">“Beyond Relevance: Utility-Centric Retrieval in the</w:t>
      </w:r>
      <w:r>
        <w:t xml:space="preserve"> </w:t>
      </w:r>
      <w:r>
        <w:t xml:space="preserve">LLM</w:t>
      </w:r>
      <w:r>
        <w:t xml:space="preserve"> </w:t>
      </w:r>
      <w:r>
        <w:t xml:space="preserve">Era.”</w:t>
      </w:r>
      <w:r>
        <w:t xml:space="preserve"> </w:t>
      </w:r>
      <w:r>
        <w:rPr>
          <w:i/>
          <w:iCs/>
        </w:rPr>
        <w:t xml:space="preserve">arXiv Preprint arXiv:2604.08920</w:t>
      </w:r>
      <w:r>
        <w:t xml:space="preserve">.</w:t>
      </w:r>
      <w:r>
        <w:t xml:space="preserve"> </w:t>
      </w:r>
      <w:hyperlink r:id="rId282">
        <w:r>
          <w:rPr>
            <w:rStyle w:val="Hyperlink"/>
          </w:rPr>
          <w:t xml:space="preserve">https://arxiv.org/abs/2604.08920</w:t>
        </w:r>
      </w:hyperlink>
      <w:r>
        <w:t xml:space="preserve">.</w:t>
      </w:r>
    </w:p>
    <w:bookmarkEnd w:id="283"/>
    <w:bookmarkStart w:id="285" w:name="ref-zhang2026blackwellagents"/>
    <w:p>
      <w:pPr>
        <w:pStyle w:val="Bibliography"/>
      </w:pPr>
      <w:r>
        <w:t xml:space="preserve">Zhang, Zheng, Cuong C. Nguyen, Kevin Wells, and Gustavo Carneiro. 2026.</w:t>
      </w:r>
      <w:r>
        <w:t xml:space="preserve"> </w:t>
      </w:r>
      <w:r>
        <w:t xml:space="preserve">“Multi-Agent Decision Making: A</w:t>
      </w:r>
      <w:r>
        <w:t xml:space="preserve"> </w:t>
      </w:r>
      <w:r>
        <w:t xml:space="preserve">Blackwell</w:t>
      </w:r>
      <w:r>
        <w:t xml:space="preserve">’s Informativeness Approach.”</w:t>
      </w:r>
      <w:r>
        <w:t xml:space="preserve"> </w:t>
      </w:r>
      <w:r>
        <w:rPr>
          <w:i/>
          <w:iCs/>
        </w:rPr>
        <w:t xml:space="preserve">arXiv Preprint arXiv:2605.06028</w:t>
      </w:r>
      <w:r>
        <w:t xml:space="preserve">.</w:t>
      </w:r>
      <w:r>
        <w:t xml:space="preserve"> </w:t>
      </w:r>
      <w:hyperlink r:id="rId284">
        <w:r>
          <w:rPr>
            <w:rStyle w:val="Hyperlink"/>
          </w:rPr>
          <w:t xml:space="preserve">https://arxiv.org/abs/2605.06028</w:t>
        </w:r>
      </w:hyperlink>
      <w:r>
        <w:t xml:space="preserve">.</w:t>
      </w:r>
    </w:p>
    <w:bookmarkEnd w:id="285"/>
    <w:bookmarkStart w:id="286" w:name="ref-paretoprompts2025"/>
    <w:p>
      <w:pPr>
        <w:pStyle w:val="Bibliography"/>
      </w:pPr>
      <w:r>
        <w:t xml:space="preserve">Zhao, Guang, Byung-Jun Yoon, Gilchan Park, Shantenu Jha, Shinjae Yoo, and Xiaoning Qian. 2025.</w:t>
      </w:r>
      <w:r>
        <w:t xml:space="preserve"> </w:t>
      </w:r>
      <w:r>
        <w:t xml:space="preserve">“Pareto Prompt Optimization.”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286"/>
    <w:bookmarkStart w:id="288" w:name="ref-zheng2024pmi"/>
    <w:p>
      <w:pPr>
        <w:pStyle w:val="Bibliography"/>
      </w:pPr>
      <w:r>
        <w:t xml:space="preserve">Zheng, Shuran, Xuan Qi, Rui Ray Chen, Yongchan Kwon, and James Zou. 2024.</w:t>
      </w:r>
      <w:r>
        <w:t xml:space="preserve"> </w:t>
      </w:r>
      <w:r>
        <w:t xml:space="preserve">“Proper Dataset Valuation by Pointwise Mutual Information.”</w:t>
      </w:r>
      <w:r>
        <w:t xml:space="preserve"> </w:t>
      </w:r>
      <w:r>
        <w:rPr>
          <w:i/>
          <w:iCs/>
        </w:rPr>
        <w:t xml:space="preserve">arXiv Preprint arXiv:2405.18253</w:t>
      </w:r>
      <w:r>
        <w:t xml:space="preserve">.</w:t>
      </w:r>
      <w:r>
        <w:t xml:space="preserve"> </w:t>
      </w:r>
      <w:hyperlink r:id="rId287">
        <w:r>
          <w:rPr>
            <w:rStyle w:val="Hyperlink"/>
          </w:rPr>
          <w:t xml:space="preserve">https://arxiv.org/abs/2405.18253</w:t>
        </w:r>
      </w:hyperlink>
      <w:r>
        <w:t xml:space="preserve">.</w:t>
      </w:r>
    </w:p>
    <w:bookmarkEnd w:id="288"/>
    <w:bookmarkStart w:id="290" w:name="ref-skylinerag2026"/>
    <w:p>
      <w:pPr>
        <w:pStyle w:val="Bibliography"/>
      </w:pPr>
      <w:r>
        <w:t xml:space="preserve">Zhu, Xinyi, Haoyang Li, Yongqi Zhang, and Lei Chen. 2026.</w:t>
      </w:r>
      <w:r>
        <w:t xml:space="preserve"> </w:t>
      </w:r>
      <w:r>
        <w:t xml:space="preserve">“Skyline Retrieval Meets Set-Cover Chunk Merging: A Cost-Effective</w:t>
      </w:r>
      <w:r>
        <w:t xml:space="preserve"> </w:t>
      </w:r>
      <w:r>
        <w:t xml:space="preserve">RAG</w:t>
      </w:r>
      <w:r>
        <w:t xml:space="preserve">-Sketch for Long-Context</w:t>
      </w:r>
      <w:r>
        <w:t xml:space="preserve"> </w:t>
      </w:r>
      <w:r>
        <w:t xml:space="preserve">LLM</w:t>
      </w:r>
      <w:r>
        <w:t xml:space="preserve"> </w:t>
      </w:r>
      <w:r>
        <w:t xml:space="preserve">QA</w:t>
      </w:r>
      <w:r>
        <w:t xml:space="preserve">.”</w:t>
      </w:r>
      <w:r>
        <w:t xml:space="preserve"> </w:t>
      </w:r>
      <w:r>
        <w:rPr>
          <w:i/>
          <w:iCs/>
        </w:rPr>
        <w:t xml:space="preserve">Proceedings of the ACM on Management of Data</w:t>
      </w:r>
      <w:r>
        <w:t xml:space="preserve"> </w:t>
      </w:r>
      <w:r>
        <w:t xml:space="preserve">4 (3): 1–27.</w:t>
      </w:r>
      <w:r>
        <w:t xml:space="preserve"> </w:t>
      </w:r>
      <w:hyperlink r:id="rId289">
        <w:r>
          <w:rPr>
            <w:rStyle w:val="Hyperlink"/>
          </w:rPr>
          <w:t xml:space="preserve">https://doi.org/10.1145/3802111</w:t>
        </w:r>
      </w:hyperlink>
      <w:r>
        <w:t xml:space="preserve">.</w:t>
      </w:r>
    </w:p>
    <w:bookmarkEnd w:id="290"/>
    <w:bookmarkStart w:id="292" w:name="ref-zuccon2010qprp"/>
    <w:p>
      <w:pPr>
        <w:pStyle w:val="Bibliography"/>
      </w:pPr>
      <w:r>
        <w:t xml:space="preserve">Zuccon, Guido, and Leif Azzopardi. 2010.</w:t>
      </w:r>
      <w:r>
        <w:t xml:space="preserve"> </w:t>
      </w:r>
      <w:r>
        <w:t xml:space="preserve">“Using the Quantum Probability Ranking Principle to Rank Interdependent Documents.”</w:t>
      </w:r>
      <w:r>
        <w:t xml:space="preserve"> </w:t>
      </w:r>
      <w:r>
        <w:rPr>
          <w:i/>
          <w:iCs/>
        </w:rPr>
        <w:t xml:space="preserve">Advances in Information Retrieval (ECIR 2010), LNCS 5993</w:t>
      </w:r>
      <w:r>
        <w:t xml:space="preserve">, 357–69.</w:t>
      </w:r>
      <w:r>
        <w:t xml:space="preserve"> </w:t>
      </w:r>
      <w:hyperlink r:id="rId291">
        <w:r>
          <w:rPr>
            <w:rStyle w:val="Hyperlink"/>
          </w:rPr>
          <w:t xml:space="preserve">https://doi.org/10.1007/978-3-642-12275-0_32</w:t>
        </w:r>
      </w:hyperlink>
      <w:r>
        <w:t xml:space="preserve">.</w:t>
      </w:r>
    </w:p>
    <w:bookmarkEnd w:id="292"/>
    <w:bookmarkEnd w:id="293"/>
    <w:bookmarkEnd w:id="294"/>
    <w:bookmarkEnd w:id="2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3" Target="http://www.vldb.org/pvldb/vol6/p37-dong.pdf" TargetMode="External" /><Relationship Type="http://schemas.openxmlformats.org/officeDocument/2006/relationships/hyperlink" Id="rId216" Target="https://aclanthology.org/2025.fever-1.2/" TargetMode="External" /><Relationship Type="http://schemas.openxmlformats.org/officeDocument/2006/relationships/hyperlink" Id="rId212" Target="https://aclanthology.org/2026.findings-acl.583/" TargetMode="External" /><Relationship Type="http://schemas.openxmlformats.org/officeDocument/2006/relationships/hyperlink" Id="rId256" Target="https://arxiv.org/abs/1402.4884" TargetMode="External" /><Relationship Type="http://schemas.openxmlformats.org/officeDocument/2006/relationships/hyperlink" Id="rId258" Target="https://arxiv.org/abs/2302.00093" TargetMode="External" /><Relationship Type="http://schemas.openxmlformats.org/officeDocument/2006/relationships/hyperlink" Id="rId274" Target="https://arxiv.org/abs/2302.05698" TargetMode="External" /><Relationship Type="http://schemas.openxmlformats.org/officeDocument/2006/relationships/hyperlink" Id="rId218" Target="https://arxiv.org/abs/2304.04576" TargetMode="External" /><Relationship Type="http://schemas.openxmlformats.org/officeDocument/2006/relationships/hyperlink" Id="rId260" Target="https://arxiv.org/abs/2304.09542" TargetMode="External" /><Relationship Type="http://schemas.openxmlformats.org/officeDocument/2006/relationships/hyperlink" Id="rId244" Target="https://arxiv.org/abs/2307.03172" TargetMode="External" /><Relationship Type="http://schemas.openxmlformats.org/officeDocument/2006/relationships/hyperlink" Id="rId189" Target="https://arxiv.org/abs/2401.14887" TargetMode="External" /><Relationship Type="http://schemas.openxmlformats.org/officeDocument/2006/relationships/hyperlink" Id="rId264" Target="https://arxiv.org/abs/2402.11750" TargetMode="External" /><Relationship Type="http://schemas.openxmlformats.org/officeDocument/2006/relationships/hyperlink" Id="rId272" Target="https://arxiv.org/abs/2403.08319" TargetMode="External" /><Relationship Type="http://schemas.openxmlformats.org/officeDocument/2006/relationships/hyperlink" Id="rId287" Target="https://arxiv.org/abs/2405.18253" TargetMode="External" /><Relationship Type="http://schemas.openxmlformats.org/officeDocument/2006/relationships/hyperlink" Id="rId276" Target="https://arxiv.org/abs/2407.02485" TargetMode="External" /><Relationship Type="http://schemas.openxmlformats.org/officeDocument/2006/relationships/hyperlink" Id="rId228" Target="https://arxiv.org/abs/2410.05983" TargetMode="External" /><Relationship Type="http://schemas.openxmlformats.org/officeDocument/2006/relationships/hyperlink" Id="rId270" Target="https://arxiv.org/abs/2410.07523" TargetMode="External" /><Relationship Type="http://schemas.openxmlformats.org/officeDocument/2006/relationships/hyperlink" Id="rId208" Target="https://arxiv.org/abs/2410.20247" TargetMode="External" /><Relationship Type="http://schemas.openxmlformats.org/officeDocument/2006/relationships/hyperlink" Id="rId246" Target="https://arxiv.org/abs/2411.00640" TargetMode="External" /><Relationship Type="http://schemas.openxmlformats.org/officeDocument/2006/relationships/hyperlink" Id="rId175" Target="https://arxiv.org/abs/2411.01533" TargetMode="External" /><Relationship Type="http://schemas.openxmlformats.org/officeDocument/2006/relationships/hyperlink" Id="rId230" Target="https://arxiv.org/abs/2411.06037" TargetMode="External" /><Relationship Type="http://schemas.openxmlformats.org/officeDocument/2006/relationships/hyperlink" Id="rId214" Target="https://arxiv.org/abs/2412.17031" TargetMode="External" /><Relationship Type="http://schemas.openxmlformats.org/officeDocument/2006/relationships/hyperlink" Id="rId191" Target="https://arxiv.org/abs/2503.01478" TargetMode="External" /><Relationship Type="http://schemas.openxmlformats.org/officeDocument/2006/relationships/hyperlink" Id="rId173" Target="https://arxiv.org/abs/2503.01747" TargetMode="External" /><Relationship Type="http://schemas.openxmlformats.org/officeDocument/2006/relationships/hyperlink" Id="rId240" Target="https://arxiv.org/abs/2503.04388" TargetMode="External" /><Relationship Type="http://schemas.openxmlformats.org/officeDocument/2006/relationships/hyperlink" Id="rId202" Target="https://arxiv.org/abs/2503.05491" TargetMode="External" /><Relationship Type="http://schemas.openxmlformats.org/officeDocument/2006/relationships/hyperlink" Id="rId238" Target="https://arxiv.org/abs/2504.07104" TargetMode="External" /><Relationship Type="http://schemas.openxmlformats.org/officeDocument/2006/relationships/hyperlink" Id="rId278" Target="https://arxiv.org/abs/2504.15630" TargetMode="External" /><Relationship Type="http://schemas.openxmlformats.org/officeDocument/2006/relationships/hyperlink" Id="rId181" Target="https://arxiv.org/abs/2507.03279" TargetMode="External" /><Relationship Type="http://schemas.openxmlformats.org/officeDocument/2006/relationships/hyperlink" Id="rId185" Target="https://arxiv.org/abs/2508.21184" TargetMode="External" /><Relationship Type="http://schemas.openxmlformats.org/officeDocument/2006/relationships/hyperlink" Id="rId222" Target="https://arxiv.org/abs/2510.00079" TargetMode="External" /><Relationship Type="http://schemas.openxmlformats.org/officeDocument/2006/relationships/hyperlink" Id="rId195" Target="https://arxiv.org/abs/2510.05381" TargetMode="External" /><Relationship Type="http://schemas.openxmlformats.org/officeDocument/2006/relationships/hyperlink" Id="rId280" Target="https://arxiv.org/abs/2510.11358" TargetMode="External" /><Relationship Type="http://schemas.openxmlformats.org/officeDocument/2006/relationships/hyperlink" Id="rId179" Target="https://arxiv.org/abs/2511.17908" TargetMode="External" /><Relationship Type="http://schemas.openxmlformats.org/officeDocument/2006/relationships/hyperlink" Id="rId224" Target="https://arxiv.org/abs/2512.06464" TargetMode="External" /><Relationship Type="http://schemas.openxmlformats.org/officeDocument/2006/relationships/hyperlink" Id="rId159" Target="https://arxiv.org/abs/2512.23617" TargetMode="External" /><Relationship Type="http://schemas.openxmlformats.org/officeDocument/2006/relationships/hyperlink" Id="rId226" Target="https://arxiv.org/abs/2601.05027" TargetMode="External" /><Relationship Type="http://schemas.openxmlformats.org/officeDocument/2006/relationships/hyperlink" Id="rId200" Target="https://arxiv.org/abs/2601.11273" TargetMode="External" /><Relationship Type="http://schemas.openxmlformats.org/officeDocument/2006/relationships/hyperlink" Id="rId183" Target="https://arxiv.org/abs/2601.16478" TargetMode="External" /><Relationship Type="http://schemas.openxmlformats.org/officeDocument/2006/relationships/hyperlink" Id="rId266" Target="https://arxiv.org/abs/2602.08294" TargetMode="External" /><Relationship Type="http://schemas.openxmlformats.org/officeDocument/2006/relationships/hyperlink" Id="rId250" Target="https://arxiv.org/abs/2604.06621" TargetMode="External" /><Relationship Type="http://schemas.openxmlformats.org/officeDocument/2006/relationships/hyperlink" Id="rId282" Target="https://arxiv.org/abs/2604.08920" TargetMode="External" /><Relationship Type="http://schemas.openxmlformats.org/officeDocument/2006/relationships/hyperlink" Id="rId252" Target="https://arxiv.org/abs/2605.03534" TargetMode="External" /><Relationship Type="http://schemas.openxmlformats.org/officeDocument/2006/relationships/hyperlink" Id="rId242" Target="https://arxiv.org/abs/2605.05716" TargetMode="External" /><Relationship Type="http://schemas.openxmlformats.org/officeDocument/2006/relationships/hyperlink" Id="rId284" Target="https://arxiv.org/abs/2605.06028" TargetMode="External" /><Relationship Type="http://schemas.openxmlformats.org/officeDocument/2006/relationships/hyperlink" Id="rId210" Target="https://arxiv.org/abs/2606.20047" TargetMode="External" /><Relationship Type="http://schemas.openxmlformats.org/officeDocument/2006/relationships/hyperlink" Id="rId204" Target="https://arxiv.org/abs/2608.26762" TargetMode="External" /><Relationship Type="http://schemas.openxmlformats.org/officeDocument/2006/relationships/hyperlink" Id="rId236" Target="https://doi.org/10.1007/978-1-4612-4946-7" TargetMode="External" /><Relationship Type="http://schemas.openxmlformats.org/officeDocument/2006/relationships/hyperlink" Id="rId248" Target="https://doi.org/10.1007/978-3-032-19099-4_23" TargetMode="External" /><Relationship Type="http://schemas.openxmlformats.org/officeDocument/2006/relationships/hyperlink" Id="rId291" Target="https://doi.org/10.1007/978-3-642-12275-0_32" TargetMode="External" /><Relationship Type="http://schemas.openxmlformats.org/officeDocument/2006/relationships/hyperlink" Id="rId206" Target="https://doi.org/10.1007/s10791-008-9045-0" TargetMode="External" /><Relationship Type="http://schemas.openxmlformats.org/officeDocument/2006/relationships/hyperlink" Id="rId232" Target="https://doi.org/10.1016/j.econlet.2024.112146" TargetMode="External" /><Relationship Type="http://schemas.openxmlformats.org/officeDocument/2006/relationships/hyperlink" Id="rId262" Target="https://doi.org/10.1017/CBO9780511666353" TargetMode="External" /><Relationship Type="http://schemas.openxmlformats.org/officeDocument/2006/relationships/hyperlink" Id="rId187" Target="https://doi.org/10.1093/biomet/26.4.404" TargetMode="External" /><Relationship Type="http://schemas.openxmlformats.org/officeDocument/2006/relationships/hyperlink" Id="rId254" Target="https://doi.org/10.1108/eb026647" TargetMode="External" /><Relationship Type="http://schemas.openxmlformats.org/officeDocument/2006/relationships/hyperlink" Id="rId168" Target="https://doi.org/10.1109/ISIT.2014.6875280" TargetMode="External" /><Relationship Type="http://schemas.openxmlformats.org/officeDocument/2006/relationships/hyperlink" Id="rId268" Target="https://doi.org/10.1145/1571941.1571963" TargetMode="External" /><Relationship Type="http://schemas.openxmlformats.org/officeDocument/2006/relationships/hyperlink" Id="rId177" Target="https://doi.org/10.1145/290941.291025" TargetMode="External" /><Relationship Type="http://schemas.openxmlformats.org/officeDocument/2006/relationships/hyperlink" Id="rId289" Target="https://doi.org/10.1145/3802111" TargetMode="External" /><Relationship Type="http://schemas.openxmlformats.org/officeDocument/2006/relationships/hyperlink" Id="rId234" Target="https://doi.org/10.1214/aoms/1177700372" TargetMode="External" /><Relationship Type="http://schemas.openxmlformats.org/officeDocument/2006/relationships/hyperlink" Id="rId197" Target="https://doi.org/10.1214/aoms/1177728174" TargetMode="External" /><Relationship Type="http://schemas.openxmlformats.org/officeDocument/2006/relationships/hyperlink" Id="rId170" Target="https://doi.org/10.1214/aoms/1177729032" TargetMode="External" /><Relationship Type="http://schemas.openxmlformats.org/officeDocument/2006/relationships/hyperlink" Id="rId163" Target="https://doi.org/10.5281/zenodo.20800031" TargetMode="External" /><Relationship Type="http://schemas.openxmlformats.org/officeDocument/2006/relationships/hyperlink" Id="rId161" Target="https://doi.org/10.5281/zenodo.20800175" TargetMode="External" /><Relationship Type="http://schemas.openxmlformats.org/officeDocument/2006/relationships/hyperlink" Id="rId165" Target="https://doi.org/10.5281/zenodo.20800209" TargetMode="External" /><Relationship Type="http://schemas.openxmlformats.org/officeDocument/2006/relationships/hyperlink" Id="rId73" Target="https://github.com/abilous-ti/blackwell-llm-context" TargetMode="External" /><Relationship Type="http://schemas.openxmlformats.org/officeDocument/2006/relationships/hyperlink" Id="rId220" Target="https://www.trychroma.com/research/context-r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3" Target="http://www.vldb.org/pvldb/vol6/p37-dong.pdf" TargetMode="External" /><Relationship Type="http://schemas.openxmlformats.org/officeDocument/2006/relationships/hyperlink" Id="rId216" Target="https://aclanthology.org/2025.fever-1.2/" TargetMode="External" /><Relationship Type="http://schemas.openxmlformats.org/officeDocument/2006/relationships/hyperlink" Id="rId212" Target="https://aclanthology.org/2026.findings-acl.583/" TargetMode="External" /><Relationship Type="http://schemas.openxmlformats.org/officeDocument/2006/relationships/hyperlink" Id="rId256" Target="https://arxiv.org/abs/1402.4884" TargetMode="External" /><Relationship Type="http://schemas.openxmlformats.org/officeDocument/2006/relationships/hyperlink" Id="rId258" Target="https://arxiv.org/abs/2302.00093" TargetMode="External" /><Relationship Type="http://schemas.openxmlformats.org/officeDocument/2006/relationships/hyperlink" Id="rId274" Target="https://arxiv.org/abs/2302.05698" TargetMode="External" /><Relationship Type="http://schemas.openxmlformats.org/officeDocument/2006/relationships/hyperlink" Id="rId218" Target="https://arxiv.org/abs/2304.04576" TargetMode="External" /><Relationship Type="http://schemas.openxmlformats.org/officeDocument/2006/relationships/hyperlink" Id="rId260" Target="https://arxiv.org/abs/2304.09542" TargetMode="External" /><Relationship Type="http://schemas.openxmlformats.org/officeDocument/2006/relationships/hyperlink" Id="rId244" Target="https://arxiv.org/abs/2307.03172" TargetMode="External" /><Relationship Type="http://schemas.openxmlformats.org/officeDocument/2006/relationships/hyperlink" Id="rId189" Target="https://arxiv.org/abs/2401.14887" TargetMode="External" /><Relationship Type="http://schemas.openxmlformats.org/officeDocument/2006/relationships/hyperlink" Id="rId264" Target="https://arxiv.org/abs/2402.11750" TargetMode="External" /><Relationship Type="http://schemas.openxmlformats.org/officeDocument/2006/relationships/hyperlink" Id="rId272" Target="https://arxiv.org/abs/2403.08319" TargetMode="External" /><Relationship Type="http://schemas.openxmlformats.org/officeDocument/2006/relationships/hyperlink" Id="rId287" Target="https://arxiv.org/abs/2405.18253" TargetMode="External" /><Relationship Type="http://schemas.openxmlformats.org/officeDocument/2006/relationships/hyperlink" Id="rId276" Target="https://arxiv.org/abs/2407.02485" TargetMode="External" /><Relationship Type="http://schemas.openxmlformats.org/officeDocument/2006/relationships/hyperlink" Id="rId228" Target="https://arxiv.org/abs/2410.05983" TargetMode="External" /><Relationship Type="http://schemas.openxmlformats.org/officeDocument/2006/relationships/hyperlink" Id="rId270" Target="https://arxiv.org/abs/2410.07523" TargetMode="External" /><Relationship Type="http://schemas.openxmlformats.org/officeDocument/2006/relationships/hyperlink" Id="rId208" Target="https://arxiv.org/abs/2410.20247" TargetMode="External" /><Relationship Type="http://schemas.openxmlformats.org/officeDocument/2006/relationships/hyperlink" Id="rId246" Target="https://arxiv.org/abs/2411.00640" TargetMode="External" /><Relationship Type="http://schemas.openxmlformats.org/officeDocument/2006/relationships/hyperlink" Id="rId175" Target="https://arxiv.org/abs/2411.01533" TargetMode="External" /><Relationship Type="http://schemas.openxmlformats.org/officeDocument/2006/relationships/hyperlink" Id="rId230" Target="https://arxiv.org/abs/2411.06037" TargetMode="External" /><Relationship Type="http://schemas.openxmlformats.org/officeDocument/2006/relationships/hyperlink" Id="rId214" Target="https://arxiv.org/abs/2412.17031" TargetMode="External" /><Relationship Type="http://schemas.openxmlformats.org/officeDocument/2006/relationships/hyperlink" Id="rId191" Target="https://arxiv.org/abs/2503.01478" TargetMode="External" /><Relationship Type="http://schemas.openxmlformats.org/officeDocument/2006/relationships/hyperlink" Id="rId173" Target="https://arxiv.org/abs/2503.01747" TargetMode="External" /><Relationship Type="http://schemas.openxmlformats.org/officeDocument/2006/relationships/hyperlink" Id="rId240" Target="https://arxiv.org/abs/2503.04388" TargetMode="External" /><Relationship Type="http://schemas.openxmlformats.org/officeDocument/2006/relationships/hyperlink" Id="rId202" Target="https://arxiv.org/abs/2503.05491" TargetMode="External" /><Relationship Type="http://schemas.openxmlformats.org/officeDocument/2006/relationships/hyperlink" Id="rId238" Target="https://arxiv.org/abs/2504.07104" TargetMode="External" /><Relationship Type="http://schemas.openxmlformats.org/officeDocument/2006/relationships/hyperlink" Id="rId278" Target="https://arxiv.org/abs/2504.15630" TargetMode="External" /><Relationship Type="http://schemas.openxmlformats.org/officeDocument/2006/relationships/hyperlink" Id="rId181" Target="https://arxiv.org/abs/2507.03279" TargetMode="External" /><Relationship Type="http://schemas.openxmlformats.org/officeDocument/2006/relationships/hyperlink" Id="rId185" Target="https://arxiv.org/abs/2508.21184" TargetMode="External" /><Relationship Type="http://schemas.openxmlformats.org/officeDocument/2006/relationships/hyperlink" Id="rId222" Target="https://arxiv.org/abs/2510.00079" TargetMode="External" /><Relationship Type="http://schemas.openxmlformats.org/officeDocument/2006/relationships/hyperlink" Id="rId195" Target="https://arxiv.org/abs/2510.05381" TargetMode="External" /><Relationship Type="http://schemas.openxmlformats.org/officeDocument/2006/relationships/hyperlink" Id="rId280" Target="https://arxiv.org/abs/2510.11358" TargetMode="External" /><Relationship Type="http://schemas.openxmlformats.org/officeDocument/2006/relationships/hyperlink" Id="rId179" Target="https://arxiv.org/abs/2511.17908" TargetMode="External" /><Relationship Type="http://schemas.openxmlformats.org/officeDocument/2006/relationships/hyperlink" Id="rId224" Target="https://arxiv.org/abs/2512.06464" TargetMode="External" /><Relationship Type="http://schemas.openxmlformats.org/officeDocument/2006/relationships/hyperlink" Id="rId159" Target="https://arxiv.org/abs/2512.23617" TargetMode="External" /><Relationship Type="http://schemas.openxmlformats.org/officeDocument/2006/relationships/hyperlink" Id="rId226" Target="https://arxiv.org/abs/2601.05027" TargetMode="External" /><Relationship Type="http://schemas.openxmlformats.org/officeDocument/2006/relationships/hyperlink" Id="rId200" Target="https://arxiv.org/abs/2601.11273" TargetMode="External" /><Relationship Type="http://schemas.openxmlformats.org/officeDocument/2006/relationships/hyperlink" Id="rId183" Target="https://arxiv.org/abs/2601.16478" TargetMode="External" /><Relationship Type="http://schemas.openxmlformats.org/officeDocument/2006/relationships/hyperlink" Id="rId266" Target="https://arxiv.org/abs/2602.08294" TargetMode="External" /><Relationship Type="http://schemas.openxmlformats.org/officeDocument/2006/relationships/hyperlink" Id="rId250" Target="https://arxiv.org/abs/2604.06621" TargetMode="External" /><Relationship Type="http://schemas.openxmlformats.org/officeDocument/2006/relationships/hyperlink" Id="rId282" Target="https://arxiv.org/abs/2604.08920" TargetMode="External" /><Relationship Type="http://schemas.openxmlformats.org/officeDocument/2006/relationships/hyperlink" Id="rId252" Target="https://arxiv.org/abs/2605.03534" TargetMode="External" /><Relationship Type="http://schemas.openxmlformats.org/officeDocument/2006/relationships/hyperlink" Id="rId242" Target="https://arxiv.org/abs/2605.05716" TargetMode="External" /><Relationship Type="http://schemas.openxmlformats.org/officeDocument/2006/relationships/hyperlink" Id="rId284" Target="https://arxiv.org/abs/2605.06028" TargetMode="External" /><Relationship Type="http://schemas.openxmlformats.org/officeDocument/2006/relationships/hyperlink" Id="rId210" Target="https://arxiv.org/abs/2606.20047" TargetMode="External" /><Relationship Type="http://schemas.openxmlformats.org/officeDocument/2006/relationships/hyperlink" Id="rId204" Target="https://arxiv.org/abs/2608.26762" TargetMode="External" /><Relationship Type="http://schemas.openxmlformats.org/officeDocument/2006/relationships/hyperlink" Id="rId236" Target="https://doi.org/10.1007/978-1-4612-4946-7" TargetMode="External" /><Relationship Type="http://schemas.openxmlformats.org/officeDocument/2006/relationships/hyperlink" Id="rId248" Target="https://doi.org/10.1007/978-3-032-19099-4_23" TargetMode="External" /><Relationship Type="http://schemas.openxmlformats.org/officeDocument/2006/relationships/hyperlink" Id="rId291" Target="https://doi.org/10.1007/978-3-642-12275-0_32" TargetMode="External" /><Relationship Type="http://schemas.openxmlformats.org/officeDocument/2006/relationships/hyperlink" Id="rId206" Target="https://doi.org/10.1007/s10791-008-9045-0" TargetMode="External" /><Relationship Type="http://schemas.openxmlformats.org/officeDocument/2006/relationships/hyperlink" Id="rId232" Target="https://doi.org/10.1016/j.econlet.2024.112146" TargetMode="External" /><Relationship Type="http://schemas.openxmlformats.org/officeDocument/2006/relationships/hyperlink" Id="rId262" Target="https://doi.org/10.1017/CBO9780511666353" TargetMode="External" /><Relationship Type="http://schemas.openxmlformats.org/officeDocument/2006/relationships/hyperlink" Id="rId187" Target="https://doi.org/10.1093/biomet/26.4.404" TargetMode="External" /><Relationship Type="http://schemas.openxmlformats.org/officeDocument/2006/relationships/hyperlink" Id="rId254" Target="https://doi.org/10.1108/eb026647" TargetMode="External" /><Relationship Type="http://schemas.openxmlformats.org/officeDocument/2006/relationships/hyperlink" Id="rId168" Target="https://doi.org/10.1109/ISIT.2014.6875280" TargetMode="External" /><Relationship Type="http://schemas.openxmlformats.org/officeDocument/2006/relationships/hyperlink" Id="rId268" Target="https://doi.org/10.1145/1571941.1571963" TargetMode="External" /><Relationship Type="http://schemas.openxmlformats.org/officeDocument/2006/relationships/hyperlink" Id="rId177" Target="https://doi.org/10.1145/290941.291025" TargetMode="External" /><Relationship Type="http://schemas.openxmlformats.org/officeDocument/2006/relationships/hyperlink" Id="rId289" Target="https://doi.org/10.1145/3802111" TargetMode="External" /><Relationship Type="http://schemas.openxmlformats.org/officeDocument/2006/relationships/hyperlink" Id="rId234" Target="https://doi.org/10.1214/aoms/1177700372" TargetMode="External" /><Relationship Type="http://schemas.openxmlformats.org/officeDocument/2006/relationships/hyperlink" Id="rId197" Target="https://doi.org/10.1214/aoms/1177728174" TargetMode="External" /><Relationship Type="http://schemas.openxmlformats.org/officeDocument/2006/relationships/hyperlink" Id="rId170" Target="https://doi.org/10.1214/aoms/1177729032" TargetMode="External" /><Relationship Type="http://schemas.openxmlformats.org/officeDocument/2006/relationships/hyperlink" Id="rId163" Target="https://doi.org/10.5281/zenodo.20800031" TargetMode="External" /><Relationship Type="http://schemas.openxmlformats.org/officeDocument/2006/relationships/hyperlink" Id="rId161" Target="https://doi.org/10.5281/zenodo.20800175" TargetMode="External" /><Relationship Type="http://schemas.openxmlformats.org/officeDocument/2006/relationships/hyperlink" Id="rId165" Target="https://doi.org/10.5281/zenodo.20800209" TargetMode="External" /><Relationship Type="http://schemas.openxmlformats.org/officeDocument/2006/relationships/hyperlink" Id="rId73" Target="https://github.com/abilous-ti/blackwell-llm-context" TargetMode="External" /><Relationship Type="http://schemas.openxmlformats.org/officeDocument/2006/relationships/hyperlink" Id="rId220" Target="https://www.trychroma.com/research/context-r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Context selection as a partial order: A Blackwell framework and verified LLM evidence</dc:title>
  <dc:creator>Andriy Bilous ^{1}, Vasyl Lytvyn ^{1}, Petro Pukach ^{2,\ast}, Zoriana Rybchak ^{1} ^{1} Department of Information Systems and Networks, Institute of Computer Science and Information Technologies, Lviv Polytechnic National University, S. Bandery St. 12, 79013 Lviv, Ukraine; andriy.bilous@uitware.com (A.B.); vasyl.v.lytvyn@lpnu.ua (V.L.); zoriana.l.rybchak@lpnu.ua (Z.R.) ^{2} Institute of Applied Mathematics and Fundamental Sciences, Lviv Polytechnic National University, S. Bandery St. 12, 79013 Lviv, Ukraine ^{\ast} Correspondence: petro.y.pukach@lpnu.ua</dc:creator>
  <cp:keywords/>
  <dcterms:created xsi:type="dcterms:W3CDTF">2026-09-09T10:29:47Z</dcterms:created>
  <dcterms:modified xsi:type="dcterms:W3CDTF">2026-09-09T10:29:47Z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Prompt context is usually chosen by scoring each source with one number and keeping the top few. We study the limits of task-independent scalar rankings for context sources. Two sources can be incomparable in Blackwell’s sense; we prove that when they are, no single per-source score ranks them correctly for every task. That concerns the ideal user of a source; what a fixed model does with one is separate, and we measure it. Running each source through a battery of pass/fail tasks and comparing pass rates with exact confidence intervals, on six models from four vendors we verify at \ge 90\% in both directions that two hand-built sources cross in realized pass rate. On a designed trap a lexical score, two dense retrievers and a cross-encoder prefer the wrong source, while a listwise LLM reranker reading the deciding detail does not. A strict superset of a sufficient source also lowers pass rates, verifiably on eleven of twelve cells and as far as 100\% to 0\%; a character-matched padding arm and a reversed-order arm leave that collapse unexplained. Results hold for the evaluated snapshots, prompts and decoders on a hand-built battery; scaling the implied rule to large corpora remains open.</vt:lpwstr>
  </property>
  <property fmtid="{D5CDD505-2E9C-101B-9397-08002B2CF9AE}" pid="3" name="bibliography">
    <vt:lpwstr>blackwell-paper.bib</vt:lpwstr>
  </property>
  <property fmtid="{D5CDD505-2E9C-101B-9397-08002B2CF9AE}" pid="4" name="date">
    <vt:lpwstr/>
  </property>
</Properties>
</file>