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w:t>
      </w:r>
      <w:r>
        <w:br/>
      </w:r>
      <w:r>
        <w:t xml:space="preserve">Department of Information Systems and Networks</w:t>
      </w:r>
      <w:r>
        <w:br/>
      </w:r>
      <w:r>
        <w:t xml:space="preserve">Lviv Polytechnic National University, Lviv, Ukraine</w:t>
      </w:r>
      <w:r>
        <w:br/>
      </w:r>
      <w:r>
        <w:t xml:space="preserve">ORCID: 0009-0006-5467-7932</w:t>
      </w:r>
      <w:r>
        <w:br/>
      </w:r>
      <w:r>
        <w:rPr>
          <w:rStyle w:val="VerbatimChar"/>
        </w:rPr>
        <w:t xml:space="preserve">andriy.bilous@uitware.com</w:t>
      </w:r>
    </w:p>
    <w:p>
      <w:pPr>
        <w:pStyle w:val="AbstractTitle"/>
      </w:pPr>
      <w:r>
        <w:t xml:space="preserve">Abstract</w:t>
      </w:r>
    </w:p>
    <w:p>
      <w:pPr>
        <w:pStyle w:val="Abstract"/>
      </w:pPr>
      <w:r>
        <w:t xml:space="preserve">Choosing what to put in a language model’s prompt is almost always done by</w:t>
      </w:r>
      <w:r>
        <w:t xml:space="preserve"> </w:t>
      </w:r>
      <w:r>
        <w:t xml:space="preserve">scoring each candidate source with a single number and keeping the top few. We</w:t>
      </w:r>
      <w:r>
        <w:t xml:space="preserve"> </w:t>
      </w:r>
      <w:r>
        <w:t xml:space="preserve">argue this is the wrong approach. The best context for one task is often useless</w:t>
      </w:r>
      <w:r>
        <w:t xml:space="preserve"> </w:t>
      </w:r>
      <w:r>
        <w:t xml:space="preserve">for another. Two sources can be</w:t>
      </w:r>
      <w:r>
        <w:t xml:space="preserve"> </w:t>
      </w:r>
      <w:r>
        <w:rPr>
          <w:i/>
          <w:iCs/>
        </w:rPr>
        <w:t xml:space="preserve">incomparable</w:t>
      </w:r>
      <w:r>
        <w:t xml:space="preserve">, in the exact sense of</w:t>
      </w:r>
      <w:r>
        <w:t xml:space="preserve"> </w:t>
      </w:r>
      <w:r>
        <w:t xml:space="preserve">Blackwell’s 1953 comparison of experiments, and when they</w:t>
      </w:r>
      <w:r>
        <w:t xml:space="preserve"> </w:t>
      </w:r>
      <w:r>
        <w:t xml:space="preserve">are, no single per-source score, relevance or utility, can rank them correctly for every task. To test</w:t>
      </w:r>
      <w:r>
        <w:t xml:space="preserve"> </w:t>
      </w:r>
      <w:r>
        <w:t xml:space="preserve">this on real systems we use a simple check: run each source through a battery of</w:t>
      </w:r>
      <w:r>
        <w:t xml:space="preserve"> </w:t>
      </w:r>
      <w:r>
        <w:t xml:space="preserve">pass/fail tasks, compare the pass rates, and attach confidence intervals so the</w:t>
      </w:r>
      <w:r>
        <w:t xml:space="preserve"> </w:t>
      </w:r>
      <w:r>
        <w:t xml:space="preserve">comparison is auditable (a distribution-free</w:t>
      </w:r>
      <w:r>
        <w:t xml:space="preserve"> </w:t>
      </w:r>
      <w:r>
        <w:rPr>
          <w:i/>
          <w:iCs/>
        </w:rPr>
        <w:t xml:space="preserve">verification</w:t>
      </w:r>
      <w:r>
        <w:t xml:space="preserve">). On six</w:t>
      </w:r>
      <w:r>
        <w:t xml:space="preserve"> </w:t>
      </w:r>
      <w:r>
        <w:t xml:space="preserve">language models from four vendors we confirm (</w:t>
      </w:r>
      <m:oMath>
        <m:r>
          <m:rPr>
            <m:sty m:val="p"/>
          </m:rPr>
          <m:t>≥</m:t>
        </m:r>
        <m:r>
          <m:t>90</m:t>
        </m:r>
        <m:r>
          <m:rPr>
            <m:sty m:val="p"/>
          </m:rPr>
          <m:t>%</m:t>
        </m:r>
      </m:oMath>
      <w:r>
        <w:t xml:space="preserve"> </w:t>
      </w:r>
      <w:r>
        <w:t xml:space="preserve">confidence, both</w:t>
      </w:r>
      <w:r>
        <w:t xml:space="preserve"> </w:t>
      </w:r>
      <w:r>
        <w:t xml:space="preserve">directions) that two hand-built sources are incomparable. On a designed trap</w:t>
      </w:r>
      <w:r>
        <w:t xml:space="preserve"> </w:t>
      </w:r>
      <w:r>
        <w:t xml:space="preserve">task a lexical score, two dense</w:t>
      </w:r>
      <w:r>
        <w:t xml:space="preserve"> </w:t>
      </w:r>
      <w:r>
        <w:t xml:space="preserve">retrievers, and a cross-encoder reranker all prefer the wrong source; only a</w:t>
      </w:r>
      <w:r>
        <w:t xml:space="preserve"> </w:t>
      </w:r>
      <w:r>
        <w:t xml:space="preserve">listwise LLM reranker, which reads the deciding detail, gets it right, exactly</w:t>
      </w:r>
      <w:r>
        <w:t xml:space="preserve"> </w:t>
      </w:r>
      <w:r>
        <w:t xml:space="preserve">the boundary the theory predicts. We also find that adding a strictly larger</w:t>
      </w:r>
      <w:r>
        <w:t xml:space="preserve"> </w:t>
      </w:r>
      <w:r>
        <w:t xml:space="preserve">source can</w:t>
      </w:r>
      <w:r>
        <w:t xml:space="preserve"> </w:t>
      </w:r>
      <w:r>
        <w:rPr>
          <w:i/>
          <w:iCs/>
        </w:rPr>
        <w:t xml:space="preserve">hurt</w:t>
      </w:r>
      <w:r>
        <w:t xml:space="preserve">: pass rates fall from</w:t>
      </w:r>
      <w:r>
        <w:t xml:space="preserve"> </w:t>
      </w:r>
      <m:oMath>
        <m:r>
          <m:t>100</m:t>
        </m:r>
        <m:r>
          <m:rPr>
            <m:sty m:val="p"/>
          </m:rPr>
          <m:t>%</m:t>
        </m:r>
      </m:oMath>
      <w:r>
        <w:t xml:space="preserve"> </w:t>
      </w:r>
      <w:r>
        <w:t xml:space="preserve">to as low as</w:t>
      </w:r>
      <w:r>
        <w:t xml:space="preserve"> </w:t>
      </w:r>
      <m:oMath>
        <m:r>
          <m:t>0</m:t>
        </m:r>
        <m:r>
          <m:rPr>
            <m:sty m:val="p"/>
          </m:rPr>
          <m:t>%</m:t>
        </m:r>
      </m:oMath>
      <w:r>
        <w:t xml:space="preserve">, and</w:t>
      </w:r>
      <w:r>
        <w:t xml:space="preserve"> </w:t>
      </w:r>
      <w:r>
        <w:t xml:space="preserve">controls rule out word order and length as the cause. The lesson is practical:</w:t>
      </w:r>
      <w:r>
        <w:t xml:space="preserve"> </w:t>
      </w:r>
      <w:r>
        <w:t xml:space="preserve">treat context selection as a partial-order problem, not a scalar ranking, and</w:t>
      </w:r>
      <w:r>
        <w:t xml:space="preserve"> </w:t>
      </w:r>
      <w:r>
        <w:t xml:space="preserve">compare sources by a verified pass-rate test rather than a relevance number.</w:t>
      </w:r>
      <w:r>
        <w:t xml:space="preserve"> </w:t>
      </w:r>
      <w:r>
        <w:t xml:space="preserve">Scaling the selection rule this implies to large corpora is the main open problem.</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7"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(Blackwell 1953)</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(Blackwell 1953; Torgersen 1991)</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p>
      <w:pPr>
        <w:pStyle w:val="BodyText"/>
      </w:pPr>
      <w:r>
        <w:t xml:space="preserve">A note on the scope of the title. A total order is refuted by a single incomparable pair, so the</w:t>
      </w:r>
      <w:r>
        <w:t xml:space="preserve"> </w:t>
      </w:r>
      <w:r>
        <w:t xml:space="preserve">claim in the title is licensed by exhibiting verified incomparable pairs, which we do on six</w:t>
      </w:r>
      <w:r>
        <w:t xml:space="preserve"> </w:t>
      </w:r>
      <w:r>
        <w:t xml:space="preserve">production models across two source domains (§7). Beyond that existential</w:t>
      </w:r>
      <w:r>
        <w:t xml:space="preserve"> </w:t>
      </w:r>
      <w:r>
        <w:t xml:space="preserve">core, the partial order is offered as a</w:t>
      </w:r>
      <w:r>
        <w:t xml:space="preserve"> </w:t>
      </w:r>
      <w:r>
        <w:rPr>
          <w:i/>
          <w:iCs/>
        </w:rPr>
        <w:t xml:space="preserve">framework</w:t>
      </w:r>
      <w:r>
        <w:t xml:space="preserve"> </w:t>
      </w:r>
      <w:r>
        <w:t xml:space="preserve">for the general phenomenon, and every</w:t>
      </w:r>
      <w:r>
        <w:t xml:space="preserve"> </w:t>
      </w:r>
      <w:r>
        <w:t xml:space="preserve">empirical claim in the paper is stated model-relative, not as a law over all context selection.</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Several of the</w:t>
      </w:r>
      <w:r>
        <w:t xml:space="preserve"> </w:t>
      </w:r>
      <w:r>
        <w:rPr>
          <w:i/>
          <w:iCs/>
        </w:rPr>
        <w:t xml:space="preserve">phenomena</w:t>
      </w:r>
      <w:r>
        <w:t xml:space="preserve"> </w:t>
      </w:r>
      <w:r>
        <w:t xml:space="preserve">are also known, each in its own literature,</w:t>
      </w:r>
      <w:r>
        <w:t xml:space="preserve"> </w:t>
      </w:r>
      <w:r>
        <w:t xml:space="preserve">and we say so up front. That topical relevance is the wrong target and downstream utility the</w:t>
      </w:r>
      <w:r>
        <w:t xml:space="preserve"> </w:t>
      </w:r>
      <w:r>
        <w:t xml:space="preserve">right one is the thesis of utility-centric retrieval </w:t>
      </w:r>
      <w:r>
        <w:t xml:space="preserve">(H. Zhang et al. 2026)</w:t>
      </w:r>
      <w:r>
        <w:t xml:space="preserve">; that the same</w:t>
      </w:r>
      <w:r>
        <w:t xml:space="preserve"> </w:t>
      </w:r>
      <w:r>
        <w:t xml:space="preserve">passage is worth different amounts to different models is measured there </w:t>
      </w:r>
      <w:r>
        <w:t xml:space="preserve">(Zhang et al. 2025)</w:t>
      </w:r>
      <w:r>
        <w:t xml:space="preserve">;</w:t>
      </w:r>
      <w:r>
        <w:t xml:space="preserve"> </w:t>
      </w:r>
      <w:r>
        <w:t xml:space="preserve">that adding sources can lower accuracy while coverage saturates was established for data integration</w:t>
      </w:r>
      <w:r>
        <w:t xml:space="preserve"> </w:t>
      </w:r>
      <w:r>
        <w:t xml:space="preserve">over a decade ago </w:t>
      </w:r>
      <w:r>
        <w:t xml:space="preserve">(Dong et al. 2012)</w:t>
      </w:r>
      <w:r>
        <w:t xml:space="preserve">; that rerankers are steered by lexical similarity is</w:t>
      </w:r>
      <w:r>
        <w:t xml:space="preserve"> </w:t>
      </w:r>
      <w:r>
        <w:t xml:space="preserve">documented in the wild </w:t>
      </w:r>
      <w:r>
        <w:t xml:space="preserve">(Hagström et al. 2025)</w:t>
      </w:r>
      <w:r>
        <w:t xml:space="preserve">; and keeping a non-dominated set rather than a</w:t>
      </w:r>
      <w:r>
        <w:t xml:space="preserve"> </w:t>
      </w:r>
      <w:r>
        <w:t xml:space="preserve">top-</w:t>
      </w:r>
      <m:oMath>
        <m:r>
          <m:t>k</m:t>
        </m:r>
      </m:oMath>
      <w:r>
        <w:t xml:space="preserve"> </w:t>
      </w:r>
      <w:r>
        <w:t xml:space="preserve">prefix exists as an operator over heuristic scores </w:t>
      </w:r>
      <w:r>
        <w:t xml:space="preserve">(Wang et al. 2025)</w:t>
      </w:r>
      <w:r>
        <w:t xml:space="preserve">; and the Blackwell</w:t>
      </w:r>
      <w:r>
        <w:t xml:space="preserve"> </w:t>
      </w:r>
      <w:r>
        <w:t xml:space="preserve">and Le Cam apparatus itself was brought to inference-time context selection against a frozen</w:t>
      </w:r>
      <w:r>
        <w:t xml:space="preserve"> </w:t>
      </w:r>
      <w:r>
        <w:t xml:space="preserve">decoder, concurrently with this work and without a priority claim on our</w:t>
      </w:r>
      <w:r>
        <w:t xml:space="preserve"> </w:t>
      </w:r>
      <w:r>
        <w:t xml:space="preserve">part </w:t>
      </w:r>
      <w:r>
        <w:t xml:space="preserve">(Alpila 2026a)</w:t>
      </w:r>
      <w:r>
        <w:t xml:space="preserve">. What is new is the</w:t>
      </w:r>
      <w:r>
        <w:t xml:space="preserve"> </w:t>
      </w:r>
      <w:r>
        <w:rPr>
          <w:i/>
          <w:iCs/>
        </w:rPr>
        <w:t xml:space="preserve">form</w:t>
      </w:r>
      <w:r>
        <w:t xml:space="preserve"> </w:t>
      </w:r>
      <w:r>
        <w:t xml:space="preserve">that ties these together: reading cross-task non-transfer as a partial order over</w:t>
      </w:r>
      <w:r>
        <w:t xml:space="preserve"> </w:t>
      </w:r>
      <w:r>
        <w:t xml:space="preserve">context sources; proving that no single per-source score, relevance or utility, can be faithful to</w:t>
      </w:r>
      <w:r>
        <w:t xml:space="preserve"> </w:t>
      </w:r>
      <w:r>
        <w:t xml:space="preserve">that order across tasks once two sources are incomparable, so that utility re-measured per task by</w:t>
      </w:r>
      <w:r>
        <w:t xml:space="preserve"> </w:t>
      </w:r>
      <w:r>
        <w:t xml:space="preserve">running the model is not a shortcut around the theorem but the probe it calls for; and giving a</w:t>
      </w:r>
      <w:r>
        <w:t xml:space="preserve"> </w:t>
      </w:r>
      <w:r>
        <w:t xml:space="preserve">finite-sample test that verifies incomparability and superset harm on a live model with both</w:t>
      </w:r>
      <w:r>
        <w:t xml:space="preserve"> </w:t>
      </w:r>
      <w:r>
        <w:t xml:space="preserve">sources held correct and the length, position, and routing confounds controlled</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X9dd93aab3e7d4daf67ece92ba62beeb03b6ebb5"/>
    <w:p>
      <w:pPr>
        <w:pStyle w:val="Heading4"/>
      </w:pPr>
      <w:r>
        <w:t xml:space="preserve">A latent-coordinate model that makes the order non-vacuous.</w:t>
      </w:r>
    </w:p>
    <w:p>
      <w:pPr>
        <w:pStyle w:val="FirstParagraph"/>
      </w:pPr>
      <w:r>
        <w:t xml:space="preserve">One technical point keeps the framing from being empty. A fixed string of text looks like a</w:t>
      </w:r>
      <w:r>
        <w:t xml:space="preserve"> </w:t>
      </w:r>
      <w:r>
        <w:t xml:space="preserve">constant, and a constant carries no information in Blackwell’s sense. We avoid this by treating the</w:t>
      </w:r>
      <w:r>
        <w:t xml:space="preserve"> </w:t>
      </w:r>
      <w:r>
        <w:t xml:space="preserve">hidden requirement as a list of separate facts and each source as revealing some of them; two</w:t>
      </w:r>
      <w:r>
        <w:t xml:space="preserve"> </w:t>
      </w:r>
      <w:r>
        <w:t xml:space="preserve">sources are then incomparable exactly when each reveals a fact the other hides, which is easy to</w:t>
      </w:r>
      <w:r>
        <w:t xml:space="preserve"> </w:t>
      </w:r>
      <w:r>
        <w:t xml:space="preserve">check and holds for our pair (Lemma 1).</w:t>
      </w:r>
    </w:p>
    <w:bookmarkEnd w:id="11"/>
    <w:bookmarkStart w:id="12"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 uniform verification</w:t>
      </w:r>
      <w:r>
        <w:t xml:space="preserve"> </w:t>
      </w:r>
      <w:r>
        <w:t xml:space="preserve">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 on every model, with two-sided lower</w:t>
      </w:r>
      <w:r>
        <w:t xml:space="preserve"> </w:t>
      </w:r>
      <w:r>
        <w:t xml:space="preserve">bounds from</w:t>
      </w:r>
      <w:r>
        <w:t xml:space="preserve"> </w:t>
      </w:r>
      <m:oMath>
        <m:r>
          <m:rPr>
            <m:sty m:val="p"/>
          </m:rPr>
          <m:t>+</m:t>
        </m:r>
        <m:r>
          <m:t>0.35</m:t>
        </m:r>
      </m:oMath>
      <w:r>
        <w:t xml:space="preserve"> </w:t>
      </w:r>
      <w:r>
        <w:t xml:space="preserve">to</w:t>
      </w:r>
      <w:r>
        <w:t xml:space="preserve"> </w:t>
      </w:r>
      <m:oMath>
        <m:r>
          <m:rPr>
            <m:sty m:val="p"/>
          </m:rPr>
          <m:t>+</m:t>
        </m:r>
        <m:r>
          <m:t>0.76</m:t>
        </m:r>
      </m:oMath>
      <w:r>
        <w:t xml:space="preserve"> </w:t>
      </w:r>
      <w:r>
        <w:t xml:space="preserve">at</w:t>
      </w:r>
      <w:r>
        <w:t xml:space="preserve"> </w:t>
      </w:r>
      <m:oMath>
        <m:r>
          <m:t>n</m:t>
        </m:r>
        <m:r>
          <m:rPr>
            <m:sty m:val="p"/>
          </m:rPr>
          <m:t>=</m:t>
        </m:r>
        <m:r>
          <m:t>40</m:t>
        </m:r>
      </m:oMath>
      <w:r>
        <w:t xml:space="preserve"> </w:t>
      </w:r>
      <w:r>
        <w:t xml:space="preserve">(§7.4.1), so incomparability is</w:t>
      </w:r>
      <w:r>
        <w:t xml:space="preserve"> </w:t>
      </w:r>
      <w:r>
        <w:t xml:space="preserve">not a single-lab artifact.</w:t>
      </w:r>
    </w:p>
    <w:p>
      <w:pPr>
        <w:numPr>
          <w:ilvl w:val="0"/>
          <w:numId w:val="1001"/>
        </w:numPr>
      </w:pPr>
      <w:r>
        <w:rPr>
          <w:b/>
          <w:bCs/>
        </w:rPr>
        <w:t xml:space="preserve">Representative topical rankers mis-rank the pair.</w:t>
      </w:r>
      <w:r>
        <w:t xml:space="preserve"> </w:t>
      </w:r>
      <w:r>
        <w:t xml:space="preserve">On a trap task saturated with</w:t>
      </w:r>
      <w:r>
        <w:t xml:space="preserve"> </w:t>
      </w:r>
      <w:r>
        <w:t xml:space="preserve">encoding vocabulary, lexical relevance ranks</w:t>
      </w:r>
      <w:r>
        <w:t xml:space="preserve"> </w:t>
      </w:r>
      <m:oMath>
        <m:sSub>
          <m:e>
            <m:r>
              <m:t>W</m:t>
            </m:r>
          </m:e>
          <m:sub>
            <m:r>
              <m:t>2</m:t>
            </m:r>
          </m:sub>
        </m:sSub>
        <m:r>
          <m:rPr>
            <m:sty m:val="p"/>
          </m:rPr>
          <m:t>≻</m:t>
        </m:r>
        <m:sSub>
          <m:e>
            <m:r>
              <m:t>W</m:t>
            </m:r>
          </m:e>
          <m:sub>
            <m:r>
              <m:t>1</m:t>
            </m:r>
          </m:sub>
        </m:sSub>
      </m:oMath>
      <w:r>
        <w:t xml:space="preserve"> </w:t>
      </w:r>
      <w:r>
        <w:t xml:space="preserve">while realized PASS ranks</w:t>
      </w:r>
      <w:r>
        <w:t xml:space="preserve"> </w:t>
      </w:r>
      <m:oMath>
        <m:sSub>
          <m:e>
            <m:r>
              <m:t>W</m:t>
            </m:r>
          </m:e>
          <m:sub>
            <m:r>
              <m:t>1</m:t>
            </m:r>
          </m:sub>
        </m:sSub>
        <m:r>
          <m:rPr>
            <m:sty m:val="p"/>
          </m:rPr>
          <m:t>≫</m:t>
        </m:r>
        <m:sSub>
          <m:e>
            <m:r>
              <m:t>W</m:t>
            </m:r>
          </m:e>
          <m:sub>
            <m:r>
              <m:t>2</m:t>
            </m:r>
          </m:sub>
        </m:sSub>
      </m:oMath>
      <w:r>
        <w:t xml:space="preserve"> </w:t>
      </w:r>
      <w:r>
        <w:t xml:space="preserve">(</w:t>
      </w:r>
      <m:oMath>
        <m:r>
          <m:t>96</m:t>
        </m:r>
      </m:oMath>
      <w:r>
        <w:t xml:space="preserve">–</w:t>
      </w:r>
      <m:oMath>
        <m:r>
          <m:t>100</m:t>
        </m:r>
        <m:r>
          <m:rPr>
            <m:sty m:val="p"/>
          </m:rPr>
          <m:t>%</m:t>
        </m:r>
      </m:oMath>
      <w:r>
        <w:t xml:space="preserve"> </w:t>
      </w:r>
      <w:r>
        <w:t xml:space="preserve">vs. </w:t>
      </w:r>
      <m:oMath>
        <m:r>
          <m:t>0</m:t>
        </m:r>
        <m:r>
          <m:rPr>
            <m:sty m:val="p"/>
          </m:rPr>
          <m:t>%</m:t>
        </m:r>
      </m:oMath>
      <w:r>
        <w:t xml:space="preserve">); two dense bi-encoders and a cross-encoder repeat the</w:t>
      </w:r>
      <w:r>
        <w:t xml:space="preserve"> </w:t>
      </w:r>
      <w:r>
        <w:t xml:space="preserve">error, and an LLM listwise reranker escapes it (§7.4.2). On the honest tasks</w:t>
      </w:r>
      <w:r>
        <w:t xml:space="preserve"> </w:t>
      </w:r>
      <w:r>
        <w:t xml:space="preserve">every ranker agrees with PASS, so failure occurs</w:t>
      </w:r>
      <w:r>
        <w:t xml:space="preserve"> </w:t>
      </w:r>
      <w:r>
        <w:rPr>
          <w:i/>
          <w:iCs/>
        </w:rPr>
        <w:t xml:space="preserve">only</w:t>
      </w:r>
      <w:r>
        <w:t xml:space="preserve"> </w:t>
      </w:r>
      <w:r>
        <w:t xml:space="preserve">where surface relevance diverges</w:t>
      </w:r>
      <w:r>
        <w:t xml:space="preserve"> </w:t>
      </w:r>
      <w:r>
        <w:t xml:space="preserve">from verifier-decisive content, which is the boundary</w:t>
      </w:r>
      <w:r>
        <w:t xml:space="preserve"> </w:t>
      </w:r>
      <w:r>
        <w:t xml:space="preserve">Proposition 2 draws.</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w:t>
      </w:r>
      <w:r>
        <w:t xml:space="preserve"> </w:t>
      </w:r>
      <w:r>
        <w:t xml:space="preserve">operator</w:t>
      </w:r>
      <w:r>
        <w:t xml:space="preserve"> </w:t>
      </w:r>
      <m:oMath>
        <m:r>
          <m:t> </m:t>
        </m:r>
        <m:r>
          <m:rPr>
            <m:sty m:val="p"/>
          </m:rPr>
          <m:t>+</m:t>
        </m:r>
        <m:r>
          <m:rPr>
            <m:sty m:val="p"/>
          </m:rPr>
          <m:t>+</m:t>
        </m:r>
        <m:r>
          <m:t> </m:t>
        </m:r>
      </m:oMath>
      <w:r>
        <w:t xml:space="preserve"> </w:t>
      </w:r>
      <w:r>
        <w:t xml:space="preserve">is text concatenation) literally</w:t>
      </w:r>
      <w:r>
        <w:t xml:space="preserve"> </w:t>
      </w:r>
      <w:r>
        <w:rPr>
          <w:i/>
          <w:iCs/>
        </w:rPr>
        <w:t xml:space="preserve">contains</w:t>
      </w:r>
      <w:r>
        <w:t xml:space="preserve"> </w:t>
      </w:r>
      <m:oMath>
        <m:sSub>
          <m:e>
            <m:r>
              <m:t>W</m:t>
            </m:r>
          </m:e>
          <m:sub>
            <m:r>
              <m:t>1</m:t>
            </m:r>
          </m:sub>
        </m:sSub>
      </m:oMath>
      <w:r>
        <w:t xml:space="preserve">’s signal yet sharply</w:t>
      </w:r>
      <w:r>
        <w:t xml:space="preserve"> </w:t>
      </w:r>
      <w:r>
        <w:t xml:space="preserve">degrades the API cells: the harm contrast is verified on at least one cell for all six models,</w:t>
      </w:r>
      <w:r>
        <w:t xml:space="preserve"> </w:t>
      </w:r>
      <w:r>
        <w:t xml:space="preserve">as deep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0.82</m:t>
        </m:r>
      </m:oMath>
      <w:r>
        <w:t xml:space="preserve">) and as mild as Opus’s</w:t>
      </w:r>
      <w:r>
        <w:t xml:space="preserve"> </w:t>
      </w:r>
      <m:oMath>
        <m:r>
          <m:t>100</m:t>
        </m:r>
        <m:r>
          <m:rPr>
            <m:sty m:val="p"/>
          </m:rPr>
          <m:t>%</m:t>
        </m:r>
        <m:r>
          <m:rPr>
            <m:sty m:val="p"/>
          </m:rPr>
          <m:t>→</m:t>
        </m:r>
        <m:r>
          <m:t>38</m:t>
        </m:r>
        <m:r>
          <m:rPr>
            <m:sty m:val="p"/>
          </m:rPr>
          <m:t>%</m:t>
        </m:r>
      </m:oMath>
      <w:r>
        <w:t xml:space="preserve"> </w:t>
      </w:r>
      <w:r>
        <w:t xml:space="preserve">(</w:t>
      </w:r>
      <m:oMath>
        <m:r>
          <m:rPr>
            <m:sty m:val="p"/>
          </m:rPr>
          <m:t>−</m:t>
        </m:r>
        <m:r>
          <m:t>0.37</m:t>
        </m:r>
      </m:oMath>
      <w:r>
        <w:t xml:space="preserve">); a length-matched padding control shows equal-length irrelevant text is harmless, so</w:t>
      </w:r>
      <w:r>
        <w:t xml:space="preserve"> </w:t>
      </w:r>
      <w:r>
        <w:t xml:space="preserve">the harm is the added signal, not token count or position (§7.4.3). The</w:t>
      </w:r>
      <w:r>
        <w:t xml:space="preserve"> </w:t>
      </w:r>
      <w:r>
        <w:t xml:space="preserve">effect is robust across the capability ladder but not monotone in capability, so we claim no</w:t>
      </w:r>
      <w:r>
        <w:t xml:space="preserve"> </w:t>
      </w:r>
      <w:r>
        <w:t xml:space="preserve">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reported</w:t>
      </w:r>
      <w:r>
        <w:t xml:space="preserve"> </w:t>
      </w:r>
      <w:r>
        <w:t xml:space="preserve">as supporting evidence rather than a headline claim.</w:t>
      </w:r>
    </w:p>
    <w:bookmarkEnd w:id="12"/>
    <w:bookmarkStart w:id="13"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2"/>
        </w:numPr>
      </w:pPr>
      <w:r>
        <w:rPr>
          <w:b/>
          <w:bCs/>
        </w:rPr>
        <w:t xml:space="preserve">Theory: the order is partial, and no single per-source score survives it</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Bringing this apparatus to inference-time context is not by itself ours: concurrent work</w:t>
      </w:r>
      <w:r>
        <w:t xml:space="preserve"> </w:t>
      </w:r>
      <w:r>
        <w:t xml:space="preserve">reaches the same classical objects from the admission side (§2.3). What</w:t>
      </w:r>
      <w:r>
        <w:t xml:space="preserve"> </w:t>
      </w:r>
      <w:r>
        <w:t xml:space="preserve">is ours is the consequence of taking</w:t>
      </w:r>
      <w:r>
        <w:t xml:space="preserve"> </w:t>
      </w:r>
      <w:r>
        <w:rPr>
          <w:i/>
          <w:iCs/>
        </w:rPr>
        <w:t xml:space="preserve">incomparability</w:t>
      </w:r>
      <w:r>
        <w:t xml:space="preserve"> </w:t>
      </w:r>
      <w:r>
        <w:t xml:space="preserve">rather than deficiency-minimization</w:t>
      </w:r>
      <w:r>
        <w:t xml:space="preserve"> </w:t>
      </w:r>
      <w:r>
        <w:t xml:space="preserve">as the object. Blackwell-incomparable sources cannot be ranked by</w:t>
      </w:r>
      <w:r>
        <w:t xml:space="preserve"> </w:t>
      </w:r>
      <w:r>
        <w:rPr>
          <w:i/>
          <w:iCs/>
        </w:rPr>
        <w:t xml:space="preserve">any</w:t>
      </w:r>
      <w:r>
        <w:t xml:space="preserve"> </w:t>
      </w:r>
      <w:r>
        <w:t xml:space="preserve">single per-source</w:t>
      </w:r>
      <w:r>
        <w:t xml:space="preserve"> </w:t>
      </w:r>
      <w:r>
        <w:t xml:space="preserve">score</w:t>
      </w:r>
      <w:r>
        <w:t xml:space="preserve"> </w:t>
      </w:r>
      <m:oMath>
        <m:r>
          <m:t>φ</m:t>
        </m:r>
        <m:r>
          <m:rPr>
            <m:sty m:val="p"/>
          </m:rPr>
          <m:t>(</m:t>
        </m:r>
        <m:r>
          <m:t>W</m:t>
        </m:r>
        <m:r>
          <m:rPr>
            <m:sty m:val="p"/>
          </m:rPr>
          <m:t>)</m:t>
        </m:r>
      </m:oMath>
      <w:r>
        <w:t xml:space="preserve">, relevance or utility, for all tasks (Theorem 2), with</w:t>
      </w:r>
      <w:r>
        <w:t xml:space="preserve"> </w:t>
      </w:r>
      <w:r>
        <w:t xml:space="preserve">the query-conditioned topical case isolated separately (Proposition 2);</w:t>
      </w:r>
      <w:r>
        <w:t xml:space="preserve"> </w:t>
      </w:r>
      <w:r>
        <w:t xml:space="preserve">both impossibility results are machine-checked in Lean 4 and depend on no axioms</w:t>
      </w:r>
      <w:r>
        <w:t xml:space="preserve"> </w:t>
      </w:r>
      <w:r>
        <w:t xml:space="preserve">(Remark 3). Information retrieval has long argued that no single fixed document</w:t>
      </w:r>
      <w:r>
        <w:t xml:space="preserve"> </w:t>
      </w:r>
      <w:r>
        <w:t xml:space="preserve">score is optimal once documents interact (§2.1); we derive the impossibility as</w:t>
      </w:r>
      <w:r>
        <w:t xml:space="preserve"> </w:t>
      </w:r>
      <w:r>
        <w:t xml:space="preserve">a theorem in the Blackwell frame and name the exact structural condition under which it bites.</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(Clopper and Pearson 1934)</w:t>
      </w:r>
      <w:r>
        <w:t xml:space="preserve"> </w:t>
      </w:r>
      <w:r>
        <w:t xml:space="preserve">at Bonferroni</w:t>
      </w:r>
      <w:r>
        <w:t xml:space="preserve"> </w:t>
      </w:r>
      <w:r>
        <w:t xml:space="preserve">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we argue why a naive DKW bound </w:t>
      </w:r>
      <w:r>
        <w:t xml:space="preserve">(Dvoretzky et al. 1956)</w:t>
      </w:r>
      <w:r>
        <w:t xml:space="preserve"> </w:t>
      </w:r>
      <w:r>
        <w:t xml:space="preserve">under-covers the</w:t>
      </w:r>
      <w:r>
        <w:t xml:space="preserve"> </w:t>
      </w:r>
      <w:r>
        <w:t xml:space="preserve">supremum, and give the matching interference verification.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§8.4.</w:t>
      </w:r>
    </w:p>
    <w:bookmarkEnd w:id="13"/>
    <w:bookmarkStart w:id="14" w:name="roadmap."/>
    <w:p>
      <w:pPr>
        <w:pStyle w:val="Heading4"/>
      </w:pPr>
      <w:r>
        <w:t xml:space="preserve">Roadmap.</w:t>
      </w:r>
    </w:p>
    <w:p>
      <w:pPr>
        <w:pStyle w:val="FirstParagraph"/>
      </w:pPr>
      <w:r>
        <w:t xml:space="preserve">§2 positions the work; §3 fixes the objects and defines</w:t>
      </w:r>
      <w:r>
        <w:t xml:space="preserve"> </w:t>
      </w:r>
      <m:oMath>
        <m:r>
          <m:t>θ</m:t>
        </m:r>
      </m:oMath>
      <w:r>
        <w:t xml:space="preserve">; §4 develops the partial order, the</w:t>
      </w:r>
      <w:r>
        <w:t xml:space="preserve"> </w:t>
      </w:r>
      <m:oMath>
        <m:sSub>
          <m:e>
            <m:r>
              <m:t>δ</m:t>
            </m:r>
          </m:e>
          <m:sub>
            <m:r>
              <m:t>M</m:t>
            </m:r>
          </m:sub>
        </m:sSub>
      </m:oMath>
      <w:r>
        <w:t xml:space="preserve">-restricted order and the</w:t>
      </w:r>
      <w:r>
        <w:t xml:space="preserve"> </w:t>
      </w:r>
      <w:r>
        <w:t xml:space="preserve">bridging lemma; §5 proves the impossibility and isolates the</w:t>
      </w:r>
      <w:r>
        <w:t xml:space="preserve"> </w:t>
      </w:r>
      <w:r>
        <w:t xml:space="preserve">query-conditioned case (C1); §6 gives the surrogate and its verifications (C2);</w:t>
      </w:r>
      <w:r>
        <w:t xml:space="preserve"> </w:t>
      </w:r>
      <w:r>
        <w:t xml:space="preserve">§7 reports the six-model program (C3); §8.4 states scope,</w:t>
      </w:r>
      <w:r>
        <w:t xml:space="preserve"> </w:t>
      </w:r>
      <w:r>
        <w:t xml:space="preserve">and §9 concludes. The two impossibility proofs accompany their statements; the</w:t>
      </w:r>
      <w:r>
        <w:t xml:space="preserve"> </w:t>
      </w:r>
      <w:r>
        <w:t xml:space="preserve">rest is deferred to Appendices A–C. Every reference has been verified</w:t>
      </w:r>
      <w:r>
        <w:t xml:space="preserve"> </w:t>
      </w:r>
      <w:r>
        <w:t xml:space="preserve">against arXiv/DBLP/publisher records, and both impossibility results are machine-checked in Lean 4</w:t>
      </w:r>
      <w:r>
        <w:t xml:space="preserve"> </w:t>
      </w:r>
      <w:r>
        <w:t xml:space="preserve">(Remark 3).</w:t>
      </w:r>
    </w:p>
    <w:bookmarkEnd w:id="14"/>
    <w:bookmarkStart w:id="16"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w:t>
      </w:r>
    </w:p>
    <w:bookmarkStart w:id="15"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with no distributional assumptions</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sSup>
                <m:e>
                  <m:r>
                    <m:t>W</m:t>
                  </m:r>
                </m:e>
                <m:sup>
                  <m:r>
                    <m:rPr>
                      <m:sty m:val="p"/>
                    </m:rPr>
                    <m:t>′</m:t>
                  </m:r>
                </m:sup>
              </m:sSup>
            </m:oMath>
            <w:r>
              <w:t xml:space="preserve"> </w:t>
            </w:r>
            <w:r>
              <w:t xml:space="preserve">in place of</w:t>
            </w:r>
            <w:r>
              <w:t xml:space="preserve"> </w:t>
            </w:r>
            <m:oMath>
              <m:r>
                <m:t>W</m:t>
              </m:r>
            </m:oMath>
            <w:r>
              <w:t xml:space="preserve"> </w:t>
            </w:r>
            <w:r>
              <w:t xml:space="preserve">on the task family</w:t>
            </w:r>
          </w:p>
        </w:tc>
      </w:tr>
    </w:tbl>
    <w:bookmarkEnd w:id="15"/>
    <w:bookmarkEnd w:id="16"/>
    <w:bookmarkEnd w:id="17"/>
    <w:bookmarkStart w:id="27" w:name="sec:related"/>
    <w:p>
      <w:pPr>
        <w:pStyle w:val="Heading1"/>
      </w:pPr>
      <w:r>
        <w:t xml:space="preserve">Related Work</w:t>
      </w:r>
    </w:p>
    <w:bookmarkStart w:id="18" w:name="positioning."/>
    <w:p>
      <w:pPr>
        <w:pStyle w:val="Heading4"/>
      </w:pPr>
      <w:r>
        <w:t xml:space="preserve">Positioning.</w:t>
      </w:r>
    </w:p>
    <w:p>
      <w:pPr>
        <w:pStyle w:val="FirstParagraph"/>
      </w:pPr>
      <w:r>
        <w:t xml:space="preserve">The tools we use are classical, Blackwell’s garbling order </w:t>
      </w:r>
      <w:r>
        <w:t xml:space="preserve">(Blackwell 1953)</w:t>
      </w:r>
      <w:r>
        <w:t xml:space="preserve"> </w:t>
      </w:r>
      <w:r>
        <w:t xml:space="preserve">and Le Cam’s</w:t>
      </w:r>
      <w:r>
        <w:t xml:space="preserve"> </w:t>
      </w:r>
      <w:r>
        <w:t xml:space="preserve">deficiency </w:t>
      </w:r>
      <w:r>
        <w:t xml:space="preserve">(Le Cam 1964, 1986)</w:t>
      </w:r>
      <w:r>
        <w:t xml:space="preserve">; we add no new core mathematics, and bringing them to</w:t>
      </w:r>
      <w:r>
        <w:t xml:space="preserve"> </w:t>
      </w:r>
      <w:r>
        <w:t xml:space="preserve">inference-time context is concurrent with, not prior to,</w:t>
      </w:r>
      <w:r>
        <w:t xml:space="preserve"> </w:t>
      </w:r>
      <w:r>
        <w:t xml:space="preserve">Alpila (2026a)</w:t>
      </w:r>
      <w:r>
        <w:t xml:space="preserve"> </w:t>
      </w:r>
      <w:r>
        <w:t xml:space="preserve">(§2.3). Our contribution is to take</w:t>
      </w:r>
      <w:r>
        <w:t xml:space="preserve"> </w:t>
      </w:r>
      <w:r>
        <w:rPr>
          <w:i/>
          <w:iCs/>
        </w:rPr>
        <w:t xml:space="preserve">incomparability</w:t>
      </w:r>
      <w:r>
        <w:t xml:space="preserve"> </w:t>
      </w:r>
      <w:r>
        <w:t xml:space="preserve">as the object</w:t>
      </w:r>
      <w:r>
        <w:t xml:space="preserve"> </w:t>
      </w:r>
      <w:r>
        <w:t xml:space="preserve">and make it measurable.</w:t>
      </w:r>
    </w:p>
    <w:bookmarkEnd w:id="18"/>
    <w:bookmarkStart w:id="20" w:name="sec:related-scalar"/>
    <w:p>
      <w:pPr>
        <w:pStyle w:val="Heading2"/>
      </w:pPr>
      <w:r>
        <w:t xml:space="preserve">Scalar selection and its limits in information retrieval</w:t>
      </w:r>
    </w:p>
    <w:p>
      <w:pPr>
        <w:pStyle w:val="FirstParagraph"/>
      </w:pPr>
      <w:bookmarkStart w:id="19" w:name="sec:related-ir"/>
      <w:bookmarkEnd w:id="19"/>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game-theoretic and influence-based valuation</w:t>
      </w:r>
      <w:r>
        <w:t xml:space="preserve"> </w:t>
      </w:r>
      <w:r>
        <w:t xml:space="preserve">of 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 binary</w:t>
      </w:r>
      <w:r>
        <w:t xml:space="preserve"> </w:t>
      </w:r>
      <w:r>
        <w:t xml:space="preserve">sufficient-context detection </w:t>
      </w:r>
      <w:r>
        <w:t xml:space="preserve">(Joren et al. 2024)</w:t>
      </w:r>
      <w:r>
        <w:t xml:space="preserve">. Each collapses the comparison of two</w:t>
      </w:r>
      <w:r>
        <w:t xml:space="preserve"> </w:t>
      </w:r>
      <w:r>
        <w:t xml:space="preserve">sources to one real number and is therefore a scalar of the kind the paper rules out</w:t>
      </w:r>
      <w:r>
        <w:t xml:space="preserve"> </w:t>
      </w:r>
      <w:r>
        <w:t xml:space="preserve">(Theorem 2 for query-independent scores,</w:t>
      </w:r>
      <w:r>
        <w:t xml:space="preserve"> </w:t>
      </w:r>
      <w:r>
        <w:t xml:space="preserve">Proposition 2 for topical query-conditioned ones): not a competitor to</w:t>
      </w:r>
      <w:r>
        <w:t xml:space="preserve"> </w:t>
      </w:r>
      <w:r>
        <w:t xml:space="preserve">out-perform but an instance of the excluded class (we prove Blackwell-monotonicity for the closest</w:t>
      </w:r>
      <w:r>
        <w:t xml:space="preserve"> </w:t>
      </w:r>
      <w:r>
        <w:t xml:space="preserve">neighbour,</w:t>
      </w:r>
      <w:r>
        <w:t xml:space="preserve"> </w:t>
      </w:r>
      <m:oMath>
        <m:r>
          <m:rPr>
            <m:scr m:val="script"/>
            <m:sty m:val="p"/>
          </m:rPr>
          <m:t>V</m:t>
        </m:r>
      </m:oMath>
      <w:r>
        <w:t xml:space="preserve">-usable information, in Proposition 1, and conjecture it</w:t>
      </w:r>
      <w:r>
        <w:t xml:space="preserve"> </w:t>
      </w:r>
      <w:r>
        <w:t xml:space="preserve">for the rest). Guarantees do not change the class: conformal context</w:t>
      </w:r>
      <w:r>
        <w:t xml:space="preserve"> </w:t>
      </w:r>
      <w:r>
        <w:t xml:space="preserve">filtering </w:t>
      </w:r>
      <w:r>
        <w:t xml:space="preserve">(Chakraborty et al. 2025)</w:t>
      </w:r>
      <w:r>
        <w:t xml:space="preserve"> </w:t>
      </w:r>
      <w:r>
        <w:t xml:space="preserve">calibrates a distribution-free threshold</w:t>
      </w:r>
      <w:r>
        <w:t xml:space="preserve"> </w:t>
      </w:r>
      <w:r>
        <w:rPr>
          <w:i/>
          <w:iCs/>
        </w:rPr>
        <w:t xml:space="preserve">on</w:t>
      </w:r>
      <w:r>
        <w:t xml:space="preserve"> </w:t>
      </w:r>
      <w:r>
        <w:t xml:space="preserve">a</w:t>
      </w:r>
      <w:r>
        <w:t xml:space="preserve"> </w:t>
      </w:r>
      <w:r>
        <w:t xml:space="preserve">scalar score and so inherits the total order it calibrates, whereas what we verify is an order</w:t>
      </w:r>
      <w:r>
        <w:t xml:space="preserve"> </w:t>
      </w:r>
      <w:r>
        <w:t xml:space="preserve">relation between sources; and scorers of equal ranking quality can retain different document</w:t>
      </w:r>
      <w:r>
        <w:t xml:space="preserve"> </w:t>
      </w:r>
      <w:r>
        <w:t xml:space="preserve">sets </w:t>
      </w:r>
      <w:r>
        <w:t xml:space="preserve">(Frohmann et al. 2026)</w:t>
      </w:r>
      <w:r>
        <w:t xml:space="preserve">, a symptom of the same under-determination. The machinery</w:t>
      </w:r>
      <w:r>
        <w:t xml:space="preserve"> </w:t>
      </w:r>
      <w:r>
        <w:t xml:space="preserve">for identifying a non-dominated set from noisy multi-objective samples is in turn classical in the</w:t>
      </w:r>
      <w:r>
        <w:t xml:space="preserve"> </w:t>
      </w:r>
      <w:r>
        <w:t xml:space="preserve">bandit literature:</w:t>
      </w:r>
      <w:r>
        <w:t xml:space="preserve"> </w:t>
      </w:r>
      <w:r>
        <w:t xml:space="preserve">Auer et al. (2016)</w:t>
      </w:r>
      <w:r>
        <w:t xml:space="preserve"> </w:t>
      </w:r>
      <w:r>
        <w:t xml:space="preserve">define the one-sided maximum gap that our surrogate</w:t>
      </w:r>
      <w:r>
        <w:t xml:space="preserve"> </w:t>
      </w:r>
      <w:r>
        <w:t xml:space="preserve">instantiates and give confidence-bound algorithms for Pareto-front identification. What is</w:t>
      </w:r>
      <w:r>
        <w:t xml:space="preserve"> </w:t>
      </w:r>
      <w:r>
        <w:t xml:space="preserve">instantiated here is that gap on (model, verifier, task-battery) triples, and its use as a</w:t>
      </w:r>
      <w:r>
        <w:t xml:space="preserve"> </w:t>
      </w:r>
      <w:r>
        <w:t xml:space="preserve">verification of incomparability; the measure itself is theirs.</w:t>
      </w:r>
    </w:p>
    <w:p>
      <w:pPr>
        <w:pStyle w:val="BodyText"/>
      </w:pPr>
      <w:r>
        <w:t xml:space="preserve">The retrieval community has itself moved from relevance to</w:t>
      </w:r>
      <w:r>
        <w:t xml:space="preserve"> </w:t>
      </w:r>
      <w:r>
        <w:rPr>
          <w:i/>
          <w:iCs/>
        </w:rPr>
        <w:t xml:space="preserve">utility</w:t>
      </w:r>
      <w:r>
        <w:t xml:space="preserve">, the downstream gain a</w:t>
      </w:r>
      <w:r>
        <w:t xml:space="preserve"> </w:t>
      </w:r>
      <w:r>
        <w:t xml:space="preserve">passage brings </w:t>
      </w:r>
      <w:r>
        <w:t xml:space="preserve">(H. Zhang et al. 2026)</w:t>
      </w:r>
      <w:r>
        <w:t xml:space="preserve">, and has found that utility is</w:t>
      </w:r>
      <w:r>
        <w:t xml:space="preserve"> </w:t>
      </w:r>
      <w:r>
        <w:t xml:space="preserve">model-specific </w:t>
      </w:r>
      <w:r>
        <w:t xml:space="preserve">(Zhang et al. 2025)</w:t>
      </w:r>
      <w:r>
        <w:t xml:space="preserve"> </w:t>
      </w:r>
      <w:r>
        <w:t xml:space="preserve">and can depend on which other passages are</w:t>
      </w:r>
      <w:r>
        <w:t xml:space="preserve"> </w:t>
      </w:r>
      <w:r>
        <w:t xml:space="preserve">present </w:t>
      </w:r>
      <w:r>
        <w:t xml:space="preserve">(Jain and Garimella 2025)</w:t>
      </w:r>
      <w:r>
        <w:t xml:space="preserve">. We regard this as the same diagnosis reached from the</w:t>
      </w:r>
      <w:r>
        <w:t xml:space="preserve"> </w:t>
      </w:r>
      <w:r>
        <w:t xml:space="preserve">other side, and the present paper as its formal boundary. Utility re-measured per task by running</w:t>
      </w:r>
      <w:r>
        <w:t xml:space="preserve"> </w:t>
      </w:r>
      <w:r>
        <w:t xml:space="preserve">the model is not a fixed per-source score; it is the probe our estimator is built from, and its cost</w:t>
      </w:r>
      <w:r>
        <w:t xml:space="preserve"> </w:t>
      </w:r>
      <w:r>
        <w:t xml:space="preserve">is the price we make explicit. Utility</w:t>
      </w:r>
      <w:r>
        <w:t xml:space="preserve"> </w:t>
      </w:r>
      <w:r>
        <w:rPr>
          <w:i/>
          <w:iCs/>
        </w:rPr>
        <w:t xml:space="preserve">predicted</w:t>
      </w:r>
      <w:r>
        <w:t xml:space="preserve"> </w:t>
      </w:r>
      <w:r>
        <w:t xml:space="preserve">by a learned scorer is a number again: fixed across tasks it is</w:t>
      </w:r>
      <w:r>
        <w:t xml:space="preserve"> </w:t>
      </w:r>
      <w:r>
        <w:t xml:space="preserve">covered by Theorem 2; query-conditioned but topical, by</w:t>
      </w:r>
      <w:r>
        <w:t xml:space="preserve"> </w:t>
      </w:r>
      <w:r>
        <w:t xml:space="preserve">Proposition 2; only a scorer that reads the decisive coordinate escapes,</w:t>
      </w:r>
      <w:r>
        <w:t xml:space="preserve"> </w:t>
      </w:r>
      <w:r>
        <w:t xml:space="preserve">which is the listwise boundary. Three families</w:t>
      </w:r>
      <w:r>
        <w:t xml:space="preserve"> </w:t>
      </w:r>
      <w:r>
        <w:t xml:space="preserve">sit at the boundary. Listwise LLM rerankers </w:t>
      </w:r>
      <w:r>
        <w:t xml:space="preserve">(Sun et al. 2023)</w:t>
      </w:r>
      <w:r>
        <w:t xml:space="preserve"> </w:t>
      </w:r>
      <w:r>
        <w:t xml:space="preserve">and learned set</w:t>
      </w:r>
      <w:r>
        <w:t xml:space="preserve"> </w:t>
      </w:r>
      <w:r>
        <w:t xml:space="preserve">selectors </w:t>
      </w:r>
      <w:r>
        <w:t xml:space="preserve">(Jiang et al. 2026; Fan et al. 2026)</w:t>
      </w:r>
      <w:r>
        <w:t xml:space="preserve"> </w:t>
      </w:r>
      <w:r>
        <w:t xml:space="preserve">are query-conditioned</w:t>
      </w:r>
      <w:r>
        <w:t xml:space="preserve"> </w:t>
      </w:r>
      <w:r>
        <w:rPr>
          <w:i/>
          <w:iCs/>
        </w:rPr>
        <w:t xml:space="preserve">set</w:t>
      </w:r>
      <w:r>
        <w:t xml:space="preserve"> </w:t>
      </w:r>
      <w:r>
        <w:t xml:space="preserve">functions, outside the</w:t>
      </w:r>
      <w:r>
        <w:t xml:space="preserve"> </w:t>
      </w:r>
      <w:r>
        <w:t xml:space="preserve">theorem’s scope, though they carry no dominance guarantee of any kind. Skyline</w:t>
      </w:r>
      <w:r>
        <w:t xml:space="preserve"> </w:t>
      </w:r>
      <w:r>
        <w:t xml:space="preserve">selection </w:t>
      </w:r>
      <w:r>
        <w:t xml:space="preserve">(Wang et al. 2025)</w:t>
      </w:r>
      <w:r>
        <w:t xml:space="preserve"> </w:t>
      </w:r>
      <w:r>
        <w:t xml:space="preserve">keeps every non-dominated candidate instead of a top-</w:t>
      </w:r>
      <m:oMath>
        <m:r>
          <m:t>k</m:t>
        </m:r>
      </m:oMath>
      <w:r>
        <w:t xml:space="preserve">, the</w:t>
      </w:r>
      <w:r>
        <w:t xml:space="preserve"> </w:t>
      </w:r>
      <w:r>
        <w:t xml:space="preserve">operator our own selection rule uses, but takes dominance over heuristic per-item scores rather</w:t>
      </w:r>
      <w:r>
        <w:t xml:space="preserve"> </w:t>
      </w:r>
      <w:r>
        <w:t xml:space="preserve">than over task value. Diversity-aware selection, from MMR </w:t>
      </w:r>
      <w:r>
        <w:t xml:space="preserve">(Carbonell and Goldstein 1998)</w:t>
      </w:r>
      <w:r>
        <w:t xml:space="preserve"> </w:t>
      </w:r>
      <w:r>
        <w:t xml:space="preserve">to</w:t>
      </w:r>
      <w:r>
        <w:t xml:space="preserve"> </w:t>
      </w:r>
      <w:r>
        <w:t xml:space="preserve">DPPs </w:t>
      </w:r>
      <w:r>
        <w:t xml:space="preserve">(Ye et al. 2023)</w:t>
      </w:r>
      <w:r>
        <w:t xml:space="preserve"> </w:t>
      </w:r>
      <w:r>
        <w:t xml:space="preserve">and submodular coverage </w:t>
      </w:r>
      <w:r>
        <w:t xml:space="preserve">(Huang 2025; Ghulyani et al. 2026)</w:t>
      </w:r>
      <w:r>
        <w:t xml:space="preserve">, optimizes set</w:t>
      </w:r>
      <w:r>
        <w:t xml:space="preserve"> </w:t>
      </w:r>
      <w:r>
        <w:t xml:space="preserve">objectives over embedding geometry rather than over verified task value.</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(Robertson 1977)</w:t>
      </w:r>
      <w:r>
        <w:t xml:space="preserve"> </w:t>
      </w:r>
      <w:r>
        <w:t xml:space="preserve">is optimal only under an independence assumption, its failure once</w:t>
      </w:r>
      <w:r>
        <w:t xml:space="preserve"> </w:t>
      </w:r>
      <w:r>
        <w:t xml:space="preserve">documents interact is long documented </w:t>
      </w:r>
      <w:r>
        <w:t xml:space="preserve">(Fuhr 2008; Carbonell and Goldstein 1998)</w:t>
      </w:r>
      <w:r>
        <w:t xml:space="preserve">, and document interdependence</w:t>
      </w:r>
      <w:r>
        <w:t xml:space="preserve"> </w:t>
      </w:r>
      <w:r>
        <w:t xml:space="preserve">was given ranking principles of its own, portfolio theory </w:t>
      </w:r>
      <w:r>
        <w:t xml:space="preserve">(Wang and Zhu 2009)</w:t>
      </w:r>
      <w:r>
        <w:t xml:space="preserve"> </w:t>
      </w:r>
      <w:r>
        <w:t xml:space="preserve">and the quantum</w:t>
      </w:r>
      <w:r>
        <w:t xml:space="preserve"> </w:t>
      </w:r>
      <w:r>
        <w:t xml:space="preserve">probability ranking principle, whose</w:t>
      </w:r>
      <w:r>
        <w:t xml:space="preserve"> </w:t>
      </w:r>
      <w:r>
        <w:t xml:space="preserve">“interference”</w:t>
      </w:r>
      <w:r>
        <w:t xml:space="preserve"> </w:t>
      </w:r>
      <w:r>
        <w:t xml:space="preserve">term names the dependence of one document’s</w:t>
      </w:r>
      <w:r>
        <w:t xml:space="preserve"> </w:t>
      </w:r>
      <w:r>
        <w:t xml:space="preserve">relevance on another </w:t>
      </w:r>
      <w:r>
        <w:t xml:space="preserve">(Zuccon and Azzopardi 2010)</w:t>
      </w:r>
      <w:r>
        <w:t xml:space="preserve">. The LLM-era version, relevance-maximizing retrieval</w:t>
      </w:r>
      <w:r>
        <w:t xml:space="preserve"> </w:t>
      </w:r>
      <w:r>
        <w:t xml:space="preserve">degrading answer quality, is measured directly </w:t>
      </w:r>
      <w:r>
        <w:t xml:space="preserve">(LeVine and Varjavand 2025; Qiu et al. 2026)</w:t>
      </w:r>
      <w:r>
        <w:t xml:space="preserve">. Our delta</w:t>
      </w:r>
      <w:r>
        <w:t xml:space="preserve"> </w:t>
      </w:r>
      <w:r>
        <w:t xml:space="preserve">is the</w:t>
      </w:r>
      <w:r>
        <w:t xml:space="preserve"> </w:t>
      </w:r>
      <w:r>
        <w:rPr>
          <w:i/>
          <w:iCs/>
        </w:rPr>
        <w:t xml:space="preserve">form</w:t>
      </w:r>
      <w:r>
        <w:t xml:space="preserve"> </w:t>
      </w:r>
      <w:r>
        <w:t xml:space="preserve">of the statement: the failure becomes a theorem in the comparison-of-experiments</w:t>
      </w:r>
      <w:r>
        <w:t xml:space="preserve"> </w:t>
      </w:r>
      <w:r>
        <w:t xml:space="preserve">frame, with the precise structural condition, Blackwell incomparability, under which every</w:t>
      </w:r>
      <w:r>
        <w:t xml:space="preserve"> </w:t>
      </w:r>
      <w:r>
        <w:t xml:space="preserve">query-independent scalar must mis-rank, and a verified live instance on six production models.</w:t>
      </w:r>
    </w:p>
    <w:bookmarkEnd w:id="20"/>
    <w:bookmarkStart w:id="21"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(F. 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fusion accuracy first rises and then falls, so</w:t>
      </w:r>
      <w:r>
        <w:t xml:space="preserve"> </w:t>
      </w:r>
      <w:r>
        <w:t xml:space="preserve">that</w:t>
      </w:r>
      <w:r>
        <w:t xml:space="preserve"> </w:t>
      </w:r>
      <w:r>
        <w:t xml:space="preserve">“less is more,”</w:t>
      </w:r>
      <w:r>
        <w:t xml:space="preserve"> </w:t>
      </w:r>
      <w:r>
        <w:t xml:space="preserve">and no standard fusion model is monotone in the source</w:t>
      </w:r>
      <w:r>
        <w:t xml:space="preserve"> </w:t>
      </w:r>
      <w:r>
        <w:t xml:space="preserve">set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is verified against length, position, and formatting controls to be convention</w:t>
      </w:r>
      <w:r>
        <w:t xml:space="preserve"> </w:t>
      </w:r>
      <w:r>
        <w:t xml:space="preserve">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it characterizes correction by a single context, not the order structure among</w:t>
      </w:r>
      <w:r>
        <w:t xml:space="preserve"> </w:t>
      </w:r>
      <w:r>
        <w:t xml:space="preserve">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21"/>
    <w:bookmarkStart w:id="24" w:name="sec:related-deficiency"/>
    <w:p>
      <w:pPr>
        <w:pStyle w:val="Heading2"/>
      </w:pPr>
      <w:r>
        <w:t xml:space="preserve">The comparison of experiments in machine learning</w:t>
      </w:r>
    </w:p>
    <w:p>
      <w:pPr>
        <w:pStyle w:val="FirstParagraph"/>
      </w:pPr>
      <w:bookmarkStart w:id="22" w:name="sec:related-llmrep"/>
      <w:bookmarkEnd w:id="22"/>
      <w:bookmarkStart w:id="23" w:name="sec:related-foundations"/>
      <w:bookmarkEnd w:id="23"/>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That work</w:t>
      </w:r>
      <w:r>
        <w:t xml:space="preserve"> </w:t>
      </w:r>
      <w:r>
        <w:t xml:space="preserve">and ours reach for the same classical apparatus in the same month, and we make no priority claim</w:t>
      </w:r>
      <w:r>
        <w:t xml:space="preserve"> </w:t>
      </w:r>
      <w:r>
        <w:t xml:space="preserve">over it. The objects are nonetheless different, and the difference is what this paper is about.</w:t>
      </w:r>
      <w:r>
        <w:t xml:space="preserve"> </w:t>
      </w:r>
      <w:r>
        <w:t xml:space="preserve">There, deficiency is a scalar risk gap</w:t>
      </w:r>
      <w:r>
        <w:t xml:space="preserve"> </w:t>
      </w:r>
      <w:r>
        <w:rPr>
          <w:i/>
          <w:iCs/>
        </w:rPr>
        <w:t xml:space="preserve">inside one declared decision problem</w:t>
      </w:r>
      <w:r>
        <w:t xml:space="preserve">, with the</w:t>
      </w:r>
      <w:r>
        <w:t xml:space="preserve"> </w:t>
      </w:r>
      <w:r>
        <w:t xml:space="preserve">garbling theorem explicitly set aside as inactive there; the partial order that work does invoke</w:t>
      </w:r>
      <w:r>
        <w:t xml:space="preserve"> </w:t>
      </w:r>
      <w:r>
        <w:t xml:space="preserve">runs over</w:t>
      </w:r>
      <w:r>
        <w:t xml:space="preserve"> </w:t>
      </w:r>
      <w:r>
        <w:rPr>
          <w:i/>
          <w:iCs/>
        </w:rPr>
        <w:t xml:space="preserve">compression methods</w:t>
      </w:r>
      <w:r>
        <w:t xml:space="preserve"> </w:t>
      </w:r>
      <w:r>
        <w:t xml:space="preserve">and is asserted structurally rather than measured. Our object</w:t>
      </w:r>
      <w:r>
        <w:t xml:space="preserve"> </w:t>
      </w:r>
      <w:r>
        <w:t xml:space="preserve">is the order</w:t>
      </w:r>
      <w:r>
        <w:t xml:space="preserve"> </w:t>
      </w:r>
      <w:r>
        <w:rPr>
          <w:i/>
          <w:iCs/>
        </w:rPr>
        <w:t xml:space="preserve">between two admitted sources across tasks</w:t>
      </w:r>
      <w:r>
        <w:t xml:space="preserve">: we show that order is partial by</w:t>
      </w:r>
      <w:r>
        <w:t xml:space="preserve"> </w:t>
      </w:r>
      <w:r>
        <w:rPr>
          <w:i/>
          <w:iCs/>
        </w:rPr>
        <w:t xml:space="preserve">measuring</w:t>
      </w:r>
      <w:r>
        <w:t xml:space="preserve"> </w:t>
      </w:r>
      <w:r>
        <w:t xml:space="preserve">mutual non-domination, derive the consequence that no single per-source score can</w:t>
      </w:r>
      <w:r>
        <w:t xml:space="preserve"> </w:t>
      </w:r>
      <w:r>
        <w:t xml:space="preserve">be faithful to it, and verify a strict superset of a sufficient source collapsing PASS with the</w:t>
      </w:r>
      <w:r>
        <w:t xml:space="preserve"> </w:t>
      </w:r>
      <w:r>
        <w:t xml:space="preserve">length, position and routing confounds controlled. Incomparability in this sense cannot arise</w:t>
      </w:r>
      <w:r>
        <w:t xml:space="preserve"> </w:t>
      </w:r>
      <w:r>
        <w:t xml:space="preserve">inside a single declared decision problem, so its absence there is not a gap but a different</w:t>
      </w:r>
      <w:r>
        <w:t xml:space="preserve"> </w:t>
      </w:r>
      <w:r>
        <w:t xml:space="preserve">question. A second line is training-</w:t>
      </w:r>
      <w:r>
        <w:rPr>
          <w:i/>
          <w:iCs/>
        </w:rPr>
        <w:t xml:space="preserve">dataset</w:t>
      </w:r>
      <w:r>
        <w:t xml:space="preserve"> </w:t>
      </w:r>
      <w:r>
        <w:t xml:space="preserve">valuation:</w:t>
      </w:r>
      <w:r>
        <w:t xml:space="preserve"> </w:t>
      </w:r>
      <w:r>
        <w:t xml:space="preserve">Zheng et al. (2024)</w:t>
      </w:r>
      <w:r>
        <w:t xml:space="preserve"> </w:t>
      </w:r>
      <w:r>
        <w:t xml:space="preserve">rank datasets</w:t>
      </w:r>
      <w:r>
        <w:t xml:space="preserve"> </w:t>
      </w:r>
      <w:r>
        <w:t xml:space="preserve">by Blackwell informativeness and show a pointwise-mutual-information</w:t>
      </w:r>
      <w:r>
        <w:t xml:space="preserve"> </w:t>
      </w:r>
      <w:r>
        <w:rPr>
          <w:i/>
          <w:iCs/>
        </w:rPr>
        <w:t xml:space="preserve">scalar</w:t>
      </w:r>
      <w:r>
        <w:t xml:space="preserve"> </w:t>
      </w:r>
      <w:r>
        <w:t xml:space="preserve">suffices in their</w:t>
      </w:r>
      <w:r>
        <w:t xml:space="preserve"> </w:t>
      </w:r>
      <w:r>
        <w:t xml:space="preserve">Bayes-optimal, white-box regime, the opposite of our finding that no query-independent scalar can</w:t>
      </w:r>
      <w:r>
        <w:t xml:space="preserve"> </w:t>
      </w:r>
      <w:r>
        <w:t xml:space="preserve">be faithful once the order is partial (Theorem 2). Nearby uses stop short of</w:t>
      </w:r>
      <w:r>
        <w:t xml:space="preserve"> </w:t>
      </w:r>
      <w:r>
        <w:t xml:space="preserve">what we do: garbling to harden LLM evaluations </w:t>
      </w:r>
      <w:r>
        <w:t xml:space="preserve">(Bradley 2024)</w:t>
      </w:r>
      <w:r>
        <w:t xml:space="preserve">, statistical deficiency</w:t>
      </w:r>
      <w:r>
        <w:t xml:space="preserve"> </w:t>
      </w:r>
      <w:r>
        <w:t xml:space="preserve">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 AI </w:t>
      </w:r>
      <w:r>
        <w:t xml:space="preserve">(Paxton 2026)</w:t>
      </w:r>
      <w:r>
        <w:t xml:space="preserve">.</w:t>
      </w:r>
      <w:r>
        <w:t xml:space="preserve"> </w:t>
      </w:r>
      <w:r>
        <w:t xml:space="preserve">The one use of the order for language models at inference time that we know of sits on the</w:t>
      </w:r>
      <w:r>
        <w:t xml:space="preserve"> </w:t>
      </w:r>
      <w:r>
        <w:t xml:space="preserve">other side of the model:</w:t>
      </w:r>
      <w:r>
        <w:t xml:space="preserve"> </w:t>
      </w:r>
      <w:r>
        <w:t xml:space="preserve">Z. Zhang et al. (2026)</w:t>
      </w:r>
      <w:r>
        <w:t xml:space="preserve"> </w:t>
      </w:r>
      <w:r>
        <w:t xml:space="preserve">rank the information structures induced</w:t>
      </w:r>
      <w:r>
        <w:t xml:space="preserve"> </w:t>
      </w:r>
      <w:r>
        <w:t xml:space="preserve">by multi-agent protocols (voting, debate) and prove a pooled-posterior upper bound, a dominance</w:t>
      </w:r>
      <w:r>
        <w:t xml:space="preserve"> </w:t>
      </w:r>
      <w:r>
        <w:t xml:space="preserve">result over protocols with no incomparable pair and no verification. To our knowledge no prior work</w:t>
      </w:r>
      <w:r>
        <w:t xml:space="preserve"> </w:t>
      </w:r>
      <w:r>
        <w:rPr>
          <w:i/>
          <w:iCs/>
        </w:rPr>
        <w:t xml:space="preserve">measures</w:t>
      </w:r>
      <w:r>
        <w:t xml:space="preserve"> </w:t>
      </w:r>
      <w:r>
        <w:t xml:space="preserve">a Blackwell partial order over the context sources</w:t>
      </w:r>
      <w:r>
        <w:t xml:space="preserve"> </w:t>
      </w:r>
      <w:r>
        <w:t xml:space="preserve">of a single model, treats verified</w:t>
      </w:r>
      <w:r>
        <w:t xml:space="preserve"> </w:t>
      </w:r>
      <w:r>
        <w:rPr>
          <w:i/>
          <w:iCs/>
        </w:rPr>
        <w:t xml:space="preserve">incomparability</w:t>
      </w:r>
      <w:r>
        <w:t xml:space="preserve"> </w:t>
      </w:r>
      <w:r>
        <w:t xml:space="preserve">rather than deficiency-minimization or</w:t>
      </w:r>
      <w:r>
        <w:t xml:space="preserve"> </w:t>
      </w:r>
      <w:r>
        <w:t xml:space="preserve">dominance as the object of interest, derives the no-per-source-score consequence from it, or</w:t>
      </w:r>
      <w:r>
        <w:t xml:space="preserve"> </w:t>
      </w:r>
      <w:r>
        <w:t xml:space="preserve">supplies a distribution-free finite-sample verification of an order relation between named sources</w:t>
      </w:r>
      <w:r>
        <w:t xml:space="preserve"> </w:t>
      </w:r>
      <w:r>
        <w:t xml:space="preserve">on production models. Those are the pieces that are new here.</w:t>
      </w:r>
    </w:p>
    <w:bookmarkEnd w:id="24"/>
    <w:bookmarkStart w:id="26" w:name="sec:related-designspace"/>
    <w:p>
      <w:pPr>
        <w:pStyle w:val="Heading2"/>
      </w:pPr>
      <w:r>
        <w:t xml:space="preserve">The design space: no cheap method represents the partial order</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Every method cheap enough to run at</w:t>
      </w:r>
      <w:r>
        <w:t xml:space="preserve"> </w:t>
      </w:r>
      <w:r>
        <w:t xml:space="preserve">retrieval scale emits a final per-item number, however that number is produced, and therefore lives</w:t>
      </w:r>
      <w:r>
        <w:t xml:space="preserve"> </w:t>
      </w:r>
      <w:r>
        <w:t xml:space="preserve">in a total order; every method that genuinely models interaction is either symmetric redundancy</w:t>
      </w:r>
      <w:r>
        <w:t xml:space="preserve"> </w:t>
      </w:r>
      <w:r>
        <w:t xml:space="preserve">over embedding geometry, carries no dominance guarantee, or is as costly as direct probing. No prior</w:t>
      </w:r>
      <w:r>
        <w:t xml:space="preserve"> </w:t>
      </w:r>
      <w:r>
        <w:t xml:space="preserve">row is both cheap and partial-order-faithful; that empty cell is the open problem this paper</w:t>
      </w:r>
      <w:r>
        <w:t xml:space="preserve"> </w:t>
      </w:r>
      <w:r>
        <w:t xml:space="preserve">isolates, and we occupy the last row, paying probe cost for the guarantee.</w:t>
      </w:r>
    </w:p>
    <w:bookmarkStart w:id="25" w:name="tab:designspace"/>
    <w:p>
      <w:pPr>
        <w:pStyle w:val="TableCaption"/>
      </w:pPr>
      <w:r>
        <w:t xml:space="preserve">The design space of context selection.</w:t>
      </w:r>
      <w:r>
        <w:t xml:space="preserve"> </w:t>
      </w:r>
      <w:r>
        <w:t xml:space="preserve"> = yes,</w:t>
      </w:r>
      <w:r>
        <w:t xml:space="preserve"> </w:t>
      </w:r>
      <m:oMath>
        <m:r>
          <m:rPr>
            <m:sty m:val="p"/>
          </m:rPr>
          <m:t>×</m:t>
        </m:r>
      </m:oMath>
      <w:r>
        <w:t xml:space="preserve"> = no,</w:t>
      </w:r>
      <w:r>
        <w:t xml:space="preserve"> </w:t>
      </w:r>
      <m:oMath>
        <m:r>
          <m:rPr>
            <m:sty m:val="p"/>
          </m:rPr>
          <m:t>∼</m:t>
        </m:r>
      </m:oMath>
      <w:r>
        <w:t xml:space="preserve"> = partial.</w:t>
      </w:r>
      <w:r>
        <w:t xml:space="preserve"> </w:t>
      </w:r>
      <m:oMath>
        <m:sSup>
          <m:e>
            <m:r>
              <m:t>​</m:t>
            </m:r>
          </m:e>
          <m:sup>
            <m:r>
              <m:t>a</m:t>
            </m:r>
          </m:sup>
        </m:sSup>
      </m:oMath>
      <w:r>
        <w:t xml:space="preserve">amortized: trained once on the model’s signal, cheap at query time, but still a scalar.</w:t>
      </w:r>
      <w:r>
        <w:t xml:space="preserve"> </w:t>
      </w:r>
      <m:oMath>
        <m:sSup>
          <m:e>
            <m:r>
              <m:t>​</m:t>
            </m:r>
          </m:e>
          <m:sup>
            <m:r>
              <m:t>b</m:t>
            </m:r>
          </m:sup>
        </m:sSup>
      </m:oMath>
      <w:r>
        <w:t xml:space="preserve">symmetric redundancy over embedding geometry, not directional anti-monotonicity.</w:t>
      </w:r>
      <w:r>
        <w:t xml:space="preserve"> </w:t>
      </w:r>
      <m:oMath>
        <m:sSup>
          <m:e>
            <m:r>
              <m:t>​</m:t>
            </m:r>
          </m:e>
          <m:sup>
            <m:r>
              <m:t>c</m:t>
            </m:r>
          </m:sup>
        </m:sSup>
      </m:oMath>
      <w:r>
        <w:t xml:space="preserve">query-conditioned and interaction-aware, but per-query (not precomputable) and with no</w:t>
      </w:r>
      <w:r>
        <w:t xml:space="preserve"> </w:t>
      </w:r>
      <w:r>
        <w:t xml:space="preserve">dominance guarantee.</w:t>
      </w:r>
      <w:r>
        <w:t xml:space="preserve"> </w:t>
      </w:r>
      <m:oMath>
        <m:sSup>
          <m:e>
            <m:r>
              <m:t>​</m:t>
            </m:r>
          </m:e>
          <m:sup>
            <m:r>
              <m:t>d</m:t>
            </m:r>
          </m:sup>
        </m:sSup>
      </m:oMath>
      <w:r>
        <w:t xml:space="preserve">positive complementarity only, a passage made useful by another, not</w:t>
      </w:r>
      <w:r>
        <w:t xml:space="preserve"> </w:t>
      </w:r>
      <w:r>
        <w:t xml:space="preserve">directional harm.</w:t>
      </w:r>
      <w:r>
        <w:t xml:space="preserve"> </w:t>
      </w:r>
      <m:oMath>
        <m:sSup>
          <m:e>
            <m:r>
              <m:t>​</m:t>
            </m:r>
          </m:e>
          <m:sup>
            <m:r>
              <m:t>e</m:t>
            </m:r>
          </m:sup>
        </m:sSup>
      </m:oMath>
      <w:r>
        <w:t xml:space="preserve">keeps the non-dominated set, but over heuristic per-item scores rather than</w:t>
      </w:r>
      <w:r>
        <w:t xml:space="preserve"> </w:t>
      </w:r>
      <w:r>
        <w:t xml:space="preserve">task value. Only the last row represents incomparability over task value, at the cost of direct probing;</w:t>
      </w:r>
      <w:r>
        <w:t xml:space="preserve"> </w:t>
      </w:r>
      <w:r>
        <w:t xml:space="preserve">the</w:t>
      </w:r>
      <w:r>
        <w:t xml:space="preserve"> </w:t>
      </w:r>
      <w:r>
        <w:t xml:space="preserve">“cheap</w:t>
      </w:r>
      <w:r>
        <w:t xml:space="preserve"> </w:t>
      </w:r>
      <w:r>
        <w:rPr>
          <w:i/>
          <w:iCs/>
        </w:rPr>
        <w:t xml:space="preserve">and</w:t>
      </w:r>
      <w:r>
        <w:t xml:space="preserve"> </w:t>
      </w:r>
      <w:r>
        <w:t xml:space="preserve">partial-order-faithful”</w:t>
      </w:r>
      <w:r>
        <w:t xml:space="preserve"> </w:t>
      </w:r>
      <w:r>
        <w:t xml:space="preserve">cell is empty, which is this paper’s central open</w:t>
      </w:r>
      <w:r>
        <w:t xml:space="preserve"> </w:t>
      </w:r>
      <w:r>
        <w:t xml:space="preserve">problem.</w:t>
      </w:r>
    </w:p>
    <w:tbl>
      <w:tblPr>
        <w:tblStyle w:val="Table"/>
        <w:tblW w:type="auto" w:w="0"/>
        <w:tblLook w:firstRow="1" w:lastRow="0" w:firstColumn="0" w:lastColumn="0" w:noHBand="0" w:noVBand="0" w:val="0020"/>
        <w:tblCaption w:val="The design space of context selection.  = yes, \times = no, \sim = partial. ^{a}amortized: trained once on the model’s signal, cheap at query time, but still a scalar. ^{b}symmetric redundancy over embedding geometry, not directional anti-monotonicity. ^{c}query-conditioned and interaction-aware, but per-query (not precomputable) and with no dominance guarantee. ^{d}positive complementarity only, a passage made useful by another, not directional harm. ^{e}keeps the non-dominated set, but over heuristic per-item scores rather than task value. Only the last row represents incomparability over task value, at the cost of direct probing; the “cheap and partial-order-faithful” cell is empty, which is this paper’s central open problem."/>
      </w:tblPr>
      <w:tblGrid>
        <w:gridCol w:w="1980"/>
        <w:gridCol w:w="1980"/>
        <w:gridCol w:w="1980"/>
        <w:gridCol w:w="1980"/>
      </w:tblGrid>
      <w:tr>
        <w:trPr>
          <w:tblHeader w:val="on"/>
        </w:trPr>
        <w:tc>
          <w:tcPr/>
          <w:p>
            <w:pPr>
              <w:pStyle w:val="Compact"/>
              <w:jc w:val="left"/>
            </w:pPr>
            <w:r>
              <w:t xml:space="preserve">Method family (representative)</w:t>
            </w:r>
          </w:p>
        </w:tc>
        <w:tc>
          <w:tcPr/>
          <w:p>
            <w:pPr>
              <w:pStyle w:val="Compact"/>
              <w:jc w:val="center"/>
            </w:pPr>
            <w:r>
              <w:t xml:space="preserve">Cheap?</w:t>
            </w:r>
          </w:p>
        </w:tc>
        <w:tc>
          <w:tcPr/>
          <w:p>
            <w:pPr>
              <w:pStyle w:val="Compact"/>
              <w:jc w:val="center"/>
            </w:pPr>
            <w:r>
              <w:t xml:space="preserve">Interaction?</w:t>
            </w:r>
          </w:p>
        </w:tc>
        <w:tc>
          <w:tcPr/>
          <w:p>
            <w:pPr>
              <w:pStyle w:val="Compact"/>
              <w:jc w:val="center"/>
            </w:pPr>
            <w:r>
              <w:t xml:space="preserve">Incomparability?</w:t>
            </w:r>
          </w:p>
        </w:tc>
      </w:tr>
      <w:tr>
        <w:tc>
          <w:tcPr/>
          <w:p>
            <w:pPr>
              <w:pStyle w:val="Compact"/>
              <w:jc w:val="left"/>
            </w:pPr>
            <w:r>
              <w:t xml:space="preserve">Scalar dense / PRP retrieval </w:t>
            </w:r>
            <w:r>
              <w:t xml:space="preserve">(Robertson 1977)</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Late interaction, multi-vector </w:t>
            </w:r>
            <w:r>
              <w:t xml:space="preserve">(Khattab and Zaharia 2020)</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m:oMath>
              <m:r>
                <m:rPr>
                  <m:scr m:val="script"/>
                  <m:sty m:val="p"/>
                </m:rPr>
                <m:t>V</m:t>
              </m:r>
            </m:oMath>
            <w:r>
              <w:t xml:space="preserve">-usable information </w:t>
            </w:r>
            <w:r>
              <w:t xml:space="preserve">(Ethayarajh et al. 2022)</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LM-supervised retriever </w:t>
            </w:r>
            <w:r>
              <w:t xml:space="preserve">(W. Shi et al. 2023; Guu et al. 2020)</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MMR diversity </w:t>
            </w:r>
            <w:r>
              <w:t xml:space="preserve">(Carbonell and Goldstein 1998)</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DPP / submodular coverage </w:t>
            </w:r>
            <w:r>
              <w:t xml:space="preserve">(Ye et al. 2023; Huang 2025)</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Shapley / influence valuation </w:t>
            </w:r>
            <w:r>
              <w:t xml:space="preserve">(Xie et al. 2024)</w:t>
            </w:r>
          </w:p>
        </w:tc>
        <w:tc>
          <w:tcPr/>
          <w:p>
            <w:pPr>
              <w:pStyle w:val="Compact"/>
              <w:jc w:val="center"/>
            </w:pPr>
            <m:oMath>
              <m:r>
                <m:rPr>
                  <m:sty m:val="p"/>
                </m:rPr>
                <m:t>×</m:t>
              </m:r>
            </m:oMath>
            <w:r>
              <w:t xml:space="preserve">​</w:t>
            </w:r>
          </w:p>
        </w:tc>
        <w:tc>
          <w:tcPr/>
          <w:p>
            <w:pPr>
              <w:pStyle w:val="Compact"/>
            </w:pPr>
          </w:p>
        </w:tc>
        <w:tc>
          <w:tcPr/>
          <w:p>
            <w:pPr>
              <w:pStyle w:val="Compact"/>
              <w:jc w:val="center"/>
            </w:pPr>
            <m:oMath>
              <m:r>
                <m:rPr>
                  <m:sty m:val="p"/>
                </m:rPr>
                <m:t>×</m:t>
              </m:r>
            </m:oMath>
            <w:r>
              <w:t xml:space="preserve">​</w:t>
            </w:r>
          </w:p>
        </w:tc>
      </w:tr>
      <w:tr>
        <w:tc>
          <w:tcPr/>
          <w:p>
            <w:pPr>
              <w:pStyle w:val="Compact"/>
              <w:jc w:val="left"/>
            </w:pPr>
            <w:r>
              <w:t xml:space="preserve">Expected information gain / BED </w:t>
            </w:r>
            <w:r>
              <w:t xml:space="preserve">(Choudhury et al. 2025)</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Listwise LLM reranker </w:t>
            </w:r>
            <w:r>
              <w:t xml:space="preserve">(Sun et al. 2023)</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Utility scores, learned or LLM-specific </w:t>
            </w:r>
            <w:r>
              <w:t xml:space="preserve">(Zhang et al. 2025; Dai et al. 2025)</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Conditional passage utility </w:t>
            </w:r>
            <w:r>
              <w:t xml:space="preserve">(Jain and Garimella 2025)</w:t>
            </w:r>
          </w:p>
        </w:tc>
        <w:tc>
          <w:tcPr/>
          <w:p>
            <w:pPr>
              <w:pStyle w:val="Compact"/>
              <w:jc w:val="center"/>
            </w:pPr>
            <m:oMath>
              <m:sSup>
                <m:e>
                  <m:r>
                    <m:t>​</m:t>
                  </m:r>
                </m:e>
                <m:sup>
                  <m:r>
                    <m:t>a</m:t>
                  </m:r>
                </m:sup>
              </m:sSup>
            </m:oMath>
            <w:r>
              <w:t xml:space="preserve">​</w:t>
            </w:r>
          </w:p>
        </w:tc>
        <w:tc>
          <w:tcPr/>
          <w:p>
            <w:pPr>
              <w:pStyle w:val="Compact"/>
              <w:jc w:val="center"/>
            </w:pPr>
            <m:oMath>
              <m:sSup>
                <m:e>
                  <m:r>
                    <m:rPr>
                      <m:sty m:val="p"/>
                    </m:rPr>
                    <m:t>∼</m:t>
                  </m:r>
                </m:e>
                <m:sup>
                  <m:r>
                    <m:t>d</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Conformal context filtering </w:t>
            </w:r>
            <w:r>
              <w:t xml:space="preserve">(Chakraborty et al. 2025)</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Learned set selection </w:t>
            </w:r>
            <w:r>
              <w:t xml:space="preserve">(Jiang et al. 2026; Fan et al. 2026)</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Skyline over heuristic scores </w:t>
            </w:r>
            <w:r>
              <w:t xml:space="preserve">(Wang et al. 2025)</w:t>
            </w:r>
          </w:p>
        </w:tc>
        <w:tc>
          <w:tcPr/>
          <w:p>
            <w:pPr>
              <w:pStyle w:val="Compact"/>
            </w:pPr>
          </w:p>
        </w:tc>
        <w:tc>
          <w:tcPr/>
          <w:p>
            <w:pPr>
              <w:pStyle w:val="Compact"/>
              <w:jc w:val="center"/>
            </w:pPr>
            <m:oMath>
              <m:r>
                <m:rPr>
                  <m:sty m:val="p"/>
                </m:rPr>
                <m:t>×</m:t>
              </m:r>
            </m:oMath>
            <w:r>
              <w:t xml:space="preserve">​</w:t>
            </w:r>
          </w:p>
        </w:tc>
        <w:tc>
          <w:tcPr/>
          <w:p>
            <w:pPr>
              <w:pStyle w:val="Compact"/>
              <w:jc w:val="center"/>
            </w:pPr>
            <m:oMath>
              <m:sSup>
                <m:e>
                  <m:r>
                    <m:rPr>
                      <m:sty m:val="p"/>
                    </m:rPr>
                    <m:t>∼</m:t>
                  </m:r>
                </m:e>
                <m:sup>
                  <m:r>
                    <m:t>e</m:t>
                  </m:r>
                </m:sup>
              </m:sSup>
            </m:oMath>
            <w:r>
              <w:t xml:space="preserve">​</w:t>
            </w:r>
          </w:p>
        </w:tc>
      </w:tr>
      <w:tr>
        <w:tc>
          <w:tcPr/>
          <w:p>
            <w:pPr>
              <w:pStyle w:val="Compact"/>
              <w:jc w:val="left"/>
            </w:pPr>
            <w:r>
              <w:rPr>
                <w:b/>
                <w:bCs/>
              </w:rPr>
              <w:t xml:space="preserve">Verified front</w:t>
            </w:r>
            <w:r>
              <w:rPr>
                <w:b/>
                <w:bCs/>
              </w:rPr>
              <w:t xml:space="preserve"> </w:t>
            </w:r>
            <m:oMath>
              <m:r>
                <m:rPr>
                  <m:sty m:val="p"/>
                </m:rPr>
                <m:t>+</m:t>
              </m:r>
            </m:oMath>
            <w:r>
              <w:rPr>
                <w:b/>
                <w:bCs/>
              </w:rPr>
              <w:t xml:space="preserve"> </w:t>
            </w:r>
            <w:r>
              <w:rPr>
                <w:b/>
                <w:bCs/>
              </w:rPr>
              <w:t xml:space="preserve">routing (this paper)</w:t>
            </w:r>
          </w:p>
        </w:tc>
        <w:tc>
          <w:tcPr/>
          <w:p>
            <w:pPr>
              <w:pStyle w:val="Compact"/>
              <w:jc w:val="center"/>
            </w:pPr>
            <m:oMath>
              <m:r>
                <m:rPr>
                  <m:sty m:val="p"/>
                </m:rPr>
                <m:t>×</m:t>
              </m:r>
            </m:oMath>
            <w:r>
              <w:t xml:space="preserve">​</w:t>
            </w:r>
          </w:p>
        </w:tc>
        <w:tc>
          <w:tcPr/>
          <w:p>
            <w:pPr>
              <w:pStyle w:val="Compact"/>
            </w:pPr>
          </w:p>
        </w:tc>
        <w:tc>
          <w:tcPr/>
          <w:p>
            <w:pPr>
              <w:pStyle w:val="Compact"/>
            </w:pPr>
          </w:p>
        </w:tc>
      </w:tr>
    </w:tbl>
    <w:bookmarkEnd w:id="25"/>
    <w:bookmarkEnd w:id="26"/>
    <w:bookmarkEnd w:id="27"/>
    <w:bookmarkStart w:id="34"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30"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8"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8"/>
    <w:bookmarkStart w:id="29"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rPr>
            <m:sty m:val="p"/>
          </m:rPr>
          <m:t>∈</m:t>
        </m:r>
        <m:r>
          <m:rPr>
            <m:sty m:val="p"/>
          </m:rPr>
          <m:t>{</m:t>
        </m:r>
        <m:r>
          <m:t>0</m:t>
        </m:r>
        <m:r>
          <m:rPr>
            <m:sty m:val="p"/>
          </m:rPr>
          <m:t>,</m:t>
        </m:r>
        <m:r>
          <m:t>1</m:t>
        </m:r>
        <m:r>
          <m:rPr>
            <m:sty m:val="p"/>
          </m:rPr>
          <m:t>}</m:t>
        </m:r>
      </m:oMath>
      <w:r>
        <w:t xml:space="preserve">. Two decision rules matter:</w:t>
      </w:r>
    </w:p>
    <w:p>
      <w:pPr>
        <w:numPr>
          <w:ilvl w:val="0"/>
          <w:numId w:val="1003"/>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e>
              </m:d>
              <m:r>
                <m:t> </m:t>
              </m:r>
            </m:e>
          </m:d>
          <m:r>
            <m:rPr>
              <m:sty m:val="p"/>
            </m:rPr>
            <m:t>,</m:t>
          </m:r>
          <m:r>
            <m:t>  </m:t>
          </m:r>
          <m:r>
            <m:t>w</m:t>
          </m:r>
          <m:r>
            <m:rPr>
              <m:sty m:val="p"/>
            </m:rPr>
            <m:t>∼</m:t>
          </m:r>
          <m:sSub>
            <m:e>
              <m:r>
                <m:t>κ</m:t>
              </m:r>
            </m:e>
            <m:sub>
              <m:r>
                <m:t>W</m:t>
              </m:r>
            </m:sub>
          </m:sSub>
          <m:r>
            <m:rPr>
              <m:sty m:val="p"/>
            </m:rPr>
            <m:t>(</m:t>
          </m:r>
          <m:r>
            <m:rPr>
              <m:sty m:val="p"/>
            </m:rPr>
            <m:t>⋅</m:t>
          </m:r>
          <m:r>
            <m:rPr>
              <m:sty m:val="p"/>
            </m:rPr>
            <m:t>∣</m:t>
          </m:r>
          <m:sSub>
            <m:e>
              <m:r>
                <m:t>S</m:t>
              </m:r>
            </m:e>
            <m:sub>
              <m:r>
                <m:t>T</m:t>
              </m:r>
            </m:sub>
          </m:sSub>
          <m:r>
            <m:rPr>
              <m:sty m:val="p"/>
            </m:rPr>
            <m:t>)</m:t>
          </m:r>
          <m:r>
            <m:rPr>
              <m:sty m:val="p"/>
            </m:rPr>
            <m:t>;</m:t>
          </m:r>
        </m:oMath>
      </m:oMathPara>
    </w:p>
    <w:p>
      <w:pPr>
        <w:numPr>
          <w:ilvl w:val="0"/>
          <w:numId w:val="1003"/>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decision rule for</w:t>
      </w:r>
      <w:r>
        <w:t xml:space="preserve"> </w:t>
      </w:r>
      <w:r>
        <w:t xml:space="preserve">task</w:t>
      </w:r>
      <w:r>
        <w:t xml:space="preserve"> </w:t>
      </w:r>
      <m:oMath>
        <m:r>
          <m:t>T</m:t>
        </m:r>
      </m:oMath>
      <w:r>
        <w:t xml:space="preserve"> </w:t>
      </w:r>
      <w:r>
        <w:t xml:space="preserve">given a prior over</w:t>
      </w:r>
      <w:r>
        <w:t xml:space="preserve"> </w:t>
      </w:r>
      <m:oMath>
        <m:r>
          <m:t>S</m:t>
        </m:r>
      </m:oMath>
      <w:r>
        <w:t xml:space="preserve">, achieving the optimal value</w:t>
      </w:r>
      <w:r>
        <w:t xml:space="preserve"> </w:t>
      </w:r>
      <m:oMath>
        <m:sSup>
          <m:e>
            <m:r>
              <m:t>V</m:t>
            </m:r>
          </m:e>
          <m:sup>
            <m:r>
              <m:rPr>
                <m:sty m:val="p"/>
              </m:rPr>
              <m:t>⋆</m:t>
            </m:r>
          </m:sup>
        </m:sSup>
        <m:r>
          <m:rPr>
            <m:sty m:val="p"/>
          </m:rPr>
          <m:t>(</m:t>
        </m:r>
        <m:r>
          <m:t>W</m:t>
        </m:r>
        <m:r>
          <m:rPr>
            <m:sty m:val="p"/>
          </m:rPr>
          <m:t>,</m:t>
        </m:r>
        <m:r>
          <m:t>T</m:t>
        </m:r>
        <m:r>
          <m:rPr>
            <m:sty m:val="p"/>
          </m:rPr>
          <m:t>)</m:t>
        </m:r>
        <m:box>
          <m:boxPr>
            <m:opEmu m:val="on"/>
          </m:boxPr>
          <m:e>
            <m:r>
              <m:rPr>
                <m:sty m:val="p"/>
              </m:rPr>
              <m:t>:=</m:t>
            </m:r>
          </m:e>
        </m:box>
        <m:sSub>
          <m:e>
            <m:r>
              <m:rPr>
                <m:sty m:val="p"/>
              </m:rPr>
              <m:t>sup</m:t>
            </m:r>
          </m:e>
          <m:sub>
            <m:r>
              <m:t>δ</m:t>
            </m:r>
          </m:sub>
        </m:sSub>
        <m:r>
          <m:rPr>
            <m:scr m:val="double-struck"/>
            <m:sty m:val="p"/>
          </m:rPr>
          <m:t>E</m:t>
        </m:r>
        <m:r>
          <m:rPr>
            <m:sty m:val="p"/>
          </m:rPr>
          <m:t>[</m:t>
        </m:r>
        <m:sSub>
          <m:e>
            <m:r>
              <m:t>v</m:t>
            </m:r>
          </m:e>
          <m:sub>
            <m:r>
              <m:t>T</m:t>
            </m:r>
          </m:sub>
        </m:sSub>
        <m:r>
          <m:rPr>
            <m:sty m:val="p"/>
          </m:rPr>
          <m:t>(</m:t>
        </m:r>
        <m:r>
          <m:t>δ</m:t>
        </m:r>
        <m:r>
          <m:rPr>
            <m:sty m:val="p"/>
          </m:rPr>
          <m:t>(</m:t>
        </m:r>
        <m:r>
          <m:t>T</m:t>
        </m:r>
        <m:r>
          <m:rPr>
            <m:sty m:val="p"/>
          </m:rPr>
          <m:t>,</m:t>
        </m:r>
        <m:r>
          <m:t>w</m:t>
        </m:r>
        <m:r>
          <m:rPr>
            <m:sty m:val="p"/>
          </m:rPr>
          <m:t>)</m:t>
        </m:r>
        <m:r>
          <m:rPr>
            <m:sty m:val="p"/>
          </m:rPr>
          <m:t>)</m:t>
        </m:r>
        <m:r>
          <m:rPr>
            <m:sty m:val="p"/>
          </m:rPr>
          <m:t>]</m:t>
        </m:r>
      </m:oMath>
      <w:r>
        <w:t xml:space="preserve">.</w:t>
      </w:r>
    </w:p>
    <w:bookmarkEnd w:id="29"/>
    <w:p>
      <w:pPr>
        <w:pStyle w:val="FirstParagraph"/>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30"/>
    <w:bookmarkStart w:id="32"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31"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31"/>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(Torgersen 1991)</w:t>
      </w:r>
      <w:r>
        <w:t xml:space="preserve">.</w:t>
      </w:r>
    </w:p>
    <w:bookmarkEnd w:id="32"/>
    <w:bookmarkStart w:id="33"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r>
          <m:t>I</m:t>
        </m:r>
        <m:r>
          <m:rPr>
            <m:sty m:val="p"/>
          </m:rPr>
          <m:t>(</m:t>
        </m:r>
        <m:r>
          <m:t>S</m:t>
        </m:r>
        <m:r>
          <m:rPr>
            <m:sty m:val="p"/>
          </m:rPr>
          <m:t>;</m:t>
        </m:r>
        <m:r>
          <m:t>W</m:t>
        </m:r>
        <m:r>
          <m:rPr>
            <m:sty m:val="p"/>
          </m:rPr>
          <m:t>∣</m:t>
        </m:r>
        <m:r>
          <m:t>θ</m:t>
        </m:r>
        <m:r>
          <m:rPr>
            <m:sty m:val="p"/>
          </m:rPr>
          <m:t>)</m:t>
        </m:r>
      </m:oMath>
      <w:r>
        <w:t xml:space="preserve"> </w:t>
      </w:r>
      <w:r>
        <w:t xml:space="preserve">for the model-relative value of a private source, the information</w:t>
      </w:r>
      <w:r>
        <w:t xml:space="preserve"> </w:t>
      </w:r>
      <m:oMath>
        <m:r>
          <m:t>W</m:t>
        </m:r>
      </m:oMath>
      <w:r>
        <w:t xml:space="preserve"> </w:t>
      </w:r>
      <w:r>
        <w:t xml:space="preserve">supplies</w:t>
      </w:r>
      <w:r>
        <w:t xml:space="preserve"> </w:t>
      </w:r>
      <w:r>
        <w:rPr>
          <w:i/>
          <w:iCs/>
        </w:rPr>
        <w:t xml:space="preserve">beyond what</w:t>
      </w:r>
      <w:r>
        <w:rPr>
          <w:i/>
          <w:iCs/>
        </w:rPr>
        <w:t xml:space="preserve"> </w:t>
      </w:r>
      <m:oMath>
        <m:r>
          <m:t>θ</m:t>
        </m:r>
      </m:oMath>
      <w:r>
        <w:rPr>
          <w:i/>
          <w:iCs/>
        </w:rPr>
        <w:t xml:space="preserve"> </w:t>
      </w:r>
      <w:r>
        <w:rPr>
          <w:i/>
          <w:iCs/>
        </w:rPr>
        <w:t xml:space="preserve">already encodes</w:t>
      </w:r>
      <w:r>
        <w:t xml:space="preserve">. When</w:t>
      </w:r>
      <w:r>
        <w:t xml:space="preserve"> </w:t>
      </w:r>
      <m:oMath>
        <m:r>
          <m:t>θ</m:t>
        </m:r>
      </m:oMath>
      <w:r>
        <w:t xml:space="preserve"> </w:t>
      </w:r>
      <w:r>
        <w:t xml:space="preserve">already</w:t>
      </w:r>
      <w:r>
        <w:t xml:space="preserve"> </w:t>
      </w:r>
      <w:r>
        <w:t xml:space="preserve">“knows”</w:t>
      </w:r>
      <w:r>
        <w:t xml:space="preserve"> </w:t>
      </w:r>
      <w:r>
        <w:t xml:space="preserve">a convention</w:t>
      </w:r>
      <w:r>
        <w:t xml:space="preserve"> </w:t>
      </w:r>
      <w:r>
        <w:t xml:space="preserve">(the model can guess it without the source),</w:t>
      </w:r>
      <w:r>
        <w:t xml:space="preserve"> </w:t>
      </w:r>
      <m:oMath>
        <m:r>
          <m:t>W</m:t>
        </m:r>
      </m:oMath>
      <w:r>
        <w:t xml:space="preserve">’s marginal value collapses; when the convention is genuinely unknown to</w:t>
      </w:r>
      <w:r>
        <w:t xml:space="preserve"> </w:t>
      </w:r>
      <m:oMath>
        <m:r>
          <m:t>θ</m:t>
        </m:r>
      </m:oMath>
      <w:r>
        <w:t xml:space="preserve">,</w:t>
      </w:r>
      <w:r>
        <w:t xml:space="preserve"> </w:t>
      </w:r>
      <m:oMath>
        <m:r>
          <m:t>W</m:t>
        </m:r>
      </m:oMath>
      <w:r>
        <w:t xml:space="preserve"> </w:t>
      </w:r>
      <w:r>
        <w:t xml:space="preserve">is maximally valuable.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3"/>
    <w:bookmarkEnd w:id="34"/>
    <w:bookmarkStart w:id="46"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9" w:name="the-order-and-its-two-registers"/>
    <w:p>
      <w:pPr>
        <w:pStyle w:val="Heading2"/>
      </w:pPr>
      <w:r>
        <w:t xml:space="preserve">The order and its two registers</w:t>
      </w:r>
    </w:p>
    <w:bookmarkStart w:id="35"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5"/>
    <w:p>
      <w:pPr>
        <w:pStyle w:val="BodyText"/>
      </w:pPr>
      <w:r>
        <w:t xml:space="preserve">The classical content of the order is the Blackwell–Sherman–Stein theorem, which we state with</w:t>
      </w:r>
      <w:r>
        <w:t xml:space="preserve"> </w:t>
      </w:r>
      <w:r>
        <w:t xml:space="preserve">hypotheses for a self-contained treatment.</w:t>
      </w:r>
    </w:p>
    <w:bookmarkStart w:id="36"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4"/>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4"/>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6"/>
    <w:p>
      <w:pPr>
        <w:pStyle w:val="BodyText"/>
      </w:pPr>
      <w:r>
        <w:t xml:space="preserve">This is the classical Blackwell–Sherman–Stein theorem </w:t>
      </w:r>
      <w:r>
        <w:t xml:space="preserve">(Blackwell 1953; Torgersen 1991)</w:t>
      </w:r>
      <w:r>
        <w:t xml:space="preserve">,</w:t>
      </w:r>
      <w:r>
        <w:t xml:space="preserve"> </w:t>
      </w:r>
      <w:r>
        <w:t xml:space="preserve">which we use as a black box.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7"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7"/>
    <w:bookmarkStart w:id="38" w:name="rem:partial"/>
    <w:p>
      <w:pPr>
        <w:pStyle w:val="BodyText"/>
      </w:pPr>
      <w:r>
        <w:rPr>
          <w:i/>
          <w:iCs/>
        </w:rPr>
        <w:t xml:space="preserve">Remark 1</w:t>
      </w:r>
      <w:r>
        <w:t xml:space="preserve"> </w:t>
      </w:r>
      <w:r>
        <w:t xml:space="preserve">(The order is partial; no lattice).</w:t>
      </w:r>
      <w:r>
        <w:t xml:space="preserve"> </w:t>
      </w:r>
      <w:r>
        <w:t xml:space="preserve"> </w:t>
      </w:r>
      <m:oMath>
        <m:sSub>
          <m:e>
            <m:r>
              <m:rPr>
                <m:sty m:val="p"/>
              </m:rPr>
              <m:t>≽</m:t>
            </m:r>
          </m:e>
          <m:sub>
            <m:r>
              <m:t>B</m:t>
            </m:r>
          </m:sub>
        </m:sSub>
      </m:oMath>
      <w:r>
        <w:t xml:space="preserve"> </w:t>
      </w:r>
      <w:r>
        <w:t xml:space="preserve">is a genuine partial order: there exist pairs</w:t>
      </w:r>
      <w:r>
        <w:t xml:space="preserve"> </w:t>
      </w:r>
      <m:oMath>
        <m:sSub>
          <m:e>
            <m:r>
              <m:t>W</m:t>
            </m:r>
          </m:e>
          <m:sub>
            <m:r>
              <m:t>1</m:t>
            </m:r>
          </m:sub>
        </m:sSub>
        <m:r>
          <m:rPr>
            <m:sty m:val="p"/>
          </m:rPr>
          <m:t>,</m:t>
        </m:r>
        <m:sSub>
          <m:e>
            <m:r>
              <m:t>W</m:t>
            </m:r>
          </m:e>
          <m:sub>
            <m:r>
              <m:t>2</m:t>
            </m:r>
          </m:sub>
        </m:sSub>
      </m:oMath>
      <w:r>
        <w:t xml:space="preserve"> </w:t>
      </w:r>
      <w:r>
        <w:t xml:space="preserve">with neither</w:t>
      </w:r>
      <w:r>
        <w:t xml:space="preserve"> </w:t>
      </w:r>
      <m:oMath>
        <m:sSub>
          <m:e>
            <m:r>
              <m:t>W</m:t>
            </m:r>
          </m:e>
          <m:sub>
            <m:r>
              <m:t>1</m:t>
            </m:r>
          </m:sub>
        </m:sSub>
        <m:sSub>
          <m:e>
            <m:r>
              <m:rPr>
                <m:sty m:val="p"/>
              </m:rPr>
              <m:t>≽</m:t>
            </m:r>
          </m:e>
          <m:sub>
            <m:r>
              <m:t>B</m:t>
            </m:r>
          </m:sub>
        </m:sSub>
        <m:sSub>
          <m:e>
            <m:r>
              <m:t>W</m:t>
            </m:r>
          </m:e>
          <m:sub>
            <m:r>
              <m:t>2</m:t>
            </m:r>
          </m:sub>
        </m:sSub>
      </m:oMath>
      <w:r>
        <w:t xml:space="preserve"> </w:t>
      </w:r>
      <w:r>
        <w:t xml:space="preserve">nor</w:t>
      </w:r>
      <w:r>
        <w:t xml:space="preserve"> </w:t>
      </w:r>
      <m:oMath>
        <m:sSub>
          <m:e>
            <m:r>
              <m:t>W</m:t>
            </m:r>
          </m:e>
          <m:sub>
            <m:r>
              <m:t>2</m:t>
            </m:r>
          </m:sub>
        </m:sSub>
        <m:sSub>
          <m:e>
            <m:r>
              <m:rPr>
                <m:sty m:val="p"/>
              </m:rPr>
              <m:t>≽</m:t>
            </m:r>
          </m:e>
          <m:sub>
            <m:r>
              <m:t>B</m:t>
            </m:r>
          </m:sub>
        </m:sSub>
        <m:sSub>
          <m:e>
            <m:r>
              <m:t>W</m:t>
            </m:r>
          </m:e>
          <m:sub>
            <m:r>
              <m:t>1</m:t>
            </m:r>
          </m:sub>
        </m:sSub>
      </m:oMath>
      <w:r>
        <w:t xml:space="preserve">, and the order does not form a lattice </w:t>
      </w:r>
      <w:r>
        <w:t xml:space="preserve">(Torgersen 1991)</w:t>
      </w:r>
      <w:r>
        <w:t xml:space="preserve">.</w:t>
      </w:r>
      <w:r>
        <w:t xml:space="preserve"> </w:t>
      </w:r>
      <w:r>
        <w:t xml:space="preserve">Incomparability is exactly the regime our experiments target.</w:t>
      </w:r>
    </w:p>
    <w:bookmarkEnd w:id="38"/>
    <w:bookmarkEnd w:id="39"/>
    <w:bookmarkStart w:id="41"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40"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5"/>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5"/>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40"/>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41"/>
    <w:bookmarkStart w:id="45"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42"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42"/>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3"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6"/>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with</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the optimal values achievable</w:t>
      </w:r>
      <w:r>
        <w:rPr>
          <w:i/>
          <w:iCs/>
        </w:rPr>
        <w:t xml:space="preserve"> </w:t>
      </w:r>
      <w:r>
        <w:rPr>
          <w:i/>
          <w:i/>
          <w:iCs/>
          <w:iCs/>
        </w:rPr>
        <w:t xml:space="preserve">without</w:t>
      </w:r>
      <w:r>
        <w:rPr>
          <w:i/>
          <w:iCs/>
        </w:rPr>
        <w:t xml:space="preserve"> </w:t>
      </w:r>
      <w:r>
        <w:rPr>
          <w:i/>
          <w:iCs/>
        </w:rPr>
        <w:t xml:space="preserve">the decisive</w:t>
      </w:r>
      <w:r>
        <w:rPr>
          <w:i/>
          <w:iCs/>
        </w:rPr>
        <w:t xml:space="preserve"> </w:t>
      </w:r>
      <w:r>
        <w:rPr>
          <w:i/>
          <w:iCs/>
        </w:rPr>
        <w:t xml:space="preserve">coordinate. If</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w:t>
      </w:r>
      <w:r>
        <w:rPr>
          <w:i/>
          <w:iCs/>
        </w:rPr>
        <w:t xml:space="preserve"> </w:t>
      </w:r>
      <w:r>
        <w:rPr>
          <w:i/>
          <w:iCs/>
        </w:rPr>
        <w:t xml:space="preserve">Blackwell-incomparable.</w:t>
      </w:r>
    </w:p>
    <w:p>
      <w:pPr>
        <w:numPr>
          <w:ilvl w:val="0"/>
          <w:numId w:val="1006"/>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The separation hypothesis in</w:t>
      </w:r>
      <w:r>
        <w:rPr>
          <w:i/>
          <w:iCs/>
        </w:rPr>
        <w:t xml:space="preserve"> </w:t>
      </w:r>
      <w:r>
        <w:rPr>
          <w:i/>
          <w:iCs/>
        </w:rPr>
        <w:t xml:space="preserve">(a)</w:t>
      </w:r>
      <w:r>
        <w:rPr>
          <w:i/>
          <w:iCs/>
        </w:rPr>
        <w:t xml:space="preserve"> </w:t>
      </w:r>
      <w:r>
        <w:rPr>
          <w:i/>
          <w:iCs/>
        </w:rPr>
        <w:t xml:space="preserve">is necessary, and our own measurements witness the</w:t>
      </w:r>
      <w:r>
        <w:rPr>
          <w:i/>
          <w:iCs/>
        </w:rPr>
        <w:t xml:space="preserve"> </w:t>
      </w:r>
      <w:r>
        <w:rPr>
          <w:i/>
          <w:iCs/>
        </w:rPr>
        <w:t xml:space="preserve">necessity:</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w:t>
      </w:r>
      <w:r>
        <w:rPr>
          <w:i/>
          <w:iCs/>
        </w:rPr>
        <w:t xml:space="preserve"> </w:t>
      </w:r>
      <w:r>
        <w:rPr>
          <w:i/>
          <w:iCs/>
        </w:rPr>
        <w:t xml:space="preserve">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without the</w:t>
      </w:r>
      <w:r>
        <w:rPr>
          <w:i/>
          <w:iCs/>
        </w:rPr>
        <w:t xml:space="preserve"> </w:t>
      </w:r>
      <w:r>
        <w:rPr>
          <w:i/>
          <w:iCs/>
        </w:rPr>
        <w:t xml:space="preserve">separation hypothesis, witnesses only the sub-optimality of</w:t>
      </w:r>
      <w:r>
        <w:rPr>
          <w:i/>
          <w:iCs/>
        </w:rPr>
        <w:t xml:space="preserve"> </w:t>
      </w:r>
      <m:oMath>
        <m:sSub>
          <m:e>
            <m:r>
              <m:t>δ</m:t>
            </m:r>
          </m:e>
          <m:sub>
            <m:r>
              <m:t>M</m:t>
            </m:r>
          </m:sub>
        </m:sSub>
      </m:oMath>
      <w:r>
        <w:rPr>
          <w:i/>
          <w:iCs/>
        </w:rPr>
        <w:t xml:space="preserve"> </w:t>
      </w:r>
      <w:r>
        <w:rPr>
          <w:i/>
          <w:iCs/>
        </w:rPr>
        <w:t xml:space="preserve">(Theorem 3).</w:t>
      </w:r>
    </w:p>
    <w:bookmarkEnd w:id="43"/>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4" w:name="ass:attain"/>
    <w:p>
      <w:pPr>
        <w:pStyle w:val="BodyText"/>
      </w:pPr>
      <w:r>
        <w:rPr>
          <w:b/>
          <w:bCs/>
        </w:rPr>
        <w:t xml:space="preserve">Assumption 1</w:t>
      </w:r>
      <w:r>
        <w:t xml:space="preserve"> </w:t>
      </w:r>
      <w:r>
        <w:t xml:space="preserve">(Value attainment on the witnessing tasks).</w:t>
      </w:r>
      <w:r>
        <w:t xml:space="preserve"> </w:t>
      </w:r>
      <w:r>
        <w:t xml:space="preserve"> </w:t>
      </w:r>
      <w:r>
        <w:t xml:space="preserve">There exist tasks</w:t>
      </w:r>
      <w:r>
        <w:t xml:space="preserve"> </w:t>
      </w:r>
      <m:oMath>
        <m:sSub>
          <m:e>
            <m:r>
              <m:t>T</m:t>
            </m:r>
          </m:e>
          <m:sub>
            <m:r>
              <m:t>a</m:t>
            </m:r>
          </m:sub>
        </m:sSub>
        <m:r>
          <m:rPr>
            <m:sty m:val="p"/>
          </m:rPr>
          <m:t>,</m:t>
        </m:r>
        <m:sSub>
          <m:e>
            <m:r>
              <m:t>T</m:t>
            </m:r>
          </m:e>
          <m:sub>
            <m:r>
              <m:t>b</m:t>
            </m:r>
          </m:sub>
        </m:sSub>
      </m:oMath>
      <w:r>
        <w:t xml:space="preserve"> </w:t>
      </w:r>
      <w:r>
        <w:t xml:space="preserve">and a margin</w:t>
      </w:r>
      <w:r>
        <w:t xml:space="preserve"> </w:t>
      </w:r>
      <m:oMath>
        <m:r>
          <m:t>γ</m:t>
        </m:r>
        <m:r>
          <m:rPr>
            <m:sty m:val="p"/>
          </m:rPr>
          <m:t>&gt;</m:t>
        </m:r>
        <m:r>
          <m:t>0</m:t>
        </m:r>
      </m:oMath>
      <w:r>
        <w:t xml:space="preserve"> </w:t>
      </w:r>
      <w:r>
        <w:t xml:space="preserve">such that</w:t>
      </w:r>
      <w:r>
        <w:t xml:space="preserve"> </w:t>
      </w:r>
      <m:oMath>
        <m:sSub>
          <m:e>
            <m:r>
              <m:t>δ</m:t>
            </m:r>
          </m:e>
          <m:sub>
            <m:r>
              <m:t>M</m:t>
            </m:r>
          </m:sub>
        </m:sSub>
      </m:oMath>
      <w:r>
        <w:t xml:space="preserve"> </w:t>
      </w:r>
      <w:r>
        <w:t xml:space="preserve">attains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w:t>
      </w:r>
      <w:r>
        <w:t xml:space="preserve"> </w:t>
      </w:r>
      <w:r>
        <w:t xml:space="preserve">exploits each source’s private coordinate on the task that requires it. Under</w:t>
      </w:r>
      <w:r>
        <w:t xml:space="preserve"> </w:t>
      </w:r>
      <w:r>
        <w:t xml:space="preserve">Assumption 1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4"/>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flooring at the</w:t>
      </w:r>
      <w:r>
        <w:t xml:space="preserve"> </w:t>
      </w:r>
      <w:r>
        <w:t xml:space="preserve">guessing cap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 verified per cell in §7; 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w:t>
      </w:r>
      <w:r>
        <w:t xml:space="preserve"> </w:t>
      </w:r>
      <w:r>
        <w:t xml:space="preserve">task design enforces and our measurements verify.</w:t>
      </w:r>
    </w:p>
    <w:bookmarkEnd w:id="45"/>
    <w:bookmarkEnd w:id="46"/>
    <w:bookmarkStart w:id="55"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52" w:name="query-independent-scores-the-theorem"/>
    <w:p>
      <w:pPr>
        <w:pStyle w:val="Heading2"/>
      </w:pPr>
      <w:r>
        <w:t xml:space="preserve">Query-independent scores: the theorem</w:t>
      </w:r>
    </w:p>
    <w:bookmarkStart w:id="47"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and,</w:t>
      </w:r>
      <w:r>
        <w:rPr>
          <w:i/>
          <w:iCs/>
        </w:rPr>
        <w:t xml:space="preserve"> </w:t>
      </w:r>
      <w:r>
        <w:rPr>
          <w:i/>
          <w:iCs/>
        </w:rPr>
        <w:t xml:space="preserve">under Assumption 1, with the 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 them.</w:t>
      </w:r>
    </w:p>
    <w:bookmarkEnd w:id="47"/>
    <w:p>
      <w:pPr>
        <w:pStyle w:val="BodyText"/>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Start w:id="48" w:name="rem:c2scope"/>
    <w:p>
      <w:pPr>
        <w:pStyle w:val="BodyText"/>
      </w:pPr>
      <w:r>
        <w:rPr>
          <w:i/>
          <w:iCs/>
        </w:rPr>
        <w:t xml:space="preserve">Remark 2</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8"/>
    <w:bookmarkStart w:id="49" w:name="rem:lean"/>
    <w:p>
      <w:pPr>
        <w:pStyle w:val="BodyText"/>
      </w:pPr>
      <w:r>
        <w:rPr>
          <w:i/>
          <w:iCs/>
        </w:rPr>
        <w:t xml:space="preserve">Remark 3</w:t>
      </w:r>
      <w:r>
        <w:t xml:space="preserve"> </w:t>
      </w:r>
      <w:r>
        <w:t xml:space="preserve">(Machine-checked).</w:t>
      </w:r>
      <w:r>
        <w:t xml:space="preserve"> </w:t>
      </w:r>
      <w:r>
        <w:t xml:space="preserve"> </w:t>
      </w:r>
      <w:r>
        <w:t xml:space="preserve">Theorem 2 and Proposition 2 are formalized and</w:t>
      </w:r>
      <w:r>
        <w:t xml:space="preserve"> </w:t>
      </w:r>
      <w:r>
        <w:t xml:space="preserve">machine-checked in Lean 4 (</w:t>
      </w:r>
      <w:r>
        <w:rPr>
          <w:rStyle w:val="VerbatimChar"/>
        </w:rPr>
        <w:t xml:space="preserve">lean/ContextSelection.lean</w:t>
      </w:r>
      <w:r>
        <w:t xml:space="preserve"> </w:t>
      </w:r>
      <w:r>
        <w:t xml:space="preserve">in the artifact repository, as</w:t>
      </w:r>
      <w:r>
        <w:t xml:space="preserve"> </w:t>
      </w:r>
      <w:r>
        <w:rPr>
          <w:rStyle w:val="VerbatimChar"/>
        </w:rPr>
        <w:t xml:space="preserve">no_faithful_query_independent_score</w:t>
      </w:r>
      <w:r>
        <w:t xml:space="preserve"> </w:t>
      </w:r>
      <w:r>
        <w:t xml:space="preserve">and</w:t>
      </w:r>
      <w:r>
        <w:t xml:space="preserve"> </w:t>
      </w:r>
      <w:r>
        <w:rPr>
          <w:rStyle w:val="VerbatimChar"/>
        </w:rPr>
        <w:t xml:space="preserve">topical_score_misranks_trap</w:t>
      </w:r>
      <w:r>
        <w:t xml:space="preserve">). The</w:t>
      </w:r>
      <w:r>
        <w:t xml:space="preserve"> </w:t>
      </w:r>
      <w:r>
        <w:t xml:space="preserve">formalization takes no dependency on Mathlib and checks against a bare</w:t>
      </w:r>
      <w:r>
        <w:t xml:space="preserve"> </w:t>
      </w:r>
      <w:r>
        <w:rPr>
          <w:rStyle w:val="VerbatimChar"/>
        </w:rPr>
        <w:t xml:space="preserve">lean</w:t>
      </w:r>
      <w:r>
        <w:t xml:space="preserve"> </w:t>
      </w:r>
      <w:r>
        <w:t xml:space="preserve">binary; the</w:t>
      </w:r>
      <w:r>
        <w:t xml:space="preserve"> </w:t>
      </w:r>
      <w:r>
        <w:t xml:space="preserve">order on the score codomain is passed explicitly rather than drawn from a typeclass hierarchy,</w:t>
      </w:r>
      <w:r>
        <w:t xml:space="preserve"> </w:t>
      </w:r>
      <w:r>
        <w:t xml:space="preserve">which records the fact that the obstruction is</w:t>
      </w:r>
      <w:r>
        <w:t xml:space="preserve"> </w:t>
      </w:r>
      <w:r>
        <w:rPr>
          <w:i/>
          <w:iCs/>
        </w:rPr>
        <w:t xml:space="preserve">totality of the induced ranking alone</w:t>
      </w:r>
      <w:r>
        <w:t xml:space="preserve">, not any</w:t>
      </w:r>
      <w:r>
        <w:t xml:space="preserve"> </w:t>
      </w:r>
      <w:r>
        <w:t xml:space="preserve">property of</w:t>
      </w:r>
      <w:r>
        <w:t xml:space="preserve"> </w:t>
      </w:r>
      <m:oMath>
        <m:r>
          <m:rPr>
            <m:scr m:val="double-struck"/>
            <m:sty m:val="p"/>
          </m:rPr>
          <m:t>R</m:t>
        </m:r>
      </m:oMath>
      <w:r>
        <w:t xml:space="preserve">. Every scalar in the excluded class therefore falls under the one theorem.</w:t>
      </w:r>
      <w:r>
        <w:t xml:space="preserve"> </w:t>
      </w:r>
      <w:r>
        <w:t xml:space="preserve">A</w:t>
      </w:r>
      <w:r>
        <w:t xml:space="preserve"> </w:t>
      </w:r>
      <w:r>
        <w:rPr>
          <w:rStyle w:val="VerbatimChar"/>
        </w:rPr>
        <w:t xml:space="preserve">Demo</w:t>
      </w:r>
      <w:r>
        <w:t xml:space="preserve"> </w:t>
      </w:r>
      <w:r>
        <w:t xml:space="preserve">namespace instantiates both results on the paper’s own configuration, so the</w:t>
      </w:r>
      <w:r>
        <w:t xml:space="preserve"> </w:t>
      </w:r>
      <w:r>
        <w:t xml:space="preserve">impossibility statements are not vacuous, and</w:t>
      </w:r>
      <w:r>
        <w:t xml:space="preserve"> </w:t>
      </w:r>
      <w:r>
        <w:rPr>
          <w:rStyle w:val="VerbatimChar"/>
        </w:rPr>
        <w:t xml:space="preserve">#print axioms</w:t>
      </w:r>
      <w:r>
        <w:t xml:space="preserve"> </w:t>
      </w:r>
      <w:r>
        <w:t xml:space="preserve">reports that both central</w:t>
      </w:r>
      <w:r>
        <w:t xml:space="preserve"> </w:t>
      </w:r>
      <w:r>
        <w:t xml:space="preserve">theorems depend on</w:t>
      </w:r>
      <w:r>
        <w:t xml:space="preserve"> </w:t>
      </w:r>
      <w:r>
        <w:rPr>
          <w:i/>
          <w:iCs/>
        </w:rPr>
        <w:t xml:space="preserve">no</w:t>
      </w:r>
      <w:r>
        <w:t xml:space="preserve"> </w:t>
      </w:r>
      <w:r>
        <w:t xml:space="preserve">axioms: the arguments are constructive, using neither choice nor</w:t>
      </w:r>
      <w:r>
        <w:t xml:space="preserve"> </w:t>
      </w:r>
      <w:r>
        <w:t xml:space="preserve">excluded middle. What is</w:t>
      </w:r>
      <w:r>
        <w:t xml:space="preserve"> </w:t>
      </w:r>
      <w:r>
        <w:rPr>
          <w:i/>
          <w:iCs/>
        </w:rPr>
        <w:t xml:space="preserve">not</w:t>
      </w:r>
      <w:r>
        <w:t xml:space="preserve"> </w:t>
      </w:r>
      <w:r>
        <w:t xml:space="preserve">formalized is stated as plainly: the</w:t>
      </w:r>
      <w:r>
        <w:t xml:space="preserve"> </w:t>
      </w:r>
      <w:r>
        <w:t xml:space="preserve">Blackwell–Sherman–Stein theorem remains a cited classical black box</w:t>
      </w:r>
      <w:r>
        <w:t xml:space="preserve"> </w:t>
      </w:r>
      <w:r>
        <w:t xml:space="preserve">(Theorem 1), and the statistical procedures of §6 are claims</w:t>
      </w:r>
      <w:r>
        <w:t xml:space="preserve"> </w:t>
      </w:r>
      <w:r>
        <w:t xml:space="preserve">about measurements rather than theorems.</w:t>
      </w:r>
    </w:p>
    <w:bookmarkEnd w:id="49"/>
    <w:bookmarkStart w:id="50"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Bayes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50"/>
    <w:bookmarkStart w:id="51"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and conjecture, rather than</w:t>
      </w:r>
      <w:r>
        <w:t xml:space="preserve"> </w:t>
      </w:r>
      <w:r>
        <w:t xml:space="preserve">prove, the analogue for mutual information, perplexity-gap, and fixed-prior EIG, each of which is</w:t>
      </w:r>
      <w:r>
        <w:t xml:space="preserve"> </w:t>
      </w:r>
      <w:r>
        <w:t xml:space="preserve">a data-processing-monotone functional of the same kernels.</w:t>
      </w:r>
    </w:p>
    <w:bookmarkEnd w:id="51"/>
    <w:bookmarkEnd w:id="52"/>
    <w:bookmarkStart w:id="54"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53"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oMath>
      <w:r>
        <w:rPr>
          <w:i/>
          <w:iCs/>
        </w:rPr>
        <w:t xml:space="preserve"> </w:t>
      </w:r>
      <w:r>
        <w:rPr>
          <w:i/>
          <w:iCs/>
        </w:rPr>
        <w:t xml:space="preserve">is measurable with respect to a fixed feature map of the pair</w:t>
      </w:r>
      <w:r>
        <w:rPr>
          <w:i/>
          <w:iCs/>
        </w:rPr>
        <w:t xml:space="preserve"> </w:t>
      </w:r>
      <m:oMath>
        <m:r>
          <m:rPr>
            <m:sty m:val="p"/>
          </m:rPr>
          <m:t>(</m:t>
        </m:r>
        <m:r>
          <m:t>W</m:t>
        </m:r>
        <m:r>
          <m:rPr>
            <m:sty m:val="p"/>
          </m:rPr>
          <m:t>,</m:t>
        </m:r>
        <m:r>
          <m:t>T</m:t>
        </m:r>
        <m:r>
          <m:rPr>
            <m:sty m:val="p"/>
          </m:rPr>
          <m:t>)</m:t>
        </m:r>
      </m:oMath>
      <w:r>
        <w:rPr>
          <w:i/>
          <w:iCs/>
        </w:rPr>
        <w:t xml:space="preserve"> </w:t>
      </w:r>
      <w:r>
        <w:rPr>
          <w:i/>
          <w:iCs/>
        </w:rPr>
        <w:t xml:space="preserve">that</w:t>
      </w:r>
      <w:r>
        <w:rPr>
          <w:i/>
          <w:iCs/>
        </w:rPr>
        <w:t xml:space="preserve"> </w:t>
      </w:r>
      <w:r>
        <w:rPr>
          <w:i/>
          <w:iCs/>
        </w:rPr>
        <w:t xml:space="preserve">is</w:t>
      </w:r>
      <w:r>
        <w:rPr>
          <w:i/>
          <w:iCs/>
        </w:rPr>
        <w:t xml:space="preserve"> </w:t>
      </w:r>
      <w:r>
        <w:rPr>
          <w:i/>
          <w:i/>
          <w:iCs/>
          <w:iCs/>
        </w:rPr>
        <w:t xml:space="preserve">topical</w:t>
      </w:r>
      <w:r>
        <w:rPr>
          <w:i/>
          <w:iCs/>
        </w:rPr>
        <w:t xml:space="preserve">: it depends on</w:t>
      </w:r>
      <w:r>
        <w:rPr>
          <w:i/>
          <w:iCs/>
        </w:rPr>
        <w:t xml:space="preserve"> </w:t>
      </w:r>
      <m:oMath>
        <m:r>
          <m:t>W</m:t>
        </m:r>
        <m:r>
          <m:rPr>
            <m:sty m:val="p"/>
          </m:rPr>
          <m:t>,</m:t>
        </m:r>
        <m:r>
          <m:t>T</m:t>
        </m:r>
      </m:oMath>
      <w:r>
        <w:rPr>
          <w:i/>
          <w:iCs/>
        </w:rPr>
        <w:t xml:space="preserve"> </w:t>
      </w:r>
      <w:r>
        <w:rPr>
          <w:i/>
          <w:iCs/>
        </w:rPr>
        <w:t xml:space="preserve">only through a feature map that is invariant to the</w:t>
      </w:r>
      <w:r>
        <w:rPr>
          <w:i/>
          <w:iCs/>
        </w:rPr>
        <w:t xml:space="preserve"> </w:t>
      </w:r>
      <w:r>
        <w:rPr>
          <w:i/>
          <w:iCs/>
        </w:rPr>
        <w:t xml:space="preserve">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 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w:t>
      </w:r>
      <w:r>
        <w:rPr>
          <w:i/>
          <w:iCs/>
        </w:rPr>
        <w:t xml:space="preserve"> </w:t>
      </w:r>
      <w:r>
        <w:rPr>
          <w:b/>
          <w:bCs/>
          <w:i/>
          <w:iCs/>
        </w:rPr>
        <w:t xml:space="preserve">(a)</w:t>
      </w:r>
      <w:r>
        <w:rPr>
          <w:i/>
          <w:iCs/>
        </w:rPr>
        <w:t xml:space="preserve"> </w:t>
      </w:r>
      <w:r>
        <w:rPr>
          <w:i/>
          <w:iCs/>
        </w:rPr>
        <w:t xml:space="preserve">If</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w:t>
      </w:r>
      <w:r>
        <w:rPr>
          <w:i/>
          <w:iCs/>
        </w:rPr>
        <w:t xml:space="preserve"> </w:t>
      </w:r>
      <w:r>
        <w:rPr>
          <w:i/>
          <w:iCs/>
        </w:rPr>
        <w:t xml:space="preserve">topically indistinguishable on</w:t>
      </w:r>
      <w:r>
        <w:rPr>
          <w:i/>
          <w:iCs/>
        </w:rPr>
        <w:t xml:space="preserve"> </w:t>
      </w:r>
      <m:oMath>
        <m:sSub>
          <m:e>
            <m:r>
              <m:t>T</m:t>
            </m:r>
          </m:e>
          <m:sub>
            <m:r>
              <m:t>c</m:t>
            </m:r>
          </m:sub>
        </m:sSub>
      </m:oMath>
      <w:r>
        <w:rPr>
          <w:i/>
          <w:iCs/>
        </w:rPr>
        <w:t xml:space="preserve">, then</w:t>
      </w:r>
      <w:r>
        <w:rPr>
          <w:i/>
          <w:iCs/>
        </w:rPr>
        <w:t xml:space="preserve"> </w:t>
      </w:r>
      <m:oMath>
        <m:r>
          <m:t>φ</m:t>
        </m:r>
      </m:oMath>
      <w:r>
        <w:rPr>
          <w:i/>
          <w:iCs/>
        </w:rPr>
        <w:t xml:space="preserve"> </w:t>
      </w:r>
      <w:r>
        <w:rPr>
          <w:i/>
          <w:iCs/>
        </w:rPr>
        <w:t xml:space="preserve">assigns them equal scores and 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w:t>
      </w:r>
      <w:r>
        <w:rPr>
          <w:i/>
          <w:iCs/>
        </w:rPr>
        <w:t xml:space="preserve"> </w:t>
      </w:r>
      <w:r>
        <w:rPr>
          <w:i/>
          <w:iCs/>
        </w:rPr>
        <w:t xml:space="preserve">If in addition</w:t>
      </w:r>
      <w:r>
        <w:rPr>
          <w:i/>
          <w:iCs/>
        </w:rPr>
        <w:t xml:space="preserve"> </w:t>
      </w:r>
      <m:oMath>
        <m:r>
          <m:t>φ</m:t>
        </m:r>
        <m:r>
          <m:rPr>
            <m:sty m:val="p"/>
          </m:rPr>
          <m:t>(</m:t>
        </m:r>
        <m:r>
          <m:rPr>
            <m:sty m:val="p"/>
          </m:rPr>
          <m:t>⋅</m:t>
        </m:r>
        <m:r>
          <m:rPr>
            <m:sty m:val="p"/>
          </m:rPr>
          <m:t>,</m:t>
        </m:r>
        <m:sSub>
          <m:e>
            <m:r>
              <m:t>T</m:t>
            </m:r>
          </m:e>
          <m:sub>
            <m:r>
              <m:t>c</m:t>
            </m:r>
          </m:sub>
        </m:sSub>
        <m:r>
          <m:rPr>
            <m:sty m:val="p"/>
          </m:rPr>
          <m:t>)</m:t>
        </m:r>
      </m:oMath>
      <w:r>
        <w:rPr>
          <w:i/>
          <w:iCs/>
        </w:rPr>
        <w:t xml:space="preserve"> </w:t>
      </w:r>
      <w:r>
        <w:rPr>
          <w:i/>
          <w:iCs/>
        </w:rPr>
        <w:t xml:space="preserve">is strictly increasing</w:t>
      </w:r>
      <w:r>
        <w:rPr>
          <w:i/>
          <w:iCs/>
        </w:rPr>
        <w:t xml:space="preserve"> </w:t>
      </w:r>
      <w:r>
        <w:rPr>
          <w:i/>
          <w:iCs/>
        </w:rPr>
        <w:t xml:space="preserve">in lexical overlap and</w:t>
      </w:r>
      <w:r>
        <w:rPr>
          <w:i/>
          <w:iCs/>
        </w:rPr>
        <w:t xml:space="preserve"> </w:t>
      </w:r>
      <m:oMath>
        <m:sSub>
          <m:e>
            <m:r>
              <m:t>T</m:t>
            </m:r>
          </m:e>
          <m:sub>
            <m:r>
              <m:t>c</m:t>
            </m:r>
          </m:sub>
        </m:sSub>
      </m:oMath>
      <w:r>
        <w:rPr>
          <w:i/>
          <w:iCs/>
        </w:rPr>
        <w:t xml:space="preserve">’s surface lexicon is saturated with</w:t>
      </w:r>
      <w:r>
        <w:rPr>
          <w:i/>
          <w:iCs/>
        </w:rPr>
        <w:t xml:space="preserve"> </w:t>
      </w:r>
      <m:oMath>
        <m:sSub>
          <m:e>
            <m:r>
              <m:t>W</m:t>
            </m:r>
          </m:e>
          <m:sub>
            <m:r>
              <m:t>2</m:t>
            </m:r>
          </m:sub>
        </m:sSub>
      </m:oMath>
      <w:r>
        <w:rPr>
          <w:i/>
          <w:iCs/>
        </w:rPr>
        <w:t xml:space="preserve">’s vocabulary,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 mis-rank. Either way no topical query-conditioned</w:t>
      </w:r>
      <w:r>
        <w:rPr>
          <w:i/>
          <w:iCs/>
        </w:rPr>
        <w:t xml:space="preserve"> </w:t>
      </w:r>
      <w:r>
        <w:rPr>
          <w:i/>
          <w:iCs/>
        </w:rPr>
        <w:t xml:space="preserve">score 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53"/>
    <w:p>
      <w:pPr>
        <w:pStyle w:val="BodyText"/>
      </w:pPr>
      <w:r>
        <w:rPr>
          <w:i/>
          <w:iCs/>
        </w:rPr>
        <w:t xml:space="preserve">Proof.</w:t>
      </w:r>
      <w:r>
        <w:t xml:space="preserve"> </w:t>
      </w:r>
      <w:r>
        <w:t xml:space="preserve">For (a), topicality makes</w:t>
      </w:r>
      <w:r>
        <w:t xml:space="preserve"> </w:t>
      </w:r>
      <m:oMath>
        <m:r>
          <m:t>φ</m:t>
        </m:r>
        <m:r>
          <m:rPr>
            <m:sty m:val="p"/>
          </m:rPr>
          <m:t>(</m:t>
        </m:r>
        <m:r>
          <m:rPr>
            <m:sty m:val="p"/>
          </m:rPr>
          <m:t>⋅</m:t>
        </m:r>
        <m:r>
          <m:rPr>
            <m:sty m:val="p"/>
          </m:rPr>
          <m:t>,</m:t>
        </m:r>
        <m:sSub>
          <m:e>
            <m:r>
              <m:t>T</m:t>
            </m:r>
          </m:e>
          <m:sub>
            <m:r>
              <m:t>c</m:t>
            </m:r>
          </m:sub>
        </m:sSub>
        <m:r>
          <m:rPr>
            <m:sty m:val="p"/>
          </m:rPr>
          <m:t>)</m:t>
        </m:r>
      </m:oMath>
      <w:r>
        <w:t xml:space="preserve"> </w:t>
      </w:r>
      <w:r>
        <w:t xml:space="preserve">a function of the topical features alone, so equal</w:t>
      </w:r>
      <w:r>
        <w:t xml:space="preserve"> </w:t>
      </w:r>
      <w:r>
        <w:t xml:space="preserve">features force equal scores, while faithfulness on</w:t>
      </w:r>
      <w:r>
        <w:t xml:space="preserve"> </w:t>
      </w:r>
      <m:oMath>
        <m:sSub>
          <m:e>
            <m:r>
              <m:t>T</m:t>
            </m:r>
          </m:e>
          <m:sub>
            <m:r>
              <m:t>c</m:t>
            </m:r>
          </m:sub>
        </m:sSub>
      </m:oMath>
      <w:r>
        <w:t xml:space="preserve"> </w:t>
      </w:r>
      <w:r>
        <w:t xml:space="preserve">would require a strict gap. For (b), the</w:t>
      </w:r>
      <w:r>
        <w:t xml:space="preserve"> </w:t>
      </w:r>
      <w:r>
        <w:t xml:space="preserve">added strict monotonicity in overlap turns the saturation hypothesis into</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so the</w:t>
      </w:r>
      <w:r>
        <w:t xml:space="preserve"> </w:t>
      </w:r>
      <w:r>
        <w:t xml:space="preserve">two orders disagree. Part (a) is the statement machine-checked in Lean</w:t>
      </w:r>
      <w:r>
        <w:t xml:space="preserve"> </w:t>
      </w:r>
      <w:r>
        <w:t xml:space="preserve">(Remark 3); (b) adds the monotonicity hypothesis that the informal reading of</w:t>
      </w:r>
      <w:r>
        <w:t xml:space="preserve"> </w:t>
      </w:r>
      <w:r>
        <w:t xml:space="preserve">“saturated lexicon”</w:t>
      </w:r>
      <w:r>
        <w:t xml:space="preserve"> </w:t>
      </w:r>
      <w:r>
        <w:t xml:space="preserve">presumes, and without which no strict inequality follows. ◻</w:t>
      </w:r>
    </w:p>
    <w:p>
      <w:pPr>
        <w:pStyle w:val="BodyText"/>
      </w:pPr>
      <w:r>
        <w:t xml:space="preserve">Proposition 2 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4), so the topical class is not a lexical strawman: its failure mode is shared by the ranker</w:t>
      </w:r>
      <w:r>
        <w:t xml:space="preserve"> </w:t>
      </w:r>
      <w:r>
        <w:t xml:space="preserve">families retrieval systems actually deploy. The same failure is documented in the wild:</w:t>
      </w:r>
      <w:r>
        <w:t xml:space="preserve"> </w:t>
      </w:r>
      <w:r>
        <w:t xml:space="preserve">language-model re-rankers are steered by lexical similarity across NQ, LitQA2, and</w:t>
      </w:r>
      <w:r>
        <w:t xml:space="preserve"> </w:t>
      </w:r>
      <w:r>
        <w:t xml:space="preserve">DRUID </w:t>
      </w:r>
      <w:r>
        <w:t xml:space="preserve">(Hagström et al. 2025)</w:t>
      </w:r>
      <w:r>
        <w:t xml:space="preserve">, and passages that are semantically close but logically</w:t>
      </w:r>
      <w:r>
        <w:t xml:space="preserve"> </w:t>
      </w:r>
      <w:r>
        <w:t xml:space="preserve">irrelevant defeat retrievers and rerankers at scale, with an evidence-reasoning agent, a listwise</w:t>
      </w:r>
      <w:r>
        <w:t xml:space="preserve"> </w:t>
      </w:r>
      <w:r>
        <w:t xml:space="preserve">reader, as the remedy </w:t>
      </w:r>
      <w:r>
        <w:t xml:space="preserve">(Chen et al. 2026)</w:t>
      </w:r>
      <w:r>
        <w:t xml:space="preserve">, which is the boundary</w:t>
      </w:r>
      <w:r>
        <w:t xml:space="preserve"> </w:t>
      </w:r>
      <w:r>
        <w:t xml:space="preserve">Proposition 2 draws.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predicts, its hypothesis is topicality</w:t>
      </w:r>
      <w:r>
        <w:t xml:space="preserve"> </w:t>
      </w:r>
      <w:r>
        <w:t xml:space="preserve">(invariance to the verifier-decisive coordinate), and a ranker that reads the coordinate is simply</w:t>
      </w:r>
      <w:r>
        <w:t xml:space="preserve"> </w:t>
      </w:r>
      <w:r>
        <w:t xml:space="preserve">outside the impossibility class.</w:t>
      </w:r>
    </w:p>
    <w:bookmarkEnd w:id="54"/>
    <w:bookmarkEnd w:id="55"/>
    <w:bookmarkStart w:id="67"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7"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6" w:name="rem:notlecam"/>
    <w:p>
      <w:pPr>
        <w:pStyle w:val="BodyText"/>
      </w:pPr>
      <w:r>
        <w:rPr>
          <w:i/>
          <w:iCs/>
        </w:rPr>
        <w:t xml:space="preserve">Remark 5</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(Le Cam 1964, 1986; Torgersen 1991)</w:t>
      </w:r>
      <w:r>
        <w:t xml:space="preserve">. The quantity in</w:t>
      </w:r>
      <w:r>
        <w:t xml:space="preserve"> </w:t>
      </w:r>
      <w:r>
        <w:t xml:space="preserve">(4)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(4)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6"/>
    <w:bookmarkEnd w:id="57"/>
    <w:bookmarkStart w:id="60" w:name="subsec:certificate"/>
    <w:p>
      <w:pPr>
        <w:pStyle w:val="Heading2"/>
      </w:pPr>
      <w:r>
        <w:t xml:space="preserve">The uniform verification</w:t>
      </w:r>
    </w:p>
    <w:p>
      <w:pPr>
        <w:pStyle w:val="FirstParagraph"/>
      </w:pPr>
      <w:r>
        <w:t xml:space="preserve">The surrogate (4)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8"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so the</w:t>
      </w:r>
      <w:r>
        <w:rPr>
          <w:i/>
          <w:iCs/>
        </w:rPr>
        <w:t xml:space="preserve"> </w:t>
      </w:r>
      <w:r>
        <w:rPr>
          <w:i/>
          <w:iCs/>
        </w:rPr>
        <w:t xml:space="preserve">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 additional correction.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8"/>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9"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9"/>
    <w:bookmarkEnd w:id="60"/>
    <w:bookmarkStart w:id="63"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r>
          <m:t>θ</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6).</w:t>
      </w:r>
    </w:p>
    <w:bookmarkStart w:id="61"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at level</w:t>
      </w:r>
      <w:r>
        <w:rPr>
          <w:i/>
          <w:iCs/>
        </w:rPr>
        <w:t xml:space="preserve"> </w:t>
      </w:r>
      <m:oMath>
        <m:r>
          <m:t>α</m:t>
        </m:r>
        <m:r>
          <m:rPr>
            <m:sty m:val="p"/>
          </m:rPr>
          <m:t>=</m:t>
        </m:r>
        <m:r>
          <m:t>η</m:t>
        </m:r>
        <m:r>
          <m:rPr>
            <m:sty m:val="p"/>
          </m:rPr>
          <m:t>/</m:t>
        </m:r>
        <m:r>
          <m:t>2</m:t>
        </m:r>
      </m:oMath>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(Remark 7), and omitting it would repeat the multiplicity error we 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(§3.3).</w:t>
      </w:r>
    </w:p>
    <w:bookmarkEnd w:id="61"/>
    <w:bookmarkStart w:id="62" w:name="rem:psinotharm"/>
    <w:p>
      <w:pPr>
        <w:pStyle w:val="FirstParagraph"/>
      </w:pPr>
      <w:r>
        <w:rPr>
          <w:i/>
          <w:iCs/>
        </w:rPr>
        <w:t xml:space="preserve">Remark 6</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62"/>
    <w:bookmarkEnd w:id="63"/>
    <w:bookmarkStart w:id="65"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4"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Any</w:t>
      </w:r>
      <w:r>
        <w:rPr>
          <w:i/>
          <w:iCs/>
        </w:rPr>
        <w:t xml:space="preserve"> </w:t>
      </w:r>
      <w:r>
        <w:rPr>
          <w:i/>
          <w:i/>
          <w:iCs/>
          <w:iCs/>
        </w:rPr>
        <w:t xml:space="preserve">Blackwell-coherent</w:t>
      </w:r>
      <w:r>
        <w:rPr>
          <w:i/>
          <w:iCs/>
        </w:rPr>
        <w:t xml:space="preserve"> </w:t>
      </w:r>
      <w:r>
        <w:rPr>
          <w:i/>
          <w:iCs/>
        </w:rPr>
        <w:t xml:space="preserve">rule, one whose value is monotone under</w:t>
      </w:r>
      <w:r>
        <w:rPr>
          <w:i/>
          <w:iCs/>
        </w:rPr>
        <w:t xml:space="preserve"> </w:t>
      </w:r>
      <m:oMath>
        <m:sSub>
          <m:e>
            <m:r>
              <m:rPr>
                <m:sty m:val="p"/>
              </m:rPr>
              <m:t>≽</m:t>
            </m:r>
          </m:e>
          <m:sub>
            <m:r>
              <m:t>B</m:t>
            </m:r>
          </m:sub>
        </m:sSub>
      </m:oMath>
      <w:r>
        <w:rPr>
          <w:i/>
          <w:iCs/>
        </w:rPr>
        <w:t xml:space="preserve">, as the Bayes rule</w:t>
      </w:r>
      <w:r>
        <w:rPr>
          <w:i/>
          <w:iCs/>
        </w:rPr>
        <w:t xml:space="preserve"> </w:t>
      </w:r>
      <m:oMath>
        <m:sSup>
          <m:e>
            <m:r>
              <m:t>δ</m:t>
            </m:r>
          </m:e>
          <m:sup>
            <m:r>
              <m:rPr>
                <m:sty m:val="p"/>
              </m:rPr>
              <m:t>⋆</m:t>
            </m:r>
          </m:sup>
        </m:sSup>
      </m:oMath>
      <w:r>
        <w:rPr>
          <w:i/>
          <w:iCs/>
        </w:rPr>
        <w:t xml:space="preserve"> </w:t>
      </w:r>
      <w:r>
        <w:rPr>
          <w:i/>
          <w:iCs/>
        </w:rPr>
        <w:t xml:space="preserve">is by Theorem 1, satisfies</w:t>
      </w:r>
      <w:r>
        <w:rPr>
          <w:i/>
          <w:iCs/>
        </w:rPr>
        <w:t xml:space="preserve"> </w:t>
      </w:r>
      <m:oMath>
        <m:r>
          <m:rPr>
            <m:sty m:val="p"/>
          </m:rPr>
          <m:t>v</m:t>
        </m:r>
        <m:r>
          <m:rPr>
            <m:sty m:val="p"/>
          </m:rPr>
          <m:t>a</m:t>
        </m:r>
        <m:r>
          <m:rPr>
            <m:sty m:val="p"/>
          </m:rPr>
          <m:t>l</m:t>
        </m:r>
        <m:r>
          <m:rPr>
            <m:sty m:val="p"/>
          </m:rPr>
          <m:t>u</m:t>
        </m:r>
        <m:r>
          <m:rPr>
            <m:sty m:val="p"/>
          </m:rPr>
          <m:t>e</m:t>
        </m:r>
        <m:r>
          <m:rPr>
            <m:sty m:val="p"/>
          </m:rPr>
          <m:t>(</m:t>
        </m:r>
        <m:sSub>
          <m:e>
            <m:r>
              <m:t>W</m:t>
            </m:r>
          </m:e>
          <m:sub>
            <m:r>
              <m:t>1</m:t>
            </m:r>
            <m:r>
              <m:rPr>
                <m:sty m:val="p"/>
              </m:rPr>
              <m:t>+</m:t>
            </m:r>
          </m:sub>
        </m:sSub>
        <m:r>
          <m:rPr>
            <m:sty m:val="p"/>
          </m:rPr>
          <m:t>,</m:t>
        </m:r>
        <m:r>
          <m:t>T</m:t>
        </m:r>
        <m:r>
          <m:rPr>
            <m:sty m:val="p"/>
          </m:rPr>
          <m:t>)</m:t>
        </m:r>
        <m:r>
          <m:rPr>
            <m:sty m:val="p"/>
          </m:rPr>
          <m:t>≥</m:t>
        </m:r>
        <m:r>
          <m:rPr>
            <m:sty m:val="p"/>
          </m:rPr>
          <m:t>v</m:t>
        </m:r>
        <m:r>
          <m:rPr>
            <m:sty m:val="p"/>
          </m:rPr>
          <m:t>a</m:t>
        </m:r>
        <m:r>
          <m:rPr>
            <m:sty m:val="p"/>
          </m:rPr>
          <m:t>l</m:t>
        </m:r>
        <m:r>
          <m:rPr>
            <m:sty m:val="p"/>
          </m:rPr>
          <m:t>u</m:t>
        </m:r>
        <m:r>
          <m:rPr>
            <m:sty m:val="p"/>
          </m:rPr>
          <m:t>e</m:t>
        </m:r>
        <m:r>
          <m:rPr>
            <m:sty m:val="p"/>
          </m:rPr>
          <m:t>(</m:t>
        </m:r>
        <m:sSub>
          <m:e>
            <m:r>
              <m:t>W</m:t>
            </m:r>
          </m:e>
          <m:sub>
            <m:r>
              <m:t>1</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4"/>
    <w:p>
      <w:pPr>
        <w:pStyle w:val="BodyText"/>
      </w:pPr>
      <w:r>
        <w:t xml:space="preserve">Theorem 3 converts the empirical collapse into a structural statement: the harm is</w:t>
      </w:r>
      <w:r>
        <w:t xml:space="preserve"> </w:t>
      </w:r>
      <w:r>
        <w:t xml:space="preserve">not noise but a witness that real LLM decision rules are not Blackwell-coherent, which is precisely</w:t>
      </w:r>
      <w:r>
        <w:t xml:space="preserve"> </w:t>
      </w:r>
      <w:r>
        <w:t xml:space="preserve">the gap Lemma 2(b) warned cannot be closed without value attainment. The deficiency</w:t>
      </w:r>
      <w:r>
        <w:t xml:space="preserve"> </w:t>
      </w:r>
      <w:r>
        <w:t xml:space="preserve">surrogate detects this reversal because it tracks realized PASS, whereas every monotone scalar must</w:t>
      </w:r>
      <w:r>
        <w:t xml:space="preserve"> </w:t>
      </w:r>
      <w:r>
        <w:t xml:space="preserve">miss it by construction.</w:t>
      </w:r>
    </w:p>
    <w:bookmarkEnd w:id="65"/>
    <w:bookmarkStart w:id="66"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When several claims are read off the</w:t>
      </w:r>
      <w:r>
        <w:t xml:space="preserve"> </w:t>
      </w:r>
      <w:r>
        <w:rPr>
          <w:i/>
          <w:iCs/>
        </w:rPr>
        <w:t xml:space="preserve">same</w:t>
      </w:r>
      <w:r>
        <w:t xml:space="preserve"> </w:t>
      </w:r>
      <m:oMath>
        <m:r>
          <m:t>n</m:t>
        </m:r>
      </m:oMath>
      <w:r>
        <w:t xml:space="preserve">-sample</w:t>
      </w:r>
      <w:r>
        <w:t xml:space="preserve"> </w:t>
      </w:r>
      <w:r>
        <w:t xml:space="preserve">run at the same</w:t>
      </w:r>
      <w:r>
        <w:t xml:space="preserve"> </w:t>
      </w:r>
      <m:oMath>
        <m:r>
          <m:t>η</m:t>
        </m:r>
      </m:oMath>
      <w:r>
        <w:t xml:space="preserve">, incomparability (both directions, on one shared event</w:t>
      </w:r>
      <w:r>
        <w:t xml:space="preserve"> </w:t>
      </w:r>
      <m:oMath>
        <m:r>
          <m:t>E</m:t>
        </m:r>
      </m:oMath>
      <w:r>
        <w:t xml:space="preserve">), one-directional</w:t>
      </w:r>
      <w:r>
        <w:t xml:space="preserve"> </w:t>
      </w:r>
      <w:r>
        <w:t xml:space="preserve">dominance, and the interference cells, the conjunction over distinct claims is</w:t>
      </w:r>
      <w:r>
        <w:t xml:space="preserve"> </w:t>
      </w:r>
      <w:r>
        <w:rPr>
          <w:i/>
          <w:iCs/>
        </w:rPr>
        <w:t xml:space="preserve">not</w:t>
      </w:r>
      <w:r>
        <w:t xml:space="preserve"> </w:t>
      </w:r>
      <w:r>
        <w:t xml:space="preserve">jointly</w:t>
      </w:r>
      <w:r>
        <w:t xml:space="preserve"> </w:t>
      </w:r>
      <w:r>
        <w:t xml:space="preserve">controlled at</w:t>
      </w:r>
      <w:r>
        <w:t xml:space="preserve"> </w:t>
      </w:r>
      <m:oMath>
        <m:r>
          <m:t>η</m:t>
        </m:r>
      </m:oMath>
      <w:r>
        <w:t xml:space="preserve"> </w:t>
      </w:r>
      <w:r>
        <w:t xml:space="preserve">unless the budget is split across claims. We state results as marginally</w:t>
      </w:r>
      <w:r>
        <w:t xml:space="preserve"> </w:t>
      </w:r>
      <w:r>
        <w:t xml:space="preserve">verified per claim and, where a joint statement is wanted, allocate</w:t>
      </w:r>
      <w:r>
        <w:t xml:space="preserve"> </w:t>
      </w:r>
      <m:oMath>
        <m:r>
          <m:t>η</m:t>
        </m:r>
      </m:oMath>
      <w:r>
        <w:t xml:space="preserve"> </w:t>
      </w:r>
      <w:r>
        <w:t xml:space="preserve">across the</w:t>
      </w:r>
      <w:r>
        <w:t xml:space="preserve"> </w:t>
      </w:r>
      <m:oMath>
        <m:r>
          <m:t>C</m:t>
        </m:r>
      </m:oMath>
      <w:r>
        <w:t xml:space="preserve"> </w:t>
      </w:r>
      <w:r>
        <w:t xml:space="preserve">verified</w:t>
      </w:r>
      <w:r>
        <w:t xml:space="preserve"> </w:t>
      </w:r>
      <w:r>
        <w:t xml:space="preserve">claims (e.g. </w:t>
      </w:r>
      <m:oMath>
        <m:r>
          <m:t>η</m:t>
        </m:r>
        <m:r>
          <m:rPr>
            <m:sty m:val="p"/>
          </m:rPr>
          <m:t>/</m:t>
        </m:r>
        <m:r>
          <m:t>C</m:t>
        </m:r>
      </m:oMath>
      <w:r>
        <w:t xml:space="preserve"> </w:t>
      </w:r>
      <w:r>
        <w:t xml:space="preserve">each) so the global family-wise error is</w:t>
      </w:r>
      <w:r>
        <w:t xml:space="preserve"> </w:t>
      </w:r>
      <m:oMath>
        <m:r>
          <m:rPr>
            <m:sty m:val="p"/>
          </m:rPr>
          <m:t>≤</m:t>
        </m:r>
        <m:r>
          <m:t>η</m:t>
        </m:r>
      </m:oMath>
      <w:r>
        <w:t xml:space="preserve">. The incomparability pair</w:t>
      </w:r>
      <w:r>
        <w:t xml:space="preserve"> </w:t>
      </w:r>
      <w:r>
        <w:t xml:space="preserve">is the one exception that is genuinely joint at</w:t>
      </w:r>
      <w:r>
        <w:t xml:space="preserve"> </w:t>
      </w:r>
      <m:oMath>
        <m:r>
          <m:t>η</m:t>
        </m:r>
      </m:oMath>
      <w:r>
        <w:t xml:space="preserve"> </w:t>
      </w:r>
      <w:r>
        <w:t xml:space="preserve">on a single event, as proved in</w:t>
      </w:r>
      <w:r>
        <w:t xml:space="preserve"> </w:t>
      </w:r>
      <w:r>
        <w:t xml:space="preserve">Proposition 3; all other cross-claim conjunctions on a shared run are reported</w:t>
      </w:r>
      <w:r>
        <w:t xml:space="preserve"> </w:t>
      </w:r>
      <w:r>
        <w:t xml:space="preserve">as marginal.</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(§7.4.3); the power analysis</w:t>
      </w:r>
      <w:r>
        <w:t xml:space="preserve"> </w:t>
      </w:r>
      <w:r>
        <w:t xml:space="preserve">is in Appendix A.</w:t>
      </w:r>
    </w:p>
    <w:bookmarkEnd w:id="66"/>
    <w:bookmarkEnd w:id="67"/>
    <w:bookmarkStart w:id="105"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70"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8"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8"/>
    <w:bookmarkStart w:id="69"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 model’s guessing cap,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7), we report that leakage explicitly and</w:t>
      </w:r>
      <w:r>
        <w:t xml:space="preserve"> </w:t>
      </w:r>
      <w:r>
        <w:t xml:space="preserve">do not use those cells for claims that require a near-zero baseline.</w:t>
      </w:r>
    </w:p>
    <w:bookmarkEnd w:id="69"/>
    <w:bookmarkEnd w:id="70"/>
    <w:bookmarkStart w:id="73"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71"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71"/>
    <w:bookmarkStart w:id="72"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2"/>
    <w:bookmarkEnd w:id="73"/>
    <w:bookmarkStart w:id="83" w:name="sec:methodology"/>
    <w:p>
      <w:pPr>
        <w:pStyle w:val="Heading2"/>
      </w:pPr>
      <w:r>
        <w:t xml:space="preserve">Methodology</w:t>
      </w:r>
    </w:p>
    <w:bookmarkStart w:id="74"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4"/>
    <w:bookmarkStart w:id="76" w:name="harness-and-arms."/>
    <w:p>
      <w:pPr>
        <w:pStyle w:val="Heading4"/>
      </w:pPr>
      <w:r>
        <w:t xml:space="preserve">Harness and arms.</w:t>
      </w:r>
    </w:p>
    <w:p>
      <w:pPr>
        <w:pStyle w:val="FirstParagraph"/>
      </w:pPr>
      <w:r>
        <w:t xml:space="preserve">The harness (</w:t>
      </w:r>
      <w:r>
        <w:rPr>
          <w:rStyle w:val="VerbatimChar"/>
        </w:rPr>
        <w:t xml:space="preserve">tokenbench/measure_blackwell.py</w:t>
      </w:r>
      <w:r>
        <w:t xml:space="preserve">; released with all run logs at</w:t>
      </w:r>
      <w:r>
        <w:t xml:space="preserve"> </w:t>
      </w:r>
      <w:hyperlink r:id="rId75">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6"/>
    <w:bookmarkStart w:id="77"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7"/>
    <w:bookmarkStart w:id="78"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each family of claims is corrected by a union bound, so the</w:t>
      </w:r>
      <w:r>
        <w:t xml:space="preserve"> </w:t>
      </w:r>
      <w:r>
        <w:t xml:space="preserve">statements</w:t>
      </w:r>
      <w:r>
        <w:t xml:space="preserve"> </w:t>
      </w:r>
      <w:r>
        <w:rPr>
          <w:i/>
          <w:iCs/>
        </w:rPr>
        <w:t xml:space="preserve">within</w:t>
      </w:r>
      <w:r>
        <w:t xml:space="preserve"> </w:t>
      </w:r>
      <w:r>
        <w:t xml:space="preserve">a family (all incomparability cells, or the arms of one interference</w:t>
      </w:r>
      <w:r>
        <w:t xml:space="preserve"> </w:t>
      </w:r>
      <w:r>
        <w:t xml:space="preserve">contrast) hold jointly with probability at least</w:t>
      </w:r>
      <w:r>
        <w:t xml:space="preserve"> </w:t>
      </w:r>
      <m:oMath>
        <m:r>
          <m:t>90</m:t>
        </m:r>
        <m:r>
          <m:rPr>
            <m:sty m:val="p"/>
          </m:rPr>
          <m:t>%</m:t>
        </m:r>
      </m:oMath>
      <w:r>
        <w:t xml:space="preserve">. We do not claim joint control across</w:t>
      </w:r>
      <w:r>
        <w:t xml:space="preserve"> </w:t>
      </w:r>
      <w:r>
        <w:t xml:space="preserve">families drawn from the same run; that limitation is stated where it bites</w:t>
      </w:r>
      <w:r>
        <w:t xml:space="preserve"> </w:t>
      </w:r>
      <w:r>
        <w:t xml:space="preserve">(§6.5).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8"/>
    <w:bookmarkStart w:id="79"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harm verification uses</w:t>
      </w:r>
      <w:r>
        <w:t xml:space="preserve"> </w:t>
      </w:r>
      <m:oMath>
        <m:r>
          <m:t>α</m:t>
        </m:r>
        <m:r>
          <m:rPr>
            <m:sty m:val="p"/>
          </m:rPr>
          <m:t>=</m:t>
        </m:r>
        <m:r>
          <m:t>η</m:t>
        </m:r>
        <m:r>
          <m:rPr>
            <m:sty m:val="p"/>
          </m:rPr>
          <m:t>/</m:t>
        </m:r>
        <m:r>
          <m:t>2</m:t>
        </m:r>
      </m:oMath>
      <w:r>
        <w:t xml:space="preserve"> </w:t>
      </w:r>
      <w:r>
        <w:t xml:space="preserve">on the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Δ</m:t>
            </m:r>
          </m:e>
          <m:sub>
            <m:r>
              <m:t>T</m:t>
            </m:r>
          </m:sub>
        </m:sSub>
        <m:r>
          <m:rPr>
            <m:sty m:val="p"/>
          </m:rPr>
          <m:t>≤</m:t>
        </m:r>
        <m:r>
          <m:rPr>
            <m:sty m:val="p"/>
          </m:rPr>
          <m:t>−</m:t>
        </m:r>
        <m:r>
          <m:t>τ</m:t>
        </m:r>
      </m:oMath>
      <w:r>
        <w:t xml:space="preserve"> </w:t>
      </w:r>
      <w:r>
        <w:t xml:space="preserve">via</w:t>
      </w:r>
      <w:r>
        <w:t xml:space="preserve"> </w:t>
      </w:r>
      <m:oMath>
        <m:sSub>
          <m:e>
            <m:bar>
              <m:barPr>
                <m:pos m:val="top"/>
              </m:barPr>
              <m:e>
                <m:r>
                  <m:rPr>
                    <m:sty m:val="p"/>
                  </m:rPr>
                  <m:t>Δ</m:t>
                </m:r>
              </m:e>
            </m:bar>
          </m:e>
          <m:sub>
            <m:r>
              <m:t>T</m:t>
            </m:r>
          </m:sub>
        </m:sSub>
      </m:oMath>
      <w:r>
        <w:t xml:space="preserve">; the four-term</w:t>
      </w:r>
      <w:r>
        <w:t xml:space="preserve"> </w:t>
      </w:r>
      <m:oMath>
        <m:sSub>
          <m:e>
            <m:r>
              <m:rPr>
                <m:sty m:val="p"/>
              </m:rPr>
              <m:t>Ψ</m:t>
            </m:r>
          </m:e>
          <m:sub>
            <m:r>
              <m:t>T</m:t>
            </m:r>
          </m:sub>
        </m:sSub>
      </m:oMath>
      <w:r>
        <w:t xml:space="preserve"> </w:t>
      </w:r>
      <w:r>
        <w:t xml:space="preserve">is reported descriptively only</w:t>
      </w:r>
      <w:r>
        <w:t xml:space="preserve"> </w:t>
      </w:r>
      <w:r>
        <w:t xml:space="preserve">(Remark 6).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§8.4).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verify at small</w:t>
      </w:r>
      <w:r>
        <w:t xml:space="preserve"> </w:t>
      </w:r>
      <m:oMath>
        <m:r>
          <m:t>n</m:t>
        </m:r>
      </m:oMath>
      <w:r>
        <w:t xml:space="preserve"> </w:t>
      </w:r>
      <w:r>
        <w:t xml:space="preserve">while cells with</w:t>
      </w:r>
      <w:r>
        <w:t xml:space="preserve"> </w:t>
      </w:r>
      <w:r>
        <w:t xml:space="preserve">intermediate proportions need a larger</w:t>
      </w:r>
      <w:r>
        <w:t xml:space="preserve"> </w:t>
      </w:r>
      <m:oMath>
        <m:r>
          <m:t>n</m:t>
        </m:r>
      </m:oMath>
      <w:r>
        <w:t xml:space="preserve"> </w:t>
      </w:r>
      <w:r>
        <w:t xml:space="preserve">for the same margin.</w:t>
      </w:r>
    </w:p>
    <w:bookmarkEnd w:id="79"/>
    <w:bookmarkStart w:id="80"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in both directions. The verified collapses clear it with upper confidence bounds from</w:t>
      </w:r>
      <w:r>
        <w:t xml:space="preserve"> </w:t>
      </w:r>
      <m:oMath>
        <m:r>
          <m:rPr>
            <m:sty m:val="p"/>
          </m:rPr>
          <m:t>−</m:t>
        </m:r>
        <m:r>
          <m:t>0.37</m:t>
        </m:r>
      </m:oMath>
      <w:r>
        <w:t xml:space="preserve"> </w:t>
      </w:r>
      <w:r>
        <w:t xml:space="preserve">to</w:t>
      </w:r>
      <w:r>
        <w:t xml:space="preserve"> </w:t>
      </w:r>
      <m:oMath>
        <m:r>
          <m:rPr>
            <m:sty m:val="p"/>
          </m:rPr>
          <m:t>−</m:t>
        </m:r>
        <m:r>
          <m:t>0.82</m:t>
        </m:r>
      </m:oMath>
      <w:r>
        <w:t xml:space="preserve"> </w:t>
      </w:r>
      <w:r>
        <w:t xml:space="preserve">(Table 5), and the length-matched padding control clears it at</w:t>
      </w:r>
      <w:r>
        <w:t xml:space="preserve"> </w:t>
      </w:r>
      <m:oMath>
        <m:r>
          <m:rPr>
            <m:sty m:val="p"/>
          </m:rPr>
          <m:t>−</m:t>
        </m:r>
        <m:r>
          <m:t>0.63</m:t>
        </m:r>
      </m:oMath>
      <w:r>
        <w:t xml:space="preserve">. Two real effects fail it and are reported as unverified rather than folded in: Haiku’s</w:t>
      </w:r>
      <w:r>
        <w:t xml:space="preserve"> </w:t>
      </w:r>
      <w:r>
        <w:rPr>
          <w:rStyle w:val="VerbatimChar"/>
        </w:rPr>
        <w:t xml:space="preserve">api_post_ok</w:t>
      </w:r>
      <w:r>
        <w:t xml:space="preserve"> </w:t>
      </w:r>
      <w:r>
        <w:t xml:space="preserve">cell (upper</w:t>
      </w:r>
      <w:r>
        <w:t xml:space="preserve"> </w:t>
      </w:r>
      <m:oMath>
        <m:r>
          <m:rPr>
            <m:sty m:val="p"/>
          </m:rPr>
          <m:t>−</m:t>
        </m:r>
        <m:r>
          <m:t>0.06</m:t>
        </m:r>
      </m:oMath>
      <w:r>
        <w:t xml:space="preserve">; a ceiling the raw-failure audit traces to an omitted</w:t>
      </w:r>
      <w:r>
        <w:t xml:space="preserve"> </w:t>
      </w:r>
      <w:r>
        <w:t xml:space="preserve">import line, not to the contract, §7.5.1), which still falls short at</w:t>
      </w:r>
      <w:r>
        <w:t xml:space="preserve"> </w:t>
      </w:r>
      <m:oMath>
        <m:r>
          <m:rPr>
            <m:sty m:val="p"/>
          </m:rPr>
          <m:t>−</m:t>
        </m:r>
        <m:r>
          <m:t>0.23</m:t>
        </m:r>
      </m:oMath>
      <w:r>
        <w:t xml:space="preserve"> </w:t>
      </w:r>
      <w:r>
        <w:t xml:space="preserve">once the import is neutralized, and the second-pair contrast (upper</w:t>
      </w:r>
      <w:r>
        <w:t xml:space="preserve"> </w:t>
      </w:r>
      <m:oMath>
        <m:r>
          <m:rPr>
            <m:sty m:val="p"/>
          </m:rPr>
          <m:t>−</m:t>
        </m:r>
        <m:r>
          <m:t>0.296</m:t>
        </m:r>
      </m:oMath>
      <w:r>
        <w:t xml:space="preserve">, sign-only;</w:t>
      </w:r>
      <w:r>
        <w:t xml:space="preserve"> </w:t>
      </w:r>
      <w:r>
        <w:t xml:space="preserve">§7.5). A threshold that</w:t>
      </w:r>
      <w:r>
        <w:t xml:space="preserve"> </w:t>
      </w:r>
      <w:r>
        <w:t xml:space="preserve">genuine effects fail is evidence it was not tuned to pass the data.</w:t>
      </w:r>
    </w:p>
    <w:bookmarkEnd w:id="80"/>
    <w:bookmarkStart w:id="81"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81"/>
    <w:bookmarkStart w:id="82" w:name="spend."/>
    <w:p>
      <w:pPr>
        <w:pStyle w:val="Heading4"/>
      </w:pPr>
      <w:r>
        <w:t xml:space="preserve">Spend.</w:t>
      </w:r>
    </w:p>
    <w:p>
      <w:pPr>
        <w:pStyle w:val="FirstParagraph"/>
      </w:pPr>
      <w:r>
        <w:t xml:space="preserve">The record reflects roughly $120 of Anthropic spend on the single-shot Haiku, Sonnet, and Opus runs</w:t>
      </w:r>
      <w:r>
        <w:t xml:space="preserve"> </w:t>
      </w:r>
      <w:r>
        <w:t xml:space="preserve">(itemized in Appendix C) plus Azure quota for the non-Anthropic models; the Azure API</w:t>
      </w:r>
      <w:r>
        <w:t xml:space="preserve"> </w:t>
      </w:r>
      <w:r>
        <w:t xml:space="preserve">returns no cost field, so this figure is not the total cost across all six models.</w:t>
      </w:r>
    </w:p>
    <w:bookmarkEnd w:id="82"/>
    <w:bookmarkEnd w:id="83"/>
    <w:bookmarkStart w:id="99"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5 and 7 give the</w:t>
      </w:r>
      <w:r>
        <w:t xml:space="preserve"> </w:t>
      </w:r>
      <w:r>
        <w:t xml:space="preserve">underlying quantities.</w:t>
      </w:r>
    </w:p>
    <w:bookmarkStart w:id="84" w:name="tab:consolidated"/>
    <w:p>
      <w:pPr>
        <w:pStyle w:val="TableCaption"/>
      </w:pPr>
      <w:r>
        <w:t xml:space="preserve">Consolidated 6-model / 4-vendor verdict. All six models are run the same way, a single</w:t>
      </w:r>
      <w:r>
        <w:t xml:space="preserve"> </w:t>
      </w:r>
      <w:r>
        <w:t xml:space="preserve">API call per attempt at</w:t>
      </w:r>
      <w:r>
        <w:t xml:space="preserve"> </w:t>
      </w:r>
      <m:oMath>
        <m:r>
          <m:t>n</m:t>
        </m:r>
        <m:r>
          <m:rPr>
            <m:sty m:val="p"/>
          </m:rPr>
          <m:t>=</m:t>
        </m:r>
        <m:r>
          <m:t>40</m:t>
        </m:r>
      </m:oMath>
      <w:r>
        <w:t xml:space="preserve"> </w:t>
      </w:r>
      <w:r>
        <w:t xml:space="preserve">per cell (§7.3).</w:t>
      </w:r>
      <w:r>
        <w:t xml:space="preserve"> </w:t>
      </w:r>
      <w:r>
        <w:t xml:space="preserve">“Anti-mono. verified”</w:t>
      </w:r>
      <w:r>
        <w:t xml:space="preserve"> </w:t>
      </w:r>
      <w:r>
        <w:t xml:space="preserve">counts</w:t>
      </w:r>
      <w:r>
        <w:t xml:space="preserve"> </w:t>
      </w:r>
      <w:r>
        <w:t xml:space="preserve">cells on which the harm contrast’s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w:t>
      </w:r>
    </w:p>
    <w:tbl>
      <w:tblPr>
        <w:tblStyle w:val="Table"/>
        <w:tblW w:type="auto" w:w="0"/>
        <w:tblLook w:firstRow="1" w:lastRow="0" w:firstColumn="0" w:lastColumn="0" w:noHBand="0" w:noVBand="0" w:val="0020"/>
        <w:tblCaption w:val="Consolidated 6-model / 4-vendor verdict. All six models are run the same way, a single API call per attempt at n=40 per cell (§7.3). “Anti-mono. verified” counts cells on which the harm contrast’s upper bound clears -\tau = -0.30 at \eta=0.10. “Argorder none” is the no-context baseline PASS on api_argorder, the model-relative-value spectrum. All figures are real measured runs; no modeled numbers."/>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m:oMath>
              <m:r>
                <m:t>n</m:t>
              </m:r>
            </m:oMath>
            <w:r>
              <w:t xml:space="preserve"> </w:t>
            </w:r>
            <w:r>
              <w:t xml:space="preserve">per cell</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verified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0.35</m:t>
              </m:r>
            </m:oMath>
            <w:r>
              <w:t xml:space="preserve">​</w:t>
            </w:r>
          </w:p>
        </w:tc>
        <w:tc>
          <w:tcPr/>
          <w:p>
            <w:pPr>
              <w:pStyle w:val="Compact"/>
              <w:jc w:val="center"/>
            </w:pPr>
            <m:oMath>
              <m:r>
                <m:rPr>
                  <m:sty m:val="p"/>
                </m:rPr>
                <m:t>+</m:t>
              </m:r>
              <m:r>
                <m:t>0.68</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verified (# cells)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t>2</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40</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84"/>
    <w:bookmarkStart w:id="85"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3).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The two carrying cells are one API cell</w:t>
      </w:r>
      <w:r>
        <w:t xml:space="preserve"> </w:t>
      </w:r>
      <w:r>
        <w:t xml:space="preserve">and one encoding cell, so the effective support of the surrogate is two cells.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End w:id="85"/>
    <w:bookmarkStart w:id="88"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7"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4 reports the induced rankings.</w:t>
      </w:r>
      <w:r>
        <w:t xml:space="preserve"> </w:t>
      </w:r>
      <w:r>
        <w:rPr>
          <w:b/>
          <w:bCs/>
        </w:rPr>
        <w:t xml:space="preserve">Every</w:t>
      </w:r>
      <w:r>
        <w:rPr>
          <w:b/>
          <w:bCs/>
        </w:rPr>
        <w:t xml:space="preserve"> </w:t>
      </w:r>
      <w:r>
        <w:rPr>
          <w:b/>
          <w:bCs/>
        </w:rPr>
        <w:t xml:space="preserve">feature-based ranker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is exactly the boundary</w:t>
      </w:r>
      <w:r>
        <w:t xml:space="preserve"> </w:t>
      </w:r>
      <w:r>
        <w:t xml:space="preserve">Proposition 2 draws: the impossibility hypothesis is</w:t>
      </w:r>
      <w:r>
        <w:t xml:space="preserve"> </w:t>
      </w:r>
      <w:r>
        <w:rPr>
          <w:i/>
          <w:iCs/>
        </w:rPr>
        <w:t xml:space="preserve">topicality</w:t>
      </w:r>
      <w:r>
        <w:t xml:space="preserve">,</w:t>
      </w:r>
      <w:r>
        <w:t xml:space="preserve"> </w:t>
      </w:r>
      <w:r>
        <w:t xml:space="preserve">invariance to the decisive coordinate, and the trap defeats the lexical, dense, and cross-encoder</w:t>
      </w:r>
      <w:r>
        <w:t xml:space="preserve"> </w:t>
      </w:r>
      <w:r>
        <w:t xml:space="preserve">families that satisfy it while sparing the one ranker that reads content. The practical corollary</w:t>
      </w:r>
      <w:r>
        <w:t xml:space="preserve"> </w:t>
      </w:r>
      <w:r>
        <w:t xml:space="preserve">is that escaping the topical class costs a model call per candidate, a probe of the same kind the</w:t>
      </w:r>
      <w:r>
        <w:t xml:space="preserve"> </w:t>
      </w:r>
      <w:r>
        <w:t xml:space="preserve">deficiency verification is built from, not a free scalar.</w:t>
      </w:r>
    </w:p>
    <w:bookmarkStart w:id="86"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verified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ver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86"/>
    <w:bookmarkEnd w:id="87"/>
    <w:bookmarkEnd w:id="88"/>
    <w:bookmarkStart w:id="96"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w:t>
      </w:r>
      <w:r>
        <w:t xml:space="preserve"> </w:t>
      </w:r>
      <w:r>
        <w:t xml:space="preserve">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at least one cell for all six models</w:t>
      </w:r>
      <w:r>
        <w:t xml:space="preserve"> </w:t>
      </w:r>
      <w:r>
        <w:t xml:space="preserve">(Table 5), the mildest being Opus at</w:t>
      </w:r>
      <w:r>
        <w:t xml:space="preserve"> </w:t>
      </w:r>
      <m:oMath>
        <m:r>
          <m:t>100</m:t>
        </m:r>
        <m:r>
          <m:rPr>
            <m:sty m:val="p"/>
          </m:rPr>
          <m:t>%</m:t>
        </m:r>
        <m:r>
          <m:rPr>
            <m:sty m:val="p"/>
          </m:rPr>
          <m:t>→</m:t>
        </m:r>
        <m:r>
          <m:t>38</m:t>
        </m:r>
        <m:r>
          <m:rPr>
            <m:sty m:val="p"/>
          </m:rPr>
          <m:t>%</m:t>
        </m:r>
      </m:oMath>
      <w:r>
        <w:t xml:space="preserve"> </w:t>
      </w:r>
      <w:r>
        <w:t xml:space="preserve">with upper bound</w:t>
      </w:r>
      <w:r>
        <w:t xml:space="preserve"> </w:t>
      </w:r>
      <m:oMath>
        <m:r>
          <m:rPr>
            <m:sty m:val="p"/>
          </m:rPr>
          <m:t>−</m:t>
        </m:r>
        <m:r>
          <m:t>0.37</m:t>
        </m:r>
      </m:oMath>
      <w:r>
        <w:t xml:space="preserve">. This is a</w:t>
      </w:r>
      <w:r>
        <w:t xml:space="preserve"> </w:t>
      </w:r>
      <w:r>
        <w:t xml:space="preserve">verified empirical falsification of Blackwell superset-dominance on live models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Table 7 gives the same collapse arm by arm for every model; Haiku’s</w:t>
      </w:r>
      <w:r>
        <w:t xml:space="preserve"> </w:t>
      </w:r>
      <m:oMath>
        <m:sSub>
          <m:e>
            <m:r>
              <m:t>W</m:t>
            </m:r>
          </m:e>
          <m:sub>
            <m:r>
              <m:t>1</m:t>
            </m:r>
          </m:sub>
        </m:sSub>
      </m:oMath>
      <w:r>
        <w:t xml:space="preserve"> </w:t>
      </w:r>
      <w:r>
        <w:t xml:space="preserve">reads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only because about half its replies omit the</w:t>
      </w:r>
      <w:r>
        <w:t xml:space="preserve"> </w:t>
      </w:r>
      <w:r>
        <w:rPr>
          <w:rStyle w:val="VerbatimChar"/>
        </w:rPr>
        <w:t xml:space="preserve">import ledger</w:t>
      </w:r>
      <w:r>
        <w:t xml:space="preserve"> </w:t>
      </w:r>
      <w:r>
        <w:t xml:space="preserve">line while calling the contract correctly (§7.5.1), and its verified collapse is</w:t>
      </w:r>
      <w:r>
        <w:t xml:space="preserve"> </w:t>
      </w:r>
      <w:r>
        <w:t xml:space="preserve">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w:t>
      </w:r>
    </w:p>
    <w:bookmarkStart w:id="91"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w:t>
      </w:r>
      <w:r>
        <w:t xml:space="preserve"> </w:t>
      </w:r>
      <m:oMath>
        <m:sSub>
          <m:e>
            <m:r>
              <m:t>W</m:t>
            </m:r>
          </m:e>
          <m:sub>
            <m:r>
              <m:t>1</m:t>
            </m:r>
            <m:r>
              <m:rPr>
                <m:sty m:val="p"/>
              </m:rPr>
              <m:t>+</m:t>
            </m:r>
          </m:sub>
        </m:sSub>
      </m:oMath>
      <w:r>
        <w:t xml:space="preserve"> </w:t>
      </w:r>
      <w:r>
        <w:t xml:space="preserve">dominates</w:t>
      </w:r>
      <w:r>
        <w:t xml:space="preserve"> </w:t>
      </w:r>
      <m:oMath>
        <m:sSub>
          <m:e>
            <m:r>
              <m:t>W</m:t>
            </m:r>
          </m:e>
          <m:sub>
            <m:r>
              <m:t>2</m:t>
            </m:r>
          </m:sub>
        </m:sSub>
      </m:oMath>
      <w:r>
        <w:t xml:space="preserve"> </w:t>
      </w:r>
      <w:r>
        <w:t xml:space="preserve">(while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correct empirical summary is the two-element</w:t>
      </w:r>
      <w:r>
        <w:t xml:space="preserve"> </w:t>
      </w:r>
      <w:r>
        <w:t xml:space="preserve">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w:t>
      </w:r>
      <w:r>
        <w:t xml:space="preserve"> </w:t>
      </w:r>
      <w:r>
        <w:t xml:space="preserve">(Figure 1). This reads directly off the verified</w:t>
      </w:r>
      <w:r>
        <w:t xml:space="preserve"> </w:t>
      </w:r>
      <m:oMath>
        <m:r>
          <m:t>n</m:t>
        </m:r>
        <m:r>
          <m:rPr>
            <m:sty m:val="p"/>
          </m:rPr>
          <m:t>=</m:t>
        </m:r>
        <m:r>
          <m:t>40</m:t>
        </m:r>
      </m:oMath>
      <w:r>
        <w:t xml:space="preserve"> </w:t>
      </w:r>
      <w:r>
        <w:t xml:space="preserve">Haiku cells; the</w:t>
      </w:r>
      <w:r>
        <w:t xml:space="preserve"> </w:t>
      </w:r>
      <w:r>
        <w:t xml:space="preserve">selection rule it implies, keep the verified non-dominated set rather than force the superset,</w:t>
      </w:r>
      <w:r>
        <w:t xml:space="preserve"> </w:t>
      </w:r>
      <w:r>
        <w:t xml:space="preserve">follows directly.</w:t>
      </w:r>
    </w:p>
    <w:bookmarkStart w:id="89"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5)</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 and</w:t>
      </w:r>
      <w:r>
        <w:t xml:space="preserve"> </w:t>
      </w:r>
      <w:r>
        <w:t xml:space="preserve">the correct output is the two-element Pareto front, which no scalar top-</w:t>
      </w:r>
      <m:oMath>
        <m:r>
          <m:t>1</m:t>
        </m:r>
      </m:oMath>
      <w:r>
        <w:t xml:space="preserve"> </w:t>
      </w:r>
      <w:r>
        <w:t xml:space="preserve">rule can represent.</w:t>
      </w:r>
    </w:p>
    <w:bookmarkEnd w:id="89"/>
    <w:bookmarkStart w:id="90" w:name="tab:interference"/>
    <w:p>
      <w:pPr>
        <w:pStyle w:val="TableCaption"/>
      </w:pPr>
      <w:r>
        <w:t xml:space="preserve">Anti-monotonicity verification on the carrying cell per model.</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 the harm contrast;</w:t>
      </w:r>
      <w:r>
        <w:t xml:space="preserve"> </w:t>
      </w:r>
      <m:oMath>
        <m:sSub>
          <m:e>
            <m:bar>
              <m:barPr>
                <m:pos m:val="top"/>
              </m:barPr>
              <m:e>
                <m:r>
                  <m:rPr>
                    <m:sty m:val="p"/>
                  </m:rPr>
                  <m:t>Δ</m:t>
                </m:r>
              </m:e>
            </m:bar>
          </m:e>
          <m:sub>
            <m:r>
              <m:t>T</m:t>
            </m:r>
          </m:sub>
        </m:sSub>
      </m:oMath>
      <w:r>
        <w:t xml:space="preserve"> </w:t>
      </w:r>
      <w:r>
        <w:t xml:space="preserve">is its</w:t>
      </w:r>
      <w:r>
        <w:t xml:space="preserve"> </w:t>
      </w:r>
      <m:oMath>
        <m:r>
          <m:t>η</m:t>
        </m:r>
        <m:r>
          <m:rPr>
            <m:sty m:val="p"/>
          </m:rPr>
          <m:t>/</m:t>
        </m:r>
        <m:r>
          <m:t>2</m:t>
        </m:r>
      </m:oMath>
      <w:r>
        <w:t xml:space="preserve"> </w:t>
      </w:r>
      <w:r>
        <w:t xml:space="preserve">Clopper–Pearson upper bound over the two arms, and the cell is verified harmful when</w:t>
      </w:r>
      <w:r>
        <w:t xml:space="preserve"> </w:t>
      </w:r>
      <m:oMath>
        <m:sSub>
          <m:e>
            <m:bar>
              <m:barPr>
                <m:pos m:val="top"/>
              </m:barPr>
              <m:e>
                <m:r>
                  <m:rPr>
                    <m:sty m:val="p"/>
                  </m:rPr>
                  <m:t>Δ</m:t>
                </m:r>
              </m:e>
            </m:bar>
          </m:e>
          <m:sub>
            <m:r>
              <m:t>T</m:t>
            </m:r>
          </m:sub>
        </m:sSub>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Unlike the</w:t>
      </w:r>
      <w:r>
        <w:t xml:space="preserve"> </w:t>
      </w:r>
      <w:r>
        <w:t xml:space="preserve">four-term interaction</w:t>
      </w:r>
      <w:r>
        <w:t xml:space="preserve"> </w:t>
      </w:r>
      <m:oMath>
        <m:sSub>
          <m:e>
            <m:r>
              <m:rPr>
                <m:sty m:val="p"/>
              </m:rPr>
              <m:t>Ψ</m:t>
            </m:r>
          </m:e>
          <m:sub>
            <m:r>
              <m:t>T</m:t>
            </m:r>
          </m:sub>
        </m:sSub>
      </m:oMath>
      <w:r>
        <w:t xml:space="preserve">, the contrast does not read the</w:t>
      </w:r>
      <w:r>
        <w:t xml:space="preserve"> </w:t>
      </w:r>
      <w:r>
        <w:rPr>
          <w:rStyle w:val="VerbatimChar"/>
        </w:rPr>
        <w:t xml:space="preserve">none</w:t>
      </w:r>
      <w:r>
        <w:t xml:space="preserve"> </w:t>
      </w:r>
      <w:r>
        <w:t xml:space="preserve">arm, so a leaky</w:t>
      </w:r>
      <w:r>
        <w:t xml:space="preserve"> </w:t>
      </w:r>
      <w:r>
        <w:t xml:space="preserve">baseline cannot slacken it.</w:t>
      </w:r>
      <w:r>
        <w:t xml:space="preserve"> </w:t>
      </w:r>
      <m:oMath>
        <m:sSup>
          <m:e>
            <m:r>
              <m:t>​</m:t>
            </m:r>
          </m:e>
          <m:sup>
            <m:r>
              <m:rPr>
                <m:sty m:val="p"/>
              </m:rPr>
              <m:t>†</m:t>
            </m:r>
          </m:sup>
        </m:sSup>
      </m:oMath>
      <w:r>
        <w:t xml:space="preserve">Control row: the same cell with the omitted-</w:t>
      </w:r>
      <w:r>
        <w:rPr>
          <w:rStyle w:val="VerbatimChar"/>
        </w:rPr>
        <w:t xml:space="preserve">import</w:t>
      </w:r>
      <w:r>
        <w:t xml:space="preserve"> </w:t>
      </w:r>
      <w:r>
        <w:t xml:space="preserve">slip neutralized in the verifier (§7.5.1); its interference is verified in sign but not at the</w:t>
      </w:r>
      <w:r>
        <w:t xml:space="preserve"> </w:t>
      </w:r>
      <m:oMath>
        <m:r>
          <m:t>τ</m:t>
        </m:r>
        <m:r>
          <m:rPr>
            <m:sty m:val="p"/>
          </m:rPr>
          <m:t>=</m:t>
        </m:r>
        <m:r>
          <m:t>0.30</m:t>
        </m:r>
      </m:oMath>
      <w:r>
        <w:t xml:space="preserve"> </w:t>
      </w:r>
      <w:r>
        <w:t xml:space="preserve">margin.</w:t>
      </w:r>
    </w:p>
    <w:tbl>
      <w:tblPr>
        <w:tblStyle w:val="Table"/>
        <w:tblW w:type="auto" w:w="0"/>
        <w:tblLook w:firstRow="1" w:lastRow="0" w:firstColumn="0" w:lastColumn="0" w:noHBand="0" w:noVBand="0" w:val="0020"/>
        <w:tblCaption w:val="Anti-monotonicity verification on the carrying cell per model. \Delta_T =     \mathrm{PASS}(W_{1+},T) - \mathrm{PASS}(W_1,T) is the harm contrast; \overline\Delta_T is its \eta/2 Clopper–Pearson upper bound over the two arms, and the cell is verified harmful when \overline\Delta_T \le -0.30. The W_1 \to W_{1+} column reports the PASS collapse. Unlike the four-term interaction \Psi_T, the contrast does not read the none arm, so a leaky baseline cannot slacken it. ^{\dagger}Control row: the same cell with the omitted-import slip neutralized in the verifier (§7.5.1); its interference is verified in sign but not at the \tau=0.30 margin."/>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Δ</m:t>
                  </m:r>
                </m:e>
                <m:sub>
                  <m:r>
                    <m:t>T</m:t>
                  </m:r>
                </m:sub>
              </m:sSub>
            </m:oMath>
            <w:r>
              <w:t xml:space="preserve">​</w:t>
            </w:r>
          </w:p>
        </w:tc>
        <w:tc>
          <w:tcPr/>
          <w:p>
            <w:pPr>
              <w:pStyle w:val="Compact"/>
              <w:jc w:val="center"/>
            </w:pPr>
            <m:oMath>
              <m:sSub>
                <m:e>
                  <m:bar>
                    <m:barPr>
                      <m:pos m:val="top"/>
                    </m:barPr>
                    <m:e>
                      <m:r>
                        <m:rPr>
                          <m:sty m:val="p"/>
                        </m:rPr>
                        <m:t>Δ</m:t>
                      </m:r>
                    </m:e>
                  </m:bar>
                </m:e>
                <m:sub>
                  <m:r>
                    <m:t>T</m:t>
                  </m:r>
                </m:sub>
              </m:sSub>
            </m:oMath>
            <w:r>
              <w:t xml:space="preserve">​</w:t>
            </w:r>
          </w:p>
        </w:tc>
        <w:tc>
          <w:tcPr/>
          <w:p>
            <w:pPr>
              <w:pStyle w:val="Compact"/>
              <w:jc w:val="center"/>
            </w:pPr>
            <w:r>
              <w:t xml:space="preserve">Verified</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0.74</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52</m:t>
              </m:r>
              <m:r>
                <m:rPr>
                  <m:sty m:val="p"/>
                </m:rPr>
                <m:t>%</m:t>
              </m:r>
              <m:r>
                <m:rPr>
                  <m:sty m:val="p"/>
                </m:rPr>
                <m:t>→</m:t>
              </m:r>
              <m:r>
                <m:t>15</m:t>
              </m:r>
              <m:r>
                <m:rPr>
                  <m:sty m:val="p"/>
                </m:rPr>
                <m:t>%</m:t>
              </m:r>
            </m:oMath>
            <w:r>
              <w:t xml:space="preserve">​</w:t>
            </w:r>
          </w:p>
        </w:tc>
        <w:tc>
          <w:tcPr/>
          <w:p>
            <w:pPr>
              <w:pStyle w:val="Compact"/>
              <w:jc w:val="center"/>
            </w:pPr>
            <m:oMath>
              <m:r>
                <m:rPr>
                  <m:sty m:val="p"/>
                </m:rPr>
                <m:t>−</m:t>
              </m:r>
              <m:r>
                <m:t>0.38</m:t>
              </m:r>
            </m:oMath>
            <w:r>
              <w:t xml:space="preserve">​</w:t>
            </w:r>
          </w:p>
        </w:tc>
        <w:tc>
          <w:tcPr/>
          <w:p>
            <w:pPr>
              <w:pStyle w:val="Compact"/>
              <w:jc w:val="center"/>
            </w:pPr>
            <m:oMath>
              <m:r>
                <m:rPr>
                  <m:sty m:val="p"/>
                </m:rPr>
                <m:t>−</m:t>
              </m:r>
              <m:r>
                <m:t>0.06</m:t>
              </m:r>
            </m:oMath>
            <w:r>
              <w:t xml:space="preserve">​</w:t>
            </w:r>
          </w:p>
        </w:tc>
        <w:tc>
          <w:tcPr/>
          <w:p>
            <w:pPr>
              <w:pStyle w:val="Compact"/>
              <w:jc w:val="center"/>
            </w:pPr>
            <w:r>
              <w:t xml:space="preserve">sign only (import omission)</w:t>
            </w:r>
          </w:p>
        </w:tc>
      </w:tr>
      <w:tr>
        <w:tc>
          <w:tcPr/>
          <w:p>
            <w:pPr>
              <w:pStyle w:val="Compact"/>
              <w:jc w:val="left"/>
            </w:pPr>
            <w:r>
              <w:t xml:space="preserve">Haiku-4.5</w:t>
            </w:r>
          </w:p>
        </w:tc>
        <w:tc>
          <w:tcPr/>
          <w:p>
            <w:pPr>
              <w:pStyle w:val="Compact"/>
              <w:jc w:val="left"/>
            </w:pPr>
            <w:r>
              <w:rPr>
                <w:rStyle w:val="VerbatimChar"/>
              </w:rPr>
              <w:t xml:space="preserve">api_post_ok</w:t>
            </w:r>
            <w:r>
              <w:t xml:space="preserve">, import-neutralized</w:t>
            </w:r>
            <m:oMath>
              <m:sSup>
                <m:e>
                  <m:r>
                    <m:t>​</m:t>
                  </m:r>
                </m:e>
                <m:sup>
                  <m:r>
                    <m:rPr>
                      <m:sty m:val="p"/>
                    </m:rPr>
                    <m:t>†</m:t>
                  </m:r>
                </m:sup>
              </m:sSup>
            </m:oMath>
          </w:p>
        </w:tc>
        <w:tc>
          <w:tcPr/>
          <w:p>
            <w:pPr>
              <w:pStyle w:val="Compact"/>
              <w:jc w:val="center"/>
            </w:pPr>
            <m:oMath>
              <m:r>
                <m:t>100</m:t>
              </m:r>
              <m:r>
                <m:rPr>
                  <m:sty m:val="p"/>
                </m:rPr>
                <m:t>%</m:t>
              </m:r>
              <m:r>
                <m:rPr>
                  <m:sty m:val="p"/>
                </m:rPr>
                <m:t>→</m:t>
              </m:r>
              <m:r>
                <m:t>52</m:t>
              </m:r>
              <m:r>
                <m:rPr>
                  <m:sty m:val="p"/>
                </m:rPr>
                <m:t>%</m:t>
              </m:r>
            </m:oMath>
            <w:r>
              <w:t xml:space="preserve">​</w:t>
            </w:r>
          </w:p>
        </w:tc>
        <w:tc>
          <w:tcPr/>
          <w:p>
            <w:pPr>
              <w:pStyle w:val="Compact"/>
              <w:jc w:val="center"/>
            </w:pPr>
            <m:oMath>
              <m:r>
                <m:rPr>
                  <m:sty m:val="p"/>
                </m:rPr>
                <m:t>−</m:t>
              </m:r>
              <m:r>
                <m:t>0.47</m:t>
              </m:r>
            </m:oMath>
            <w:r>
              <w:t xml:space="preserve">​</w:t>
            </w:r>
          </w:p>
        </w:tc>
        <w:tc>
          <w:tcPr/>
          <w:p>
            <w:pPr>
              <w:pStyle w:val="Compact"/>
              <w:jc w:val="center"/>
            </w:pPr>
            <m:oMath>
              <m:r>
                <m:rPr>
                  <m:sty m:val="p"/>
                </m:rPr>
                <m:t>−</m:t>
              </m:r>
              <m:r>
                <m:t>0.23</m:t>
              </m:r>
            </m:oMath>
            <w:r>
              <w:t xml:space="preserve">​</w:t>
            </w:r>
          </w:p>
        </w:tc>
        <w:tc>
          <w:tcPr/>
          <w:p>
            <w:pPr>
              <w:pStyle w:val="Compact"/>
              <w:jc w:val="center"/>
            </w:pPr>
            <w:r>
              <w:t xml:space="preserve">sign only</w:t>
            </w:r>
            <m:oMath>
              <m:sSup>
                <m:e>
                  <m:r>
                    <m:t>​</m:t>
                  </m:r>
                </m:e>
                <m:sup>
                  <m:r>
                    <m:rPr>
                      <m:sty m:val="p"/>
                    </m:rPr>
                    <m:t>†</m:t>
                  </m:r>
                </m:sup>
              </m:sSup>
            </m:oMath>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0.78</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0.50</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38</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0.37</m:t>
              </m:r>
            </m:oMath>
            <w:r>
              <w:t xml:space="preserve">​</w:t>
            </w:r>
          </w:p>
        </w:tc>
        <w:tc>
          <w:tcPr/>
          <w:p>
            <w:pPr>
              <w:pStyle w:val="Compact"/>
            </w:pPr>
          </w:p>
        </w:tc>
      </w:tr>
    </w:tbl>
    <w:bookmarkEnd w:id="90"/>
    <w:bookmarkEnd w:id="91"/>
    <w:bookmarkStart w:id="92" w:name="X1e234f5e1e9995ce35785c5c48c55e0ca9fb143"/>
    <w:p>
      <w:pPr>
        <w:pStyle w:val="Heading4"/>
      </w:pPr>
      <w:r>
        <w:t xml:space="preserve">Ceilings differ, so magnitudes are not directly comparable.</w:t>
      </w:r>
    </w:p>
    <w:p>
      <w:pPr>
        <w:pStyle w:val="FirstParagraph"/>
      </w:pPr>
      <w:r>
        <w:t xml:space="preserve">Table 5 reports, per model, which cell carried the verification and its</w:t>
      </w:r>
      <w:r>
        <w:t xml:space="preserve"> </w:t>
      </w:r>
      <w:r>
        <w:t xml:space="preserve">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Δ</m:t>
            </m:r>
          </m:e>
          <m:sub>
            <m:r>
              <m:t>T</m:t>
            </m:r>
          </m:sub>
        </m:sSub>
        <m:r>
          <m:rPr>
            <m:sty m:val="p"/>
          </m:rPr>
          <m:t>=</m:t>
        </m:r>
        <m:r>
          <m:rPr>
            <m:sty m:val="p"/>
          </m:rPr>
          <m:t>−</m:t>
        </m:r>
        <m:r>
          <m:t>0.75</m:t>
        </m:r>
      </m:oMath>
      <w:r>
        <w:t xml:space="preserve"> </w:t>
      </w:r>
      <w:r>
        <w:t xml:space="preserve">starts from a</w:t>
      </w:r>
      <w:r>
        <w:t xml:space="preserve"> </w:t>
      </w:r>
      <w:r>
        <w:t xml:space="preserve">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92"/>
    <w:bookmarkStart w:id="93" w:name="position-is-not-the-cause."/>
    <w:p>
      <w:pPr>
        <w:pStyle w:val="Heading4"/>
      </w:pPr>
      <w:r>
        <w:t xml:space="preserve">Position is not the cause.</w:t>
      </w:r>
    </w:p>
    <w:p>
      <w:pPr>
        <w:pStyle w:val="FirstParagraph"/>
      </w:pPr>
      <w:r>
        <w:t xml:space="preserve">The collapse is not a lost-in-the-middle or recency artifact. The length-matched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holding position fixed and changing only the content is</w:t>
      </w:r>
      <w:r>
        <w:t xml:space="preserve"> </w:t>
      </w:r>
      <w:r>
        <w:t xml:space="preserve">what turns a harmless arm into a harmful one, so the cause is the added signal, not where it sits.</w:t>
      </w:r>
    </w:p>
    <w:bookmarkEnd w:id="93"/>
    <w:bookmarkStart w:id="94"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4"/>
    <w:bookmarkStart w:id="95"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w:t>
      </w:r>
    </w:p>
    <w:bookmarkEnd w:id="95"/>
    <w:bookmarkEnd w:id="96"/>
    <w:bookmarkStart w:id="98"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So the value of the private context, the</w:t>
      </w:r>
      <w:r>
        <w:t xml:space="preserve"> </w:t>
      </w:r>
      <w:r>
        <w:t xml:space="preserve">model-relative quantity</w:t>
      </w:r>
      <w:r>
        <w:t xml:space="preserve"> </w:t>
      </w:r>
      <m:oMath>
        <m:r>
          <m:t>I</m:t>
        </m:r>
        <m:r>
          <m:rPr>
            <m:sty m:val="p"/>
          </m:rPr>
          <m:t>(</m:t>
        </m:r>
        <m:r>
          <m:t>S</m:t>
        </m:r>
        <m:r>
          <m:rPr>
            <m:sty m:val="p"/>
          </m:rPr>
          <m:t>;</m:t>
        </m:r>
        <m:r>
          <m:t>W</m:t>
        </m:r>
        <m:r>
          <m:rPr>
            <m:sty m:val="p"/>
          </m:rPr>
          <m:t>∣</m:t>
        </m:r>
        <m:r>
          <m:t>θ</m:t>
        </m:r>
        <m:r>
          <m:rPr>
            <m:sty m:val="p"/>
          </m:rPr>
          <m:t>)</m:t>
        </m:r>
      </m:oMath>
      <w:r>
        <w:t xml:space="preserve"> </w:t>
      </w:r>
      <w:r>
        <w:t xml:space="preserve">of §3.3, varies continuously across</w:t>
      </w:r>
      <w:r>
        <w:t xml:space="preserve"> </w:t>
      </w:r>
      <w:r>
        <w:t xml:space="preserve">models, and it tracks a vendor’s training rather than raw capability: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97" w:name="auditable-per-cell-record."/>
    <w:p>
      <w:pPr>
        <w:pStyle w:val="Heading4"/>
      </w:pPr>
      <w:r>
        <w:t xml:space="preserve">Auditable per-cell record.</w:t>
      </w:r>
    </w:p>
    <w:p>
      <w:pPr>
        <w:pStyle w:val="FirstParagraph"/>
      </w:pPr>
      <w:r>
        <w:t xml:space="preserve">The full per-arm PASS record for every carrying cell is Table 7 in Appendix B, so each verification can be reconstructed from the reported counts.</w:t>
      </w:r>
    </w:p>
    <w:bookmarkEnd w:id="97"/>
    <w:bookmarkEnd w:id="98"/>
    <w:bookmarkEnd w:id="99"/>
    <w:bookmarkStart w:id="101"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harm contrast is verified in sign (</w:t>
      </w:r>
      <m:oMath>
        <m:sSub>
          <m:e>
            <m:r>
              <m:rPr>
                <m:sty m:val="p"/>
              </m:rPr>
              <m:t>Δ</m:t>
            </m:r>
          </m:e>
          <m:sub>
            <m:r>
              <m:t>T</m:t>
            </m:r>
          </m:sub>
        </m:sSub>
        <m:r>
          <m:rPr>
            <m:sty m:val="p"/>
          </m:rPr>
          <m:t>&lt;</m:t>
        </m:r>
        <m:r>
          <m:t>0</m:t>
        </m:r>
      </m:oMath>
      <w:r>
        <w:t xml:space="preserve">, upper bound</w:t>
      </w:r>
      <w:r>
        <w:t xml:space="preserve"> </w:t>
      </w:r>
      <m:oMath>
        <m:r>
          <m:rPr>
            <m:sty m:val="p"/>
          </m:rPr>
          <m:t>−</m:t>
        </m:r>
        <m:r>
          <m:t>0.296</m:t>
        </m:r>
      </m:oMath>
      <w:r>
        <w:t xml:space="preserve">) but not at the</w:t>
      </w:r>
      <w:r>
        <w:t xml:space="preserve"> </w:t>
      </w:r>
      <m:oMath>
        <m:r>
          <m:t>τ</m:t>
        </m:r>
        <m:r>
          <m:rPr>
            <m:sty m:val="p"/>
          </m:rPr>
          <m:t>=</m:t>
        </m:r>
        <m:r>
          <m:t>0.30</m:t>
        </m:r>
      </m:oMath>
      <w:r>
        <w:t xml:space="preserve"> </w:t>
      </w:r>
      <w:r>
        <w:t xml:space="preserve">margin, because the</w:t>
      </w:r>
      <w:r>
        <w:t xml:space="preserve"> </w:t>
      </w:r>
      <m:oMath>
        <m:r>
          <m:t>80</m:t>
        </m:r>
        <m:r>
          <m:rPr>
            <m:sty m:val="p"/>
          </m:rPr>
          <m:t>%</m:t>
        </m:r>
      </m:oMath>
      <w:r>
        <w:t xml:space="preserve"> </w:t>
      </w:r>
      <m:oMath>
        <m:sSub>
          <m:e>
            <m:r>
              <m:t>V</m:t>
            </m:r>
          </m:e>
          <m:sub>
            <m:r>
              <m:t>1</m:t>
            </m:r>
          </m:sub>
        </m:sSub>
      </m:oMath>
      <w:r>
        <w:t xml:space="preserve"> </w:t>
      </w:r>
      <w:r>
        <w:t xml:space="preserve">ceiling keeps the bound wide.</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harm verified, upper</w:t>
      </w:r>
      <w:r>
        <w:t xml:space="preserve"> </w:t>
      </w:r>
      <m:oMath>
        <m:r>
          <m:rPr>
            <m:sty m:val="p"/>
          </m:rPr>
          <m:t>−</m:t>
        </m:r>
        <m:r>
          <m:t>0.63</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Start w:id="100" w:name="sec:results-audit"/>
    <w:p>
      <w:pPr>
        <w:pStyle w:val="Heading3"/>
      </w:pPr>
      <w:r>
        <w:t xml:space="preserve">Raw-failure audit: what Haiku’s</w:t>
      </w:r>
      <w:r>
        <w:t xml:space="preserve"> </w:t>
      </w:r>
      <w:r>
        <w:rPr>
          <w:rStyle w:val="VerbatimChar"/>
        </w:rPr>
        <w:t xml:space="preserve">api_post_ok</w:t>
      </w:r>
      <w:r>
        <w:t xml:space="preserve"> </w:t>
      </w:r>
      <w:r>
        <w:t xml:space="preserve">cell measures</w:t>
      </w:r>
    </w:p>
    <w:p>
      <w:pPr>
        <w:pStyle w:val="FirstParagraph"/>
      </w:pPr>
      <w:r>
        <w:t xml:space="preserve">One cell in Table 7 is anomalous: Haiku’s</w:t>
      </w:r>
      <w:r>
        <w:t xml:space="preserve"> </w:t>
      </w:r>
      <m:oMath>
        <m:sSub>
          <m:e>
            <m:r>
              <m:t>W</m:t>
            </m:r>
          </m:e>
          <m:sub>
            <m:r>
              <m:t>1</m:t>
            </m:r>
          </m:sub>
        </m:sSub>
      </m:oMath>
      <w:r>
        <w:t xml:space="preserve"> </w:t>
      </w:r>
      <w:r>
        <w:t xml:space="preserve">arm scores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while scoring</w:t>
      </w:r>
      <w:r>
        <w:t xml:space="preserve"> </w:t>
      </w:r>
      <m:oMath>
        <m:r>
          <m:t>100</m:t>
        </m:r>
        <m:r>
          <m:rPr>
            <m:sty m:val="p"/>
          </m:rPr>
          <m:t>%</m:t>
        </m:r>
      </m:oMath>
      <w:r>
        <w:t xml:space="preserve"> </w:t>
      </w:r>
      <w:r>
        <w:t xml:space="preserve">on the harder</w:t>
      </w:r>
      <w:r>
        <w:t xml:space="preserve"> </w:t>
      </w:r>
      <w:r>
        <w:rPr>
          <w:rStyle w:val="VerbatimChar"/>
        </w:rPr>
        <w:t xml:space="preserve">api_argorder</w:t>
      </w:r>
      <w:r>
        <w:t xml:space="preserve"> </w:t>
      </w:r>
      <w:r>
        <w:t xml:space="preserve">under the same</w:t>
      </w:r>
      <w:r>
        <w:t xml:space="preserve"> </w:t>
      </w:r>
      <w:r>
        <w:t xml:space="preserve">source, and the pattern is stable across five independent Haiku runs (</w:t>
      </w:r>
      <m:oMath>
        <m:r>
          <m:t>45</m:t>
        </m:r>
      </m:oMath>
      <w:r>
        <w:t xml:space="preserve">–</w:t>
      </w:r>
      <m:oMath>
        <m:r>
          <m:t>57</m:t>
        </m:r>
        <m:r>
          <m:rPr>
            <m:sty m:val="p"/>
          </m:rPr>
          <m:t>%</m:t>
        </m:r>
      </m:oMath>
      <w:r>
        <w:t xml:space="preserve">). Because the</w:t>
      </w:r>
      <w:r>
        <w:t xml:space="preserve"> </w:t>
      </w:r>
      <w:r>
        <w:t xml:space="preserve">published harness does not retain raw completions, we re-drew the cell keeping every reply, the</w:t>
      </w:r>
      <w:r>
        <w:t xml:space="preserve"> </w:t>
      </w:r>
      <w:r>
        <w:t xml:space="preserve">extracted code, and the verifier’s stderr (</w:t>
      </w:r>
      <w:r>
        <w:rPr>
          <w:rStyle w:val="VerbatimChar"/>
        </w:rPr>
        <w:t xml:space="preserve">results/diag/</w:t>
      </w:r>
      <w:r>
        <w:t xml:space="preserve">,</w:t>
      </w:r>
      <w:r>
        <w:t xml:space="preserve"> </w:t>
      </w:r>
      <w:r>
        <w:rPr>
          <w:rStyle w:val="VerbatimChar"/>
        </w:rPr>
        <w:t xml:space="preserve">harness/diag/</w:t>
      </w:r>
      <w:r>
        <w:t xml:space="preserve">). The</w:t>
      </w:r>
      <w:r>
        <w:t xml:space="preserve"> </w:t>
      </w:r>
      <w:r>
        <w:t xml:space="preserve">failures are uniform. In</w:t>
      </w:r>
      <w:r>
        <w:t xml:space="preserve"> </w:t>
      </w:r>
      <m:oMath>
        <m:r>
          <m:t>12</m:t>
        </m:r>
        <m:r>
          <m:rPr>
            <m:sty m:val="p"/>
          </m:rPr>
          <m:t>/</m:t>
        </m:r>
        <m:r>
          <m:t>12</m:t>
        </m:r>
      </m:oMath>
      <w:r>
        <w:t xml:space="preserve"> </w:t>
      </w:r>
      <w:r>
        <w:t xml:space="preserve">draws the reply calls the private contract exactly as</w:t>
      </w:r>
      <w:r>
        <w:t xml:space="preserve"> </w:t>
      </w:r>
      <m:oMath>
        <m:sSub>
          <m:e>
            <m:r>
              <m:t>W</m:t>
            </m:r>
          </m:e>
          <m:sub>
            <m:r>
              <m:t>1</m:t>
            </m:r>
          </m:sub>
        </m:sSub>
      </m:oMath>
      <w:r>
        <w:t xml:space="preserve"> </w:t>
      </w:r>
      <w:r>
        <w:t xml:space="preserve">specifies,</w:t>
      </w:r>
      <w:r>
        <w:t xml:space="preserve"> </w:t>
      </w:r>
      <w:r>
        <w:rPr>
          <w:rStyle w:val="VerbatimChar"/>
        </w:rPr>
        <w:t xml:space="preserve">ledger.post(acct, cents, memo=note)</w:t>
      </w:r>
      <w:r>
        <w:t xml:space="preserve">, and every failure is the single omitted line</w:t>
      </w:r>
      <w:r>
        <w:t xml:space="preserve"> </w:t>
      </w:r>
      <w:r>
        <w:rPr>
          <w:rStyle w:val="VerbatimChar"/>
        </w:rPr>
        <w:t xml:space="preserve">import ledger</w:t>
      </w:r>
      <w:r>
        <w:t xml:space="preserve">: PASS coincides with the presence of that line (</w:t>
      </w:r>
      <m:oMath>
        <m:r>
          <m:t>5</m:t>
        </m:r>
        <m:r>
          <m:rPr>
            <m:sty m:val="p"/>
          </m:rPr>
          <m:t>/</m:t>
        </m:r>
        <m:r>
          <m:t>5</m:t>
        </m:r>
      </m:oMath>
      <w:r>
        <w:t xml:space="preserve"> </w:t>
      </w:r>
      <w:r>
        <w:t xml:space="preserve">against</w:t>
      </w:r>
      <w:r>
        <w:t xml:space="preserve"> </w:t>
      </w:r>
      <m:oMath>
        <m:r>
          <m:t>7</m:t>
        </m:r>
        <m:r>
          <m:rPr>
            <m:sty m:val="p"/>
          </m:rPr>
          <m:t>/</m:t>
        </m:r>
        <m:r>
          <m:t>7</m:t>
        </m:r>
      </m:oMath>
      <w:r>
        <w:t xml:space="preserve">), and on</w:t>
      </w:r>
      <w:r>
        <w:t xml:space="preserve"> </w:t>
      </w:r>
      <w:r>
        <w:t xml:space="preserve">the control cell</w:t>
      </w:r>
      <w:r>
        <w:t xml:space="preserve"> </w:t>
      </w:r>
      <w:r>
        <w:rPr>
          <w:rStyle w:val="VerbatimChar"/>
        </w:rPr>
        <w:t xml:space="preserve">api_argorder</w:t>
      </w:r>
      <w:r>
        <w:t xml:space="preserve"> </w:t>
      </w:r>
      <w:r>
        <w:t xml:space="preserve">the same model writes the import in</w:t>
      </w:r>
      <w:r>
        <w:t xml:space="preserve"> </w:t>
      </w:r>
      <m:oMath>
        <m:r>
          <m:t>8</m:t>
        </m:r>
        <m:r>
          <m:rPr>
            <m:sty m:val="p"/>
          </m:rPr>
          <m:t>/</m:t>
        </m:r>
        <m:r>
          <m:t>8</m:t>
        </m:r>
      </m:oMath>
      <w:r>
        <w:t xml:space="preserve">. The cause is prompt</w:t>
      </w:r>
      <w:r>
        <w:t xml:space="preserve"> </w:t>
      </w:r>
      <w:r>
        <w:t xml:space="preserve">wording, not the contract: this task’s prompt names the call as</w:t>
      </w:r>
      <w:r>
        <w:t xml:space="preserve"> </w:t>
      </w:r>
      <w:r>
        <w:rPr>
          <w:rStyle w:val="VerbatimChar"/>
        </w:rPr>
        <w:t xml:space="preserve">ledger.post</w:t>
      </w:r>
      <w:r>
        <w:t xml:space="preserve">, which Haiku</w:t>
      </w:r>
      <w:r>
        <w:t xml:space="preserve"> </w:t>
      </w:r>
      <w:r>
        <w:t xml:space="preserve">reads as already in scope. An import-neutralized control then re-measures all four arms at</w:t>
      </w:r>
      <w:r>
        <w:t xml:space="preserve"> </w:t>
      </w:r>
      <m:oMath>
        <m:r>
          <m:t>n</m:t>
        </m:r>
        <m:r>
          <m:rPr>
            <m:sty m:val="p"/>
          </m:rPr>
          <m:t>=</m:t>
        </m:r>
        <m:r>
          <m:t>40</m:t>
        </m:r>
      </m:oMath>
      <w:r>
        <w:t xml:space="preserve"> </w:t>
      </w:r>
      <w:r>
        <w:t xml:space="preserve">with a verifier that binds</w:t>
      </w:r>
      <w:r>
        <w:t xml:space="preserve"> </w:t>
      </w:r>
      <w:r>
        <w:rPr>
          <w:rStyle w:val="VerbatimChar"/>
        </w:rPr>
        <w:t xml:space="preserve">ledger</w:t>
      </w:r>
      <w:r>
        <w:t xml:space="preserve"> </w:t>
      </w:r>
      <w:r>
        <w:t xml:space="preserve">into the solution’s namespace when the reply omitted the</w:t>
      </w:r>
      <w:r>
        <w:t xml:space="preserve"> </w:t>
      </w:r>
      <w:r>
        <w:t xml:space="preserve">import and is otherwise identical:</w:t>
      </w:r>
      <w:r>
        <w:t xml:space="preserve"> </w:t>
      </w:r>
      <w:r>
        <w:rPr>
          <w:rStyle w:val="VerbatimChar"/>
        </w:rPr>
        <w:t xml:space="preserve">none</w:t>
      </w:r>
      <w:r>
        <w:t xml:space="preserve"> </w:t>
      </w:r>
      <m:oMath>
        <m:r>
          <m:t>0</m:t>
        </m:r>
        <m:r>
          <m:rPr>
            <m:sty m:val="p"/>
          </m:rPr>
          <m:t>/</m:t>
        </m:r>
        <m:r>
          <m:t>40</m:t>
        </m:r>
      </m:oMath>
      <w:r>
        <w:t xml:space="preserve"> </w:t>
      </w:r>
      <w:r>
        <w:t xml:space="preserve">and</w:t>
      </w:r>
      <w:r>
        <w:t xml:space="preserve"> </w:t>
      </w:r>
      <m:oMath>
        <m:sSub>
          <m:e>
            <m:r>
              <m:t>W</m:t>
            </m:r>
          </m:e>
          <m:sub>
            <m:r>
              <m:t>2</m:t>
            </m:r>
          </m:sub>
        </m:sSub>
      </m:oMath>
      <w:r>
        <w:t xml:space="preserve"> </w:t>
      </w:r>
      <m:oMath>
        <m:r>
          <m:t>0</m:t>
        </m:r>
        <m:r>
          <m:rPr>
            <m:sty m:val="p"/>
          </m:rPr>
          <m:t>/</m:t>
        </m:r>
        <m:r>
          <m:t>40</m:t>
        </m:r>
      </m:oMath>
      <w:r>
        <w:t xml:space="preserve"> </w:t>
      </w:r>
      <w:r>
        <w:t xml:space="preserve">under both verifiers</w:t>
      </w:r>
      <w:r>
        <w:t xml:space="preserve"> </w:t>
      </w:r>
      <w:r>
        <w:t xml:space="preserve">(neutralization leaks nothing),</w:t>
      </w:r>
      <w:r>
        <w:t xml:space="preserve"> </w:t>
      </w:r>
      <m:oMath>
        <m:sSub>
          <m:e>
            <m:r>
              <m:t>W</m:t>
            </m:r>
          </m:e>
          <m:sub>
            <m:r>
              <m:t>1</m:t>
            </m:r>
          </m:sub>
        </m:sSub>
      </m:oMath>
      <w:r>
        <w:t xml:space="preserve"> </w:t>
      </w:r>
      <w:r>
        <w:t xml:space="preserve">rises from</w:t>
      </w:r>
      <w:r>
        <w:t xml:space="preserve"> </w:t>
      </w:r>
      <m:oMath>
        <m:r>
          <m:t>23</m:t>
        </m:r>
        <m:r>
          <m:rPr>
            <m:sty m:val="p"/>
          </m:rPr>
          <m:t>/</m:t>
        </m:r>
        <m:r>
          <m:t>40</m:t>
        </m:r>
      </m:oMath>
      <w:r>
        <w:t xml:space="preserve"> </w:t>
      </w:r>
      <w:r>
        <w:t xml:space="preserve">to</w:t>
      </w:r>
      <w:r>
        <w:t xml:space="preserve"> </w:t>
      </w:r>
      <m:oMath>
        <m:r>
          <m:t>40</m:t>
        </m:r>
        <m:r>
          <m:rPr>
            <m:sty m:val="p"/>
          </m:rPr>
          <m:t>/</m:t>
        </m:r>
        <m:r>
          <m:t>40</m:t>
        </m:r>
      </m:oMath>
      <w:r>
        <w:t xml:space="preserve">, and</w:t>
      </w:r>
      <w:r>
        <w:t xml:space="preserve"> </w:t>
      </w:r>
      <m:oMath>
        <m:sSub>
          <m:e>
            <m:r>
              <m:t>W</m:t>
            </m:r>
          </m:e>
          <m:sub>
            <m:r>
              <m:t>1</m:t>
            </m:r>
            <m:r>
              <m:rPr>
                <m:sty m:val="p"/>
              </m:rPr>
              <m:t>+</m:t>
            </m:r>
          </m:sub>
        </m:sSub>
      </m:oMath>
      <w:r>
        <w:t xml:space="preserve"> </w:t>
      </w:r>
      <w:r>
        <w:t xml:space="preserve">from</w:t>
      </w:r>
      <w:r>
        <w:t xml:space="preserve"> </w:t>
      </w:r>
      <m:oMath>
        <m:r>
          <m:t>8</m:t>
        </m:r>
        <m:r>
          <m:rPr>
            <m:sty m:val="p"/>
          </m:rPr>
          <m:t>/</m:t>
        </m:r>
        <m:r>
          <m:t>40</m:t>
        </m:r>
      </m:oMath>
      <w:r>
        <w:t xml:space="preserve"> </w:t>
      </w:r>
      <w:r>
        <w:t xml:space="preserve">to</w:t>
      </w:r>
      <w:r>
        <w:t xml:space="preserve"> </w:t>
      </w:r>
      <m:oMath>
        <m:r>
          <m:t>21</m:t>
        </m:r>
        <m:r>
          <m:rPr>
            <m:sty m:val="p"/>
          </m:rPr>
          <m:t>/</m:t>
        </m:r>
        <m:r>
          <m:t>40</m:t>
        </m:r>
      </m:oMath>
      <w:r>
        <w:t xml:space="preserve">. The superset collapse on this cell is therefore real and has the mechanism the paper</w:t>
      </w:r>
      <w:r>
        <w:t xml:space="preserve"> </w:t>
      </w:r>
      <w:r>
        <w:t xml:space="preserve">describes: in the retained</w:t>
      </w:r>
      <w:r>
        <w:t xml:space="preserve"> </w:t>
      </w:r>
      <m:oMath>
        <m:sSub>
          <m:e>
            <m:r>
              <m:t>W</m:t>
            </m:r>
          </m:e>
          <m:sub>
            <m:r>
              <m:t>1</m:t>
            </m:r>
            <m:r>
              <m:rPr>
                <m:sty m:val="p"/>
              </m:rPr>
              <m:t>+</m:t>
            </m:r>
          </m:sub>
        </m:sSub>
      </m:oMath>
      <w:r>
        <w:t xml:space="preserve"> </w:t>
      </w:r>
      <w:r>
        <w:t xml:space="preserve">replies the model applies</w:t>
      </w:r>
      <w:r>
        <w:t xml:space="preserve"> </w:t>
      </w:r>
      <m:oMath>
        <m:sSub>
          <m:e>
            <m:r>
              <m:t>W</m:t>
            </m:r>
          </m:e>
          <m:sub>
            <m:r>
              <m:t>2</m:t>
            </m:r>
          </m:sub>
        </m:sSub>
      </m:oMath>
      <w:r>
        <w:t xml:space="preserve">’s wire encoding to a plain-cents</w:t>
      </w:r>
      <w:r>
        <w:t xml:space="preserve"> </w:t>
      </w:r>
      <w:r>
        <w:t xml:space="preserve">amount and posts</w:t>
      </w:r>
      <w:r>
        <w:t xml:space="preserve"> </w:t>
      </w:r>
      <w:r>
        <w:rPr>
          <w:rStyle w:val="VerbatimChar"/>
        </w:rPr>
        <w:t xml:space="preserve">’+500#5’</w:t>
      </w:r>
      <w:r>
        <w:t xml:space="preserve"> </w:t>
      </w:r>
      <w:r>
        <w:t xml:space="preserve">in place of</w:t>
      </w:r>
      <w:r>
        <w:t xml:space="preserve"> </w:t>
      </w:r>
      <w:r>
        <w:rPr>
          <w:rStyle w:val="VerbatimChar"/>
        </w:rPr>
        <w:t xml:space="preserve">500</w:t>
      </w:r>
      <w:r>
        <w:t xml:space="preserve">. With the import neutralized the</w:t>
      </w:r>
      <w:r>
        <w:t xml:space="preserve"> </w:t>
      </w:r>
      <w:r>
        <w:t xml:space="preserve">harm contrast is</w:t>
      </w:r>
      <w:r>
        <w:t xml:space="preserve"> </w:t>
      </w:r>
      <m:oMath>
        <m:sSub>
          <m:e>
            <m:r>
              <m:rPr>
                <m:sty m:val="p"/>
              </m:rPr>
              <m:t>Δ</m:t>
            </m:r>
          </m:e>
          <m:sub>
            <m:r>
              <m:t>T</m:t>
            </m:r>
          </m:sub>
        </m:sSub>
        <m:r>
          <m:rPr>
            <m:sty m:val="p"/>
          </m:rPr>
          <m:t>=</m:t>
        </m:r>
        <m:r>
          <m:rPr>
            <m:sty m:val="p"/>
          </m:rPr>
          <m:t>−</m:t>
        </m:r>
        <m:r>
          <m:t>0.47</m:t>
        </m:r>
      </m:oMath>
      <w:r>
        <w:t xml:space="preserve"> </w:t>
      </w:r>
      <w:r>
        <w:t xml:space="preserve">with upper bound</w:t>
      </w:r>
      <w:r>
        <w:t xml:space="preserve"> </w:t>
      </w:r>
      <m:oMath>
        <m:r>
          <m:rPr>
            <m:sty m:val="p"/>
          </m:rPr>
          <m:t>−</m:t>
        </m:r>
        <m:r>
          <m:t>0.23</m:t>
        </m:r>
      </m:oMath>
      <w:r>
        <w:t xml:space="preserve">, verified in sign but not at the</w:t>
      </w:r>
      <w:r>
        <w:t xml:space="preserve"> </w:t>
      </w:r>
      <m:oMath>
        <m:r>
          <m:t>τ</m:t>
        </m:r>
        <m:r>
          <m:rPr>
            <m:sty m:val="p"/>
          </m:rPr>
          <m:t>=</m:t>
        </m:r>
        <m:r>
          <m:t>0.30</m:t>
        </m:r>
      </m:oMath>
      <w:r>
        <w:t xml:space="preserve"> </w:t>
      </w:r>
      <w:r>
        <w:t xml:space="preserve">margin</w:t>
      </w:r>
      <w:r>
        <w:t xml:space="preserve"> </w:t>
      </w:r>
      <w:r>
        <w:t xml:space="preserve">(Table 5). We keep the original-protocol numbers in every table, since the</w:t>
      </w:r>
      <w:r>
        <w:t xml:space="preserve"> </w:t>
      </w:r>
      <w:r>
        <w:t xml:space="preserve">verifier is identical across models and the other five models include the import; the audit changes</w:t>
      </w:r>
      <w:r>
        <w:t xml:space="preserve"> </w:t>
      </w:r>
      <w:r>
        <w:t xml:space="preserve">the reading of one cell, not its measurement. Haiku’s verified claims rest on</w:t>
      </w:r>
      <w:r>
        <w:t xml:space="preserve"> </w:t>
      </w:r>
      <w:r>
        <w:rPr>
          <w:rStyle w:val="VerbatimChar"/>
        </w:rPr>
        <w:t xml:space="preserve">api_argorder</w:t>
      </w:r>
      <w:r>
        <w:t xml:space="preserve"> </w:t>
      </w:r>
      <w:r>
        <w:t xml:space="preserve">and are unaffected.</w:t>
      </w:r>
    </w:p>
    <w:bookmarkEnd w:id="100"/>
    <w:bookmarkEnd w:id="101"/>
    <w:bookmarkStart w:id="104"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7);</w:t>
      </w:r>
      <w:r>
        <w:t xml:space="preserve"> </w:t>
      </w:r>
      <w:r>
        <w:t xml:space="preserve">Table 6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Front</w:t>
      </w:r>
      <w:r>
        <w:rPr>
          <w:i/>
          <w:iCs/>
        </w:rPr>
        <w:t xml:space="preserve"> </w:t>
      </w:r>
      <m:oMath>
        <m:r>
          <m:rPr>
            <m:sty m:val="p"/>
          </m:rPr>
          <m:t>+</m:t>
        </m:r>
      </m:oMath>
      <w:r>
        <w:rPr>
          <w:i/>
          <w:iCs/>
        </w:rPr>
        <w:t xml:space="preserve"> </w:t>
      </w:r>
      <w:r>
        <w:rPr>
          <w:i/>
          <w:iCs/>
        </w:rPr>
        <w:t xml:space="preserve">routing</w:t>
      </w:r>
      <w:r>
        <w:t xml:space="preserve"> </w:t>
      </w:r>
      <w:r>
        <w:t xml:space="preserve">keeps the verified non-dominated set</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and routes by task</w:t>
      </w:r>
      <w:r>
        <w:t xml:space="preserve"> </w:t>
      </w:r>
      <w:r>
        <w:t xml:space="preserve">family, attaining the per-cell maximum of the two sources; this is what the partial order licenses,</w:t>
      </w:r>
      <w:r>
        <w:t xml:space="preserve"> </w:t>
      </w:r>
      <w:r>
        <w:t xml:space="preserve">and its price is exactly one probe’s worth of knowledge, namely which source is decisive for which</w:t>
      </w:r>
      <w:r>
        <w:t xml:space="preserve"> </w:t>
      </w:r>
      <w:r>
        <w:t xml:space="preserve">family.</w:t>
      </w:r>
    </w:p>
    <w:bookmarkStart w:id="102" w:name="tab:policies"/>
    <w:p>
      <w:pPr>
        <w:pStyle w:val="TableCaption"/>
      </w:pPr>
      <w:r>
        <w:t xml:space="preserve">Mean PASS (%) over the four verified cells under four selection policies, per model,</w:t>
      </w:r>
      <w:r>
        <w:t xml:space="preserve"> </w:t>
      </w:r>
      <w:r>
        <w:t xml:space="preserve">computed from the measured per-cell rates of Table 7. The front-and-routing column</w:t>
      </w:r>
      <w:r>
        <w:t xml:space="preserve"> </w:t>
      </w:r>
      <w:r>
        <w:t xml:space="preserve">is the per-cell maximum 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and is therefore the ceiling of</w:t>
      </w:r>
      <w:r>
        <w:t xml:space="preserve"> </w:t>
      </w:r>
      <w:r>
        <w:rPr>
          <w:i/>
          <w:iCs/>
        </w:rPr>
        <w:t xml:space="preserve">any</w:t>
      </w:r>
      <w:r>
        <w:t xml:space="preserve"> </w:t>
      </w:r>
      <w:r>
        <w:t xml:space="preserve">selection</w:t>
      </w:r>
      <w:r>
        <w:t xml:space="preserve"> </w:t>
      </w:r>
      <w:r>
        <w:t xml:space="preserve">policy on these cells; its remaining gap to</w:t>
      </w:r>
      <w:r>
        <w:t xml:space="preserve"> </w:t>
      </w:r>
      <m:oMath>
        <m:r>
          <m:t>100</m:t>
        </m:r>
        <m:r>
          <m:rPr>
            <m:sty m:val="p"/>
          </m:rPr>
          <m:t>%</m:t>
        </m:r>
      </m:oMath>
      <w:r>
        <w:t xml:space="preserve"> </w:t>
      </w:r>
      <w:r>
        <w:t xml:space="preserve">is model capability, not selection error.</w:t>
      </w:r>
    </w:p>
    <w:tbl>
      <w:tblPr>
        <w:tblStyle w:val="Table"/>
        <w:tblW w:type="auto" w:w="0"/>
        <w:tblLook w:firstRow="1" w:lastRow="0" w:firstColumn="0" w:lastColumn="0" w:noHBand="0" w:noVBand="0" w:val="0020"/>
        <w:tblCaption w:val="Mean PASS (%) over the four verified cells under four selection policies, per model, computed from the measured per-cell rates of Table 7. The front-and-routing column is the per-cell maximum of W_1 and W_2 and is therefore the ceiling of any selection policy on these cells; its remaining gap to 100\% is model capability, not selection error."/>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Front</w:t>
            </w:r>
            <w:r>
              <w:t xml:space="preserve"> </w:t>
            </w:r>
            <m:oMath>
              <m:r>
                <m:rPr>
                  <m:sty m:val="p"/>
                </m:rPr>
                <m:t>+</m:t>
              </m:r>
            </m:oMath>
            <w:r>
              <w:t xml:space="preserve"> </w:t>
            </w:r>
            <w:r>
              <w:t xml:space="preserve">routing</w:t>
            </w:r>
          </w:p>
        </w:tc>
      </w:tr>
      <w:tr>
        <w:tc>
          <w:tcPr/>
          <w:p>
            <w:pPr>
              <w:pStyle w:val="Compact"/>
              <w:jc w:val="left"/>
            </w:pPr>
            <w:r>
              <w:t xml:space="preserve">Haiku-4.5</w:t>
            </w:r>
          </w:p>
        </w:tc>
        <w:tc>
          <w:tcPr/>
          <w:p>
            <w:pPr>
              <w:pStyle w:val="Compact"/>
              <w:jc w:val="center"/>
            </w:pPr>
            <w:r>
              <w:t xml:space="preserve">60.5</w:t>
            </w:r>
          </w:p>
        </w:tc>
        <w:tc>
          <w:tcPr/>
          <w:p>
            <w:pPr>
              <w:pStyle w:val="Compact"/>
              <w:jc w:val="center"/>
            </w:pPr>
            <w:r>
              <w:t xml:space="preserve">63.0</w:t>
            </w:r>
          </w:p>
        </w:tc>
        <w:tc>
          <w:tcPr/>
          <w:p>
            <w:pPr>
              <w:pStyle w:val="Compact"/>
              <w:jc w:val="center"/>
            </w:pPr>
            <w:r>
              <w:t xml:space="preserve">53.0</w:t>
            </w:r>
          </w:p>
        </w:tc>
        <w:tc>
          <w:tcPr/>
          <w:p>
            <w:pPr>
              <w:pStyle w:val="Compact"/>
              <w:jc w:val="center"/>
            </w:pPr>
            <w:r>
              <w:rPr>
                <w:b/>
                <w:bCs/>
              </w:rPr>
              <w:t xml:space="preserve">85.5</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36.8</w:t>
            </w:r>
          </w:p>
        </w:tc>
        <w:tc>
          <w:tcPr/>
          <w:p>
            <w:pPr>
              <w:pStyle w:val="Compact"/>
              <w:jc w:val="center"/>
            </w:pPr>
            <w:r>
              <w:rPr>
                <w:b/>
                <w:bCs/>
              </w:rPr>
              <w:t xml:space="preserve">99.5</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59.5</w:t>
            </w:r>
          </w:p>
        </w:tc>
        <w:tc>
          <w:tcPr/>
          <w:p>
            <w:pPr>
              <w:pStyle w:val="Compact"/>
              <w:jc w:val="center"/>
            </w:pPr>
            <w:r>
              <w:rPr>
                <w:b/>
                <w:bCs/>
              </w:rPr>
              <w:t xml:space="preserve">99.5</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60.3</w:t>
            </w:r>
          </w:p>
        </w:tc>
        <w:tc>
          <w:tcPr/>
          <w:p>
            <w:pPr>
              <w:pStyle w:val="Compact"/>
              <w:jc w:val="center"/>
            </w:pPr>
            <w:r>
              <w:t xml:space="preserve">52.8</w:t>
            </w:r>
          </w:p>
        </w:tc>
        <w:tc>
          <w:tcPr/>
          <w:p>
            <w:pPr>
              <w:pStyle w:val="Compact"/>
              <w:jc w:val="center"/>
            </w:pPr>
            <w:r>
              <w:t xml:space="preserve">42.0</w:t>
            </w:r>
          </w:p>
        </w:tc>
        <w:tc>
          <w:tcPr/>
          <w:p>
            <w:pPr>
              <w:pStyle w:val="Compact"/>
              <w:jc w:val="center"/>
            </w:pPr>
            <w:r>
              <w:rPr>
                <w:b/>
                <w:bCs/>
              </w:rPr>
              <w:t xml:space="preserve">77.3</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48.0</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48.2</w:t>
            </w:r>
          </w:p>
        </w:tc>
        <w:tc>
          <w:tcPr/>
          <w:p>
            <w:pPr>
              <w:pStyle w:val="Compact"/>
              <w:jc w:val="center"/>
            </w:pPr>
            <w:r>
              <w:rPr>
                <w:b/>
                <w:bCs/>
              </w:rPr>
              <w:t xml:space="preserve">93.4</w:t>
            </w:r>
          </w:p>
        </w:tc>
      </w:tr>
    </w:tbl>
    <w:bookmarkEnd w:id="102"/>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front column shows what selection</w:t>
      </w:r>
      <w:r>
        <w:t xml:space="preserve"> </w:t>
      </w:r>
      <w:r>
        <w:t xml:space="preserve">alone can recover: its shortfall from</w:t>
      </w:r>
      <w:r>
        <w:t xml:space="preserve"> </w:t>
      </w:r>
      <m:oMath>
        <m:r>
          <m:t>100</m:t>
        </m:r>
        <m:r>
          <m:rPr>
            <m:sty m:val="p"/>
          </m:rPr>
          <m:t>%</m:t>
        </m:r>
      </m:oMath>
      <w:r>
        <w:t xml:space="preserve"> </w:t>
      </w:r>
      <w:r>
        <w:t xml:space="preserve">is not selection error. For DeepSeek (</w:t>
      </w:r>
      <m:oMath>
        <m:r>
          <m:t>68</m:t>
        </m:r>
      </m:oMath>
      <w:r>
        <w:t xml:space="preserve">–</w:t>
      </w:r>
      <m:oMath>
        <m:r>
          <m:t>75</m:t>
        </m:r>
        <m:r>
          <m:rPr>
            <m:sty m:val="p"/>
          </m:rPr>
          <m:t>%</m:t>
        </m:r>
      </m:oMath>
      <w:r>
        <w:t xml:space="preserve"> </w:t>
      </w:r>
      <w:r>
        <w:t xml:space="preserve">band) it is the model’s own capability limit; for Haiku the apparent</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 </w:t>
      </w:r>
      <w:r>
        <w:t xml:space="preserve">is not even that. A raw-failure audit (§7.5.1) shows</w:t>
      </w:r>
      <w:r>
        <w:t xml:space="preserve"> </w:t>
      </w:r>
      <w:r>
        <w:t xml:space="preserve">every Haiku reply on that cell calls the private contract correctly and the deficit is an omitted</w:t>
      </w:r>
      <w:r>
        <w:t xml:space="preserve"> </w:t>
      </w:r>
      <w:r>
        <w:rPr>
          <w:rStyle w:val="VerbatimChar"/>
        </w:rPr>
        <w:t xml:space="preserve">import</w:t>
      </w:r>
      <w:r>
        <w:t xml:space="preserve"> </w:t>
      </w:r>
      <w:r>
        <w:t xml:space="preserve">line; with the import neutralized,</w:t>
      </w:r>
      <w:r>
        <w:t xml:space="preserve"> </w:t>
      </w:r>
      <m:oMath>
        <m:sSub>
          <m:e>
            <m:r>
              <m:t>W</m:t>
            </m:r>
          </m:e>
          <m:sub>
            <m:r>
              <m:t>1</m:t>
            </m:r>
          </m:sub>
        </m:sSub>
      </m:oMath>
      <w:r>
        <w:t xml:space="preserve"> </w:t>
      </w:r>
      <w:r>
        <w:t xml:space="preserve">scores</w:t>
      </w:r>
      <w:r>
        <w:t xml:space="preserve"> </w:t>
      </w:r>
      <m:oMath>
        <m:r>
          <m:t>40</m:t>
        </m:r>
        <m:r>
          <m:rPr>
            <m:sty m:val="p"/>
          </m:rPr>
          <m:t>/</m:t>
        </m:r>
        <m:r>
          <m:t>40</m:t>
        </m:r>
      </m:oMath>
      <w:r>
        <w:t xml:space="preserve">.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cheap policy forfeits an entire cell class, and no total-order policy can keep all four.</w:t>
      </w:r>
    </w:p>
    <w:bookmarkStart w:id="103" w:name="what-follows-for-practice."/>
    <w:p>
      <w:pPr>
        <w:pStyle w:val="Heading4"/>
      </w:pPr>
      <w:r>
        <w:t xml:space="preserve">What follows for practice.</w:t>
      </w:r>
    </w:p>
    <w:p>
      <w:pPr>
        <w:pStyle w:val="FirstParagraph"/>
      </w:pPr>
      <w:r>
        <w:t xml:space="preserve">Five statements survive the caveats above and can be acted</w:t>
      </w:r>
      <w:r>
        <w:t xml:space="preserve"> </w:t>
      </w:r>
      <w:r>
        <w:t xml:space="preserve">on directly. (i) One number per source is structurally lossy: when two sources each carry a</w:t>
      </w:r>
      <w:r>
        <w:t xml:space="preserve"> </w:t>
      </w:r>
      <w:r>
        <w:t xml:space="preserve">decisive fact, any fixed score drops one of them, and no threshold repairs it</w:t>
      </w:r>
      <w:r>
        <w:t xml:space="preserve"> </w:t>
      </w:r>
      <w:r>
        <w:t xml:space="preserve">(Theorem 2). (ii) Do not cache a source’s</w:t>
      </w:r>
      <w:r>
        <w:t xml:space="preserve"> </w:t>
      </w:r>
      <w:r>
        <w:rPr>
          <w:i/>
          <w:iCs/>
        </w:rPr>
        <w:t xml:space="preserve">value</w:t>
      </w:r>
      <w:r>
        <w:t xml:space="preserve"> </w:t>
      </w:r>
      <w:r>
        <w:t xml:space="preserve">across task families;</w:t>
      </w:r>
      <w:r>
        <w:t xml:space="preserve"> </w:t>
      </w:r>
      <w:r>
        <w:t xml:space="preserve">cache retrieval representations instead, because the value is model- and task-relative</w:t>
      </w:r>
      <w:r>
        <w:t xml:space="preserve"> </w:t>
      </w:r>
      <w:r>
        <w:t xml:space="preserve">(§7.4.4). (iii) Adding correct, on-topic text to a working prompt can break it, by</w:t>
      </w:r>
      <w:r>
        <w:t xml:space="preserve"> </w:t>
      </w:r>
      <w:r>
        <w:t xml:space="preserve">as much as</w:t>
      </w:r>
      <w:r>
        <w:t xml:space="preserve"> </w:t>
      </w:r>
      <m:oMath>
        <m:r>
          <m:t>100</m:t>
        </m:r>
        <m:r>
          <m:rPr>
            <m:sty m:val="p"/>
          </m:rPr>
          <m:t>%</m:t>
        </m:r>
        <m:r>
          <m:rPr>
            <m:sty m:val="p"/>
          </m:rPr>
          <m:t>→</m:t>
        </m:r>
        <m:r>
          <m:t>0</m:t>
        </m:r>
        <m:r>
          <m:rPr>
            <m:sty m:val="p"/>
          </m:rPr>
          <m:t>%</m:t>
        </m:r>
      </m:oMath>
      <w:r>
        <w:t xml:space="preserve">, so a regression after enlarging the context is a candidate</w:t>
      </w:r>
      <w:r>
        <w:t xml:space="preserve"> </w:t>
      </w:r>
      <w:r>
        <w:t xml:space="preserve">anti-monotonicity collapse before it is a model failure (§7.4.3).</w:t>
      </w:r>
      <w:r>
        <w:t xml:space="preserve"> </w:t>
      </w:r>
      <w:r>
        <w:t xml:space="preserve">(iv) When two candidates win on different tasks, keep both and route by task rather than forcing a</w:t>
      </w:r>
      <w:r>
        <w:t xml:space="preserve"> </w:t>
      </w:r>
      <w:r>
        <w:t xml:space="preserve">global top-</w:t>
      </w:r>
      <m:oMath>
        <m:r>
          <m:t>1</m:t>
        </m:r>
      </m:oMath>
      <w:r>
        <w:t xml:space="preserve">: the front attains the per-cell maximum of its members</w:t>
      </w:r>
      <w:r>
        <w:t xml:space="preserve"> </w:t>
      </w:r>
      <w:r>
        <w:t xml:space="preserve">(Table 6). (v) A cheap topical ranker fails exactly where the surface lexicon</w:t>
      </w:r>
      <w:r>
        <w:t xml:space="preserve"> </w:t>
      </w:r>
      <w:r>
        <w:t xml:space="preserve">points at the wrong source, which is where a listwise reader earns its cost</w:t>
      </w:r>
      <w:r>
        <w:t xml:space="preserve"> </w:t>
      </w:r>
      <w:r>
        <w:t xml:space="preserve">(Proposition 2). Each is measurable on any stack with the released</w:t>
      </w:r>
      <w:r>
        <w:t xml:space="preserve"> </w:t>
      </w:r>
      <w:r>
        <w:t xml:space="preserve">harness.</w:t>
      </w:r>
    </w:p>
    <w:bookmarkEnd w:id="103"/>
    <w:bookmarkEnd w:id="104"/>
    <w:bookmarkEnd w:id="105"/>
    <w:bookmarkStart w:id="120"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08" w:name="sec:disc-bridge"/>
    <w:p>
      <w:pPr>
        <w:pStyle w:val="Heading2"/>
      </w:pPr>
      <w:r>
        <w:t xml:space="preserve">Scope of the claims</w:t>
      </w:r>
    </w:p>
    <w:p>
      <w:pPr>
        <w:pStyle w:val="FirstParagraph"/>
      </w:pPr>
      <w:bookmarkStart w:id="106" w:name="sec:disc-deficiency"/>
      <w:bookmarkEnd w:id="106"/>
      <w:bookmarkStart w:id="107" w:name="sec:disc-certificate"/>
      <w:bookmarkEnd w:id="107"/>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builds in and our measurements confirm.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5).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08"/>
    <w:bookmarkStart w:id="110"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6).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5), with collapses as stark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0.82</m:t>
        </m:r>
      </m:oMath>
      <w:r>
        <w:t xml:space="preserve">) on Sonnet and Kimi. This is a verified empirical falsification of superset-dominance for</w:t>
      </w:r>
      <w:r>
        <w:t xml:space="preserve"> </w:t>
      </w:r>
      <w:r>
        <w:t xml:space="preserve">these fixed rules (Theorem 3): a literal superset of a sufficient signal can</w:t>
      </w:r>
      <w:r>
        <w:t xml:space="preserve"> </w:t>
      </w:r>
      <w:r>
        <w:t xml:space="preserve">sharply reduce PASS, which no monotone scalar context-value score can represent.</w:t>
      </w:r>
    </w:p>
    <w:p>
      <w:pPr>
        <w:pStyle w:val="BodyText"/>
      </w:pPr>
      <w:r>
        <w:t xml:space="preserve">Two cautions attach to it. The harm is robust across the capability ladder but not ordered by it</w:t>
      </w:r>
      <w:r>
        <w:t xml:space="preserve"> </w:t>
      </w:r>
      <w:r>
        <w:t xml:space="preserve">(§7.4.3), so we claim no capability trend. And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w:t>
      </w:r>
    </w:p>
    <w:bookmarkStart w:id="109" w:name="will-scale-restore-blackwell-coherence"/>
    <w:p>
      <w:pPr>
        <w:pStyle w:val="Heading4"/>
      </w:pPr>
      <w:r>
        <w:t xml:space="preserve">Will scale restore Blackwell coherence?</w:t>
      </w:r>
    </w:p>
    <w:p>
      <w:pPr>
        <w:pStyle w:val="FirstParagraph"/>
      </w:pPr>
      <w:r>
        <w:t xml:space="preserve">Three points on one vendor’s ladder cannot answer this, and we do not extrapolate; what the</w:t>
      </w:r>
      <w:r>
        <w:t xml:space="preserve"> </w:t>
      </w:r>
      <w:r>
        <w:t xml:space="preserve">framework contributes is the instrument, since coherence is now a verifiable property of any fixed</w:t>
      </w:r>
      <w:r>
        <w:t xml:space="preserve"> </w:t>
      </w:r>
      <w:r>
        <w:t xml:space="preserve">rule and</w:t>
      </w:r>
      <w:r>
        <w:t xml:space="preserve"> </w:t>
      </w:r>
      <w:r>
        <w:t xml:space="preserve">“</w:t>
      </w:r>
      <m:oMath>
        <m:sSub>
          <m:e>
            <m:r>
              <m:rPr>
                <m:sty m:val="p"/>
              </m:rPr>
              <m:t>Δ</m:t>
            </m:r>
          </m:e>
          <m:sub>
            <m:r>
              <m:t>T</m:t>
            </m:r>
          </m:sub>
        </m:sSub>
      </m:oMath>
      <w:r>
        <w:t xml:space="preserve"> </w:t>
      </w:r>
      <w:r>
        <w:t xml:space="preserve">versus scale”</w:t>
      </w:r>
      <w:r>
        <w:t xml:space="preserve"> </w:t>
      </w:r>
      <w:r>
        <w:t xml:space="preserve">is a measurable trajectory. Whatever that curve shows, the</w:t>
      </w:r>
      <w:r>
        <w:t xml:space="preserve"> </w:t>
      </w:r>
      <w:r>
        <w:t xml:space="preserve">central claim is unaffected: anti-monotonicity is a coherence failure of the</w:t>
      </w:r>
      <w:r>
        <w:t xml:space="preserve"> </w:t>
      </w:r>
      <w:r>
        <w:rPr>
          <w:i/>
          <w:iCs/>
        </w:rPr>
        <w:t xml:space="preserve">rule</w:t>
      </w:r>
      <w:r>
        <w:t xml:space="preserve"> </w:t>
      </w:r>
      <w:r>
        <w:t xml:space="preserve">and could</w:t>
      </w:r>
      <w:r>
        <w:t xml:space="preserve"> </w:t>
      </w:r>
      <w:r>
        <w:t xml:space="preserve">in principle vanish with scale, but incomparability is a property of the</w:t>
      </w:r>
      <w:r>
        <w:t xml:space="preserve"> </w:t>
      </w:r>
      <w:r>
        <w:rPr>
          <w:i/>
          <w:iCs/>
        </w:rPr>
        <w:t xml:space="preserve">sources</w:t>
      </w:r>
      <w:r>
        <w:t xml:space="preserve">, and</w:t>
      </w:r>
      <w:r>
        <w:t xml:space="preserve"> </w:t>
      </w:r>
      <w:r>
        <w:t xml:space="preserve">mutually non-refining signals stay incomparable however capable the reader becomes.</w:t>
      </w:r>
    </w:p>
    <w:bookmarkEnd w:id="109"/>
    <w:bookmarkEnd w:id="110"/>
    <w:bookmarkStart w:id="111"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w:t>
      </w:r>
      <w:r>
        <w:t xml:space="preserve"> </w:t>
      </w:r>
      <m:oMath>
        <m:sSub>
          <m:e>
            <m:r>
              <m:t>W</m:t>
            </m:r>
          </m:e>
          <m:sub>
            <m:r>
              <m:t>1</m:t>
            </m:r>
            <m:r>
              <m:rPr>
                <m:sty m:val="p"/>
              </m:rPr>
              <m:t>+</m:t>
            </m:r>
          </m:sub>
        </m:sSub>
      </m:oMath>
      <w:r>
        <w:t xml:space="preserve"> </w:t>
      </w:r>
      <w:r>
        <w:t xml:space="preserve">emits between</w:t>
      </w:r>
      <w:r>
        <w:t xml:space="preserve"> </w:t>
      </w:r>
      <m:oMath>
        <m:r>
          <m:rPr>
            <m:sty m:val="p"/>
          </m:rPr>
          <m:t>+</m:t>
        </m:r>
        <m:r>
          <m:t>87</m:t>
        </m:r>
        <m:r>
          <m:rPr>
            <m:sty m:val="p"/>
          </m:rPr>
          <m:t>%</m:t>
        </m:r>
      </m:oMath>
      <w:r>
        <w:t xml:space="preserve"> </w:t>
      </w:r>
      <w:r>
        <w:t xml:space="preserve">and</w:t>
      </w:r>
      <w:r>
        <w:t xml:space="preserve"> </w:t>
      </w:r>
      <m:oMath>
        <m:r>
          <m:rPr>
            <m:sty m:val="p"/>
          </m:rPr>
          <m:t>+</m:t>
        </m:r>
        <m:r>
          <m:t>281</m:t>
        </m:r>
        <m:r>
          <m:rPr>
            <m:sty m:val="p"/>
          </m:rPr>
          <m:t>%</m:t>
        </m:r>
      </m:oMath>
      <w:r>
        <w:t xml:space="preserve"> </w:t>
      </w:r>
      <w:r>
        <w:t xml:space="preserve">more output tokens than</w:t>
      </w:r>
      <w:r>
        <w:t xml:space="preserve"> </w:t>
      </w:r>
      <m:oMath>
        <m:sSub>
          <m:e>
            <m:r>
              <m:t>W</m:t>
            </m:r>
          </m:e>
          <m:sub>
            <m:r>
              <m:t>1</m:t>
            </m:r>
          </m:sub>
        </m:sSub>
      </m:oMath>
      <w:r>
        <w:t xml:space="preserve"> </w:t>
      </w:r>
      <w:r>
        <w:t xml:space="preserve">on the API collapse cells (e.g. Haiku</w:t>
      </w:r>
      <w:r>
        <w:t xml:space="preserve"> </w:t>
      </w:r>
      <m:oMath>
        <m:r>
          <m:rPr>
            <m:sty m:val="p"/>
          </m:rPr>
          <m:t>+</m:t>
        </m:r>
        <m:r>
          <m:t>106</m:t>
        </m:r>
        <m:r>
          <m:rPr>
            <m:sty m:val="p"/>
          </m:rPr>
          <m:t>%</m:t>
        </m:r>
        <m:r>
          <m:rPr>
            <m:sty m:val="p"/>
          </m:rPr>
          <m:t>/</m:t>
        </m:r>
        <m:r>
          <m:rPr>
            <m:sty m:val="p"/>
          </m:rPr>
          <m:t>+</m:t>
        </m:r>
        <m:r>
          <m:t>87</m:t>
        </m:r>
        <m:r>
          <m:rPr>
            <m:sty m:val="p"/>
          </m:rPr>
          <m:t>%</m:t>
        </m:r>
        <m:r>
          <m:rPr>
            <m:sty m:val="p"/>
          </m:rPr>
          <m:t>/</m:t>
        </m:r>
        <m:r>
          <m:rPr>
            <m:sty m:val="p"/>
          </m:rPr>
          <m:t>+</m:t>
        </m:r>
        <m:r>
          <m:t>252</m:t>
        </m:r>
        <m:r>
          <m:rPr>
            <m:sty m:val="p"/>
          </m:rPr>
          <m:t>%</m:t>
        </m:r>
      </m:oMath>
      <w:r>
        <w:t xml:space="preserve">; Sonnet</w:t>
      </w:r>
      <w:r>
        <w:t xml:space="preserve"> </w:t>
      </w:r>
      <m:oMath>
        <m:r>
          <m:rPr>
            <m:sty m:val="p"/>
          </m:rPr>
          <m:t>+</m:t>
        </m:r>
        <m:r>
          <m:t>120</m:t>
        </m:r>
        <m:r>
          <m:rPr>
            <m:sty m:val="p"/>
          </m:rPr>
          <m:t>%</m:t>
        </m:r>
        <m:r>
          <m:rPr>
            <m:sty m:val="p"/>
          </m:rPr>
          <m:t>/</m:t>
        </m:r>
        <m:r>
          <m:rPr>
            <m:sty m:val="p"/>
          </m:rPr>
          <m:t>+</m:t>
        </m:r>
        <m:r>
          <m:t>131</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One might read this as</w:t>
      </w:r>
      <w:r>
        <w:t xml:space="preserve"> </w:t>
      </w:r>
      <w:r>
        <w:t xml:space="preserve">“verbose thrashing”</w:t>
      </w:r>
      <w:r>
        <w:t xml:space="preserve"> </w:t>
      </w:r>
      <w:r>
        <w:t xml:space="preserve">causing the failure, but the relationship is correlational and uncontrolled: the</w:t>
      </w:r>
      <w:r>
        <w:t xml:space="preserve"> </w:t>
      </w:r>
      <w:r>
        <w:t xml:space="preserve">same superset arm also inflates output by</w:t>
      </w:r>
      <w:r>
        <w:t xml:space="preserve"> </w:t>
      </w:r>
      <m:oMath>
        <m:r>
          <m:rPr>
            <m:sty m:val="p"/>
          </m:rPr>
          <m:t>+</m:t>
        </m:r>
        <m:r>
          <m:t>12</m:t>
        </m:r>
        <m:r>
          <m:rPr>
            <m:sty m:val="p"/>
          </m:rPr>
          <m:t>%</m:t>
        </m:r>
      </m:oMath>
      <w:r>
        <w:t xml:space="preserve"> </w:t>
      </w:r>
      <w:r>
        <w:t xml:space="preserve">on the</w:t>
      </w:r>
      <w:r>
        <w:t xml:space="preserve"> </w:t>
      </w:r>
      <w:r>
        <w:rPr>
          <w:i/>
          <w:iCs/>
        </w:rPr>
        <w:t xml:space="preserve">still-passing</w:t>
      </w:r>
      <w:r>
        <w:t xml:space="preserve"> </w:t>
      </w:r>
      <w:r>
        <w:t xml:space="preserve">encoding cell, which</w:t>
      </w:r>
      <w:r>
        <w:t xml:space="preserve"> </w:t>
      </w:r>
      <w:r>
        <w:t xml:space="preserve">undercuts a clean</w:t>
      </w:r>
      <w:r>
        <w:t xml:space="preserve"> </w:t>
      </w:r>
      <w:r>
        <w:t xml:space="preserve">“verbosity causes collapse”</w:t>
      </w:r>
      <w:r>
        <w:t xml:space="preserve"> </w:t>
      </w:r>
      <w:r>
        <w:t xml:space="preserve">account. We therefore treat the token fingerprint as a</w:t>
      </w:r>
      <w:r>
        <w:t xml:space="preserve"> </w:t>
      </w:r>
      <w:r>
        <w:t xml:space="preserve">reproducible correlate of the harmful arm, not a mechanism.</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already constrain the hypothesis space from outside, the harm is not position (order</w:t>
      </w:r>
      <w:r>
        <w:t xml:space="preserve"> </w:t>
      </w:r>
      <w:r>
        <w:t xml:space="preserve">control), not token count (padding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while labeled XML segmentation of the</w:t>
      </w:r>
      <w:r>
        <w:t xml:space="preserve"> </w:t>
      </w:r>
      <w:r>
        <w:t xml:space="preserve">same content recovers only a minority (</w:t>
      </w:r>
      <m:oMath>
        <m:r>
          <m:t>2</m:t>
        </m:r>
        <m:r>
          <m:rPr>
            <m:sty m:val="p"/>
          </m:rPr>
          <m:t>%</m:t>
        </m:r>
        <m:r>
          <m:rPr>
            <m:sty m:val="p"/>
          </m:rPr>
          <m:t>→</m:t>
        </m:r>
        <m:r>
          <m:t>42</m:t>
        </m:r>
        <m:r>
          <m:rPr>
            <m:sty m:val="p"/>
          </m:rPr>
          <m:t>%</m:t>
        </m:r>
      </m:oMath>
      <w:r>
        <w:t xml:space="preserve"> </w:t>
      </w:r>
      <w:r>
        <w:t xml:space="preserve">against</w:t>
      </w:r>
      <w:r>
        <w:t xml:space="preserve"> </w:t>
      </w:r>
      <m:oMath>
        <m:r>
          <m:rPr>
            <m:sty m:val="p"/>
          </m:rPr>
          <m:t>→</m:t>
        </m:r>
        <m:r>
          <m:t>80</m:t>
        </m:r>
        <m:r>
          <m:rPr>
            <m:sty m:val="p"/>
          </m:rPr>
          <m:t>%</m:t>
        </m:r>
      </m:oMath>
      <w:r>
        <w:t xml:space="preserve">) locates the operative</w:t>
      </w:r>
      <w:r>
        <w:t xml:space="preserve"> </w:t>
      </w:r>
      <w:r>
        <w:t xml:space="preserve">variable in convention-to-task routing rather than formatting; this is an interpretation, not a</w:t>
      </w:r>
      <w:r>
        <w:t xml:space="preserve"> </w:t>
      </w:r>
      <w:r>
        <w:t xml:space="preserve">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true and needed</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11"/>
    <w:bookmarkStart w:id="119"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12"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ranker of</w:t>
      </w:r>
      <w:r>
        <w:t xml:space="preserve"> </w:t>
      </w:r>
      <w:r>
        <w:t xml:space="preserve">Wang et al. (2025)</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which is exactly what makes the selection safe under anti-monotonicity.</w:t>
      </w:r>
    </w:p>
    <w:bookmarkEnd w:id="112"/>
    <w:bookmarkStart w:id="113"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harm is verified in sign</w:t>
      </w:r>
      <w:r>
        <w:t xml:space="preserve"> </w:t>
      </w:r>
      <w:r>
        <w:t xml:space="preserve">(</w:t>
      </w:r>
      <m:oMath>
        <m:sSub>
          <m:e>
            <m:bar>
              <m:barPr>
                <m:pos m:val="top"/>
              </m:barPr>
              <m:e>
                <m:r>
                  <m:rPr>
                    <m:sty m:val="p"/>
                  </m:rPr>
                  <m:t>Δ</m:t>
                </m:r>
              </m:e>
            </m:bar>
          </m:e>
          <m:sub>
            <m:r>
              <m:t>T</m:t>
            </m:r>
          </m:sub>
        </m:sSub>
        <m:r>
          <m:rPr>
            <m:sty m:val="p"/>
          </m:rPr>
          <m:t>=</m:t>
        </m:r>
        <m:r>
          <m:rPr>
            <m:sty m:val="p"/>
          </m:rPr>
          <m:t>−</m:t>
        </m:r>
        <m:r>
          <m:t>0.296</m:t>
        </m:r>
      </m:oMath>
      <w:r>
        <w:t xml:space="preserve">) but not at the</w:t>
      </w:r>
      <w:r>
        <w:t xml:space="preserve"> </w:t>
      </w:r>
      <m:oMath>
        <m:r>
          <m:t>τ</m:t>
        </m:r>
        <m:r>
          <m:rPr>
            <m:sty m:val="p"/>
          </m:rPr>
          <m:t>=</m:t>
        </m:r>
        <m:r>
          <m:t>0.30</m:t>
        </m:r>
      </m:oMath>
      <w:r>
        <w:t xml:space="preserve"> </w:t>
      </w:r>
      <w:r>
        <w:t xml:space="preserve">margin, because its</w:t>
      </w:r>
      <w:r>
        <w:t xml:space="preserve"> </w:t>
      </w:r>
      <m:oMath>
        <m:r>
          <m:t>80</m:t>
        </m:r>
        <m:r>
          <m:rPr>
            <m:sty m:val="p"/>
          </m:rPr>
          <m:t>%</m:t>
        </m:r>
      </m:oMath>
      <w:r>
        <w:t xml:space="preserve"> </w:t>
      </w:r>
      <m:oMath>
        <m:sSub>
          <m:e>
            <m:r>
              <m:t>V</m:t>
            </m:r>
          </m:e>
          <m:sub>
            <m:r>
              <m:t>1</m:t>
            </m:r>
          </m:sub>
        </m:sSub>
      </m:oMath>
      <w:r>
        <w:t xml:space="preserve"> </w:t>
      </w:r>
      <w:r>
        <w:t xml:space="preserve">ceiling</w:t>
      </w:r>
      <w:r>
        <w:t xml:space="preserve"> </w:t>
      </w:r>
      <w:r>
        <w:t xml:space="preserve">keeps the bound wide;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13"/>
    <w:bookmarkStart w:id="114"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4"/>
    <w:bookmarkStart w:id="115"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w:t>
      </w:r>
    </w:p>
    <w:bookmarkEnd w:id="115"/>
    <w:bookmarkStart w:id="116"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and inexpensive: draw document pairs from a natural corpus, run the same verification</w:t>
      </w:r>
      <w:r>
        <w:t xml:space="preserve"> </w:t>
      </w:r>
      <w:r>
        <w:t xml:space="preserve">battery unchanged, and report the fraction of pairs that verify incomparable and the fraction of</w:t>
      </w:r>
      <w:r>
        <w:t xml:space="preserve"> </w:t>
      </w:r>
      <w:r>
        <w:t xml:space="preserve">superset unions that verify harmful, with the sampling frame stated. We name it as the open</w:t>
      </w:r>
      <w:r>
        <w:t xml:space="preserve"> </w:t>
      </w:r>
      <w:r>
        <w:t xml:space="preserve">question rather than approximate it here, because a prevalence figure computed from hand-built</w:t>
      </w:r>
      <w:r>
        <w:t xml:space="preserve"> </w:t>
      </w:r>
      <w:r>
        <w:t xml:space="preserve">pairs would be circular.</w:t>
      </w:r>
    </w:p>
    <w:bookmarkEnd w:id="116"/>
    <w:bookmarkStart w:id="117"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which holds because each draw is an independent</w:t>
      </w:r>
      <w:r>
        <w:t xml:space="preserve"> </w:t>
      </w:r>
      <w:r>
        <w:t xml:space="preserve">single-shot call (protocol in Appendix C); marginal-versus-joint control is discussed</w:t>
      </w:r>
      <w:r>
        <w:t xml:space="preserve"> </w:t>
      </w:r>
      <w:r>
        <w:t xml:space="preserve">in §8.1.</w:t>
      </w:r>
    </w:p>
    <w:bookmarkEnd w:id="117"/>
    <w:bookmarkStart w:id="118"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18"/>
    <w:bookmarkEnd w:id="119"/>
    <w:bookmarkEnd w:id="120"/>
    <w:bookmarkStart w:id="121" w:name="sec:conclusion"/>
    <w:p>
      <w:pPr>
        <w:pStyle w:val="Heading1"/>
      </w:pPr>
      <w:r>
        <w:t xml:space="preserve">Conclusion</w:t>
      </w:r>
    </w:p>
    <w:p>
      <w:pPr>
        <w:pStyle w:val="FirstParagraph"/>
      </w:pPr>
      <w:r>
        <w:t xml:space="preserve">Context selection is, at bottom, a partial-order problem, not a scalar one. When two sources are</w:t>
      </w:r>
      <w:r>
        <w:t xml:space="preserve"> </w:t>
      </w:r>
      <w:r>
        <w:t xml:space="preserve">incomparable, no single per-source score, relevance or utility, can rank them correctly for all</w:t>
      </w:r>
      <w:r>
        <w:t xml:space="preserve"> </w:t>
      </w:r>
      <w:r>
        <w:t xml:space="preserve">tasks (Theorem 2),</w:t>
      </w:r>
      <w:r>
        <w:t xml:space="preserve"> </w:t>
      </w:r>
      <w:r>
        <w:t xml:space="preserve">which explains the field’s</w:t>
      </w:r>
      <w:r>
        <w:t xml:space="preserve"> </w:t>
      </w:r>
      <w:r>
        <w:t xml:space="preserve">“relevance does not transfer”</w:t>
      </w:r>
      <w:r>
        <w:t xml:space="preserve"> </w:t>
      </w:r>
      <w:r>
        <w:t xml:space="preserve">folklore and gives utility-centric</w:t>
      </w:r>
      <w:r>
        <w:t xml:space="preserve"> </w:t>
      </w:r>
      <w:r>
        <w:t xml:space="preserve">retrieval its formal boundary.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all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 and</w:t>
      </w:r>
      <w:r>
        <w:t xml:space="preserve"> </w:t>
      </w:r>
      <w:r>
        <w:t xml:space="preserve">tracks a vendor’s training rather than raw capability.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length-matched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a theorem about</w:t>
      </w:r>
      <w:r>
        <w:t xml:space="preserve"> </w:t>
      </w:r>
      <w:r>
        <w:rPr>
          <w:i/>
          <w:iCs/>
        </w:rPr>
        <w:t xml:space="preserve">cheap</w:t>
      </w:r>
      <w:r>
        <w:t xml:space="preserve"> </w:t>
      </w:r>
      <w:r>
        <w:t xml:space="preserve">selection: per-source scalars</w:t>
      </w:r>
      <w:r>
        <w:t xml:space="preserve"> </w:t>
      </w:r>
      <w:r>
        <w:t xml:space="preserve">(Theorem 2) and topical query-conditioned scores</w:t>
      </w:r>
      <w:r>
        <w:t xml:space="preserve"> </w:t>
      </w:r>
      <w:r>
        <w:t xml:space="preserve">(Proposition 2), not all context selection.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The hierarchy is computational: scalar scores cannot represent</w:t>
      </w:r>
      <w:r>
        <w:t xml:space="preserve"> </w:t>
      </w:r>
      <w:r>
        <w:t xml:space="preserve">the order, and probes that read content can measure it, at probe cost.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21"/>
    <w:bookmarkStart w:id="122" w:name="author-contributions"/>
    <w:p>
      <w:pPr>
        <w:pStyle w:val="Heading1"/>
      </w:pPr>
      <w:r>
        <w:t xml:space="preserve">Author Contributions</w:t>
      </w:r>
    </w:p>
    <w:p>
      <w:pPr>
        <w:pStyle w:val="FirstParagraph"/>
      </w:pPr>
      <w:r>
        <w:t xml:space="preserve">Conceptualization, A.B. and O.R.; methodology, A.B. and O.R.; software, A.B.; validation, A.B.</w:t>
      </w:r>
      <w:r>
        <w:t xml:space="preserve"> </w:t>
      </w:r>
      <w:r>
        <w:t xml:space="preserve">and O.R.; formal analysis, A.B. and O.R.; investigation, A.B.; data curation, A.B.;</w:t>
      </w:r>
      <w:r>
        <w:t xml:space="preserve"> </w:t>
      </w:r>
      <w:r>
        <w:t xml:space="preserve">writing—original draft preparation, A.B.; writing—review and editing, A.B. and O.R.;</w:t>
      </w:r>
      <w:r>
        <w:t xml:space="preserve"> </w:t>
      </w:r>
      <w:r>
        <w:t xml:space="preserve">visualization, A.B. All authors have read and agreed to the published version of the manuscript.</w:t>
      </w:r>
    </w:p>
    <w:bookmarkEnd w:id="122"/>
    <w:bookmarkStart w:id="123"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C were borne by the authors.</w:t>
      </w:r>
    </w:p>
    <w:bookmarkEnd w:id="123"/>
    <w:bookmarkStart w:id="124"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24"/>
    <w:bookmarkStart w:id="125" w:name="informed-consent-statement"/>
    <w:p>
      <w:pPr>
        <w:pStyle w:val="Heading1"/>
      </w:pPr>
      <w:r>
        <w:t xml:space="preserve">Informed Consent Statement</w:t>
      </w:r>
    </w:p>
    <w:p>
      <w:pPr>
        <w:pStyle w:val="FirstParagraph"/>
      </w:pPr>
      <w:r>
        <w:t xml:space="preserve">Not applicable.</w:t>
      </w:r>
    </w:p>
    <w:bookmarkEnd w:id="125"/>
    <w:bookmarkStart w:id="126" w:name="data-availability-statement"/>
    <w:p>
      <w:pPr>
        <w:pStyle w:val="Heading1"/>
      </w:pPr>
      <w:r>
        <w:t xml:space="preserve">Data Availability Statement</w:t>
      </w:r>
    </w:p>
    <w:p>
      <w:pPr>
        <w:pStyle w:val="FirstParagraph"/>
      </w:pPr>
      <w:r>
        <w:t xml:space="preserve">All data, code and machine-checked proofs supporting the reported results are openly available at</w:t>
      </w:r>
      <w:r>
        <w:t xml:space="preserve"> </w:t>
      </w:r>
      <w:hyperlink r:id="rId75">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the raw-completion diagnostic records of §7.5.1, and</w:t>
      </w:r>
      <w:r>
        <w:t xml:space="preserve"> </w:t>
      </w:r>
      <w:r>
        <w:t xml:space="preserve">the Lean 4 formalization of Remark 3 with the continuous-integration job that</w:t>
      </w:r>
      <w:r>
        <w:t xml:space="preserve"> </w:t>
      </w:r>
      <w:r>
        <w:t xml:space="preserve">re-checks it. No data were withheld; every reported figure is computed from those files by the</w:t>
      </w:r>
      <w:r>
        <w:t xml:space="preserve"> </w:t>
      </w:r>
      <w:r>
        <w:t xml:space="preserve">released scripts.</w:t>
      </w:r>
    </w:p>
    <w:bookmarkEnd w:id="126"/>
    <w:bookmarkStart w:id="127" w:name="conflicts-of-interest"/>
    <w:p>
      <w:pPr>
        <w:pStyle w:val="Heading1"/>
      </w:pPr>
      <w:r>
        <w:t xml:space="preserve">Conflicts of Interest</w:t>
      </w:r>
    </w:p>
    <w:p>
      <w:pPr>
        <w:pStyle w:val="FirstParagraph"/>
      </w:pPr>
      <w:r>
        <w:t xml:space="preserve">The authors declare no conflict of interest.</w:t>
      </w:r>
    </w:p>
    <w:bookmarkEnd w:id="127"/>
    <w:bookmarkStart w:id="128"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28"/>
    <w:bookmarkStart w:id="140" w:name="app:proofs"/>
    <w:p>
      <w:pPr>
        <w:pStyle w:val="Heading1"/>
      </w:pPr>
      <w:r>
        <w:t xml:space="preserve">Deferred proofs and technical material</w:t>
      </w:r>
    </w:p>
    <w:bookmarkStart w:id="129"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29"/>
    <w:bookmarkStart w:id="130"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But</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the first inequality because</w:t>
      </w:r>
      <w:r>
        <w:t xml:space="preserve"> </w:t>
      </w:r>
      <w:r>
        <w:t xml:space="preserve">the optimal rule weakly improves on any fixed rule, the second by hypothesis, a contradiction.</w:t>
      </w:r>
      <w:r>
        <w:t xml:space="preserve"> </w:t>
      </w:r>
      <w:r>
        <w:t xml:space="preserve">Hence</w:t>
      </w:r>
      <w:r>
        <w:t xml:space="preserve"> </w:t>
      </w:r>
      <m:oMath>
        <m:sSub>
          <m:e>
            <m:r>
              <m:t>W</m:t>
            </m:r>
          </m:e>
          <m:sub>
            <m:r>
              <m:t>2</m:t>
            </m:r>
          </m:sub>
        </m:sSub>
        <m:sSub>
          <m:e>
            <m:r>
              <m:rPr>
                <m:sty m:val="p"/>
              </m:rPr>
              <m:t>⋡</m:t>
            </m:r>
          </m:e>
          <m:sub>
            <m:r>
              <m:t>B</m:t>
            </m:r>
          </m:sub>
        </m:sSub>
        <m:sSub>
          <m:e>
            <m:r>
              <m:t>W</m:t>
            </m:r>
          </m:e>
          <m:sub>
            <m:r>
              <m:t>1</m:t>
            </m:r>
          </m:sub>
        </m:sSub>
      </m:oMath>
      <w:r>
        <w:t xml:space="preserve">. Symmetrically,</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r>
          <m:rPr>
            <m:sty m:val="p"/>
          </m:rPr>
          <m: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Neither dominance direction holds,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The caps are essential: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 Blackwell</w:t>
      </w:r>
      <w:r>
        <w:t xml:space="preserve"> </w:t>
      </w:r>
      <w:r>
        <w:rPr>
          <w:i/>
          <w:iCs/>
        </w:rPr>
        <w:t xml:space="preserve">equivalence</w:t>
      </w:r>
      <w:r>
        <w:t xml:space="preserve">, since a fixed rule keyed to one signal’s surface form can under-perform on</w:t>
      </w:r>
      <w:r>
        <w:t xml:space="preserve"> </w:t>
      </w:r>
      <w:r>
        <w:t xml:space="preserve">the other, exactly the non-coherence phenomenon Theorem 3 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30"/>
    <w:bookmarkStart w:id="131"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31"/>
    <w:bookmarkStart w:id="132"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2"/>
    <w:bookmarkStart w:id="133" w:name="proof-of-proposition-4"/>
    <w:p>
      <w:pPr>
        <w:pStyle w:val="Heading2"/>
      </w:pPr>
      <w:r>
        <w:t xml:space="preserve">Proof of Proposition 4</w:t>
      </w:r>
    </w:p>
    <w:p>
      <w:pPr>
        <w:pStyle w:val="FirstParagraph"/>
      </w:pPr>
      <w:r>
        <w:rPr>
          <w:i/>
          <w:iCs/>
        </w:rPr>
        <w:t xml:space="preserve">Proof.</w:t>
      </w:r>
      <w:r>
        <w:t xml:space="preserve"> </w:t>
      </w:r>
      <w:r>
        <w:t xml:space="preserve">The four arms are independent Bernoulli samples (separate completions), so on the intersection of</w:t>
      </w:r>
      <w:r>
        <w:t xml:space="preserve"> </w:t>
      </w:r>
      <w:r>
        <w:t xml:space="preserve">the four Clopper–Pearson events, probability</w:t>
      </w:r>
      <w:r>
        <w:t xml:space="preserve"> </w:t>
      </w:r>
      <m:oMath>
        <m:r>
          <m:rPr>
            <m:sty m:val="p"/>
          </m:rPr>
          <m:t>≥</m:t>
        </m:r>
        <m:r>
          <m:t>1</m:t>
        </m:r>
        <m:r>
          <m:rPr>
            <m:sty m:val="p"/>
          </m:rPr>
          <m:t>−</m:t>
        </m:r>
        <m:r>
          <m:t>4</m:t>
        </m:r>
        <m:r>
          <m:t>α</m:t>
        </m:r>
        <m:r>
          <m:rPr>
            <m:sty m:val="p"/>
          </m:rPr>
          <m:t>=</m:t>
        </m:r>
        <m:r>
          <m:t>1</m:t>
        </m:r>
        <m:r>
          <m:rPr>
            <m:sty m:val="p"/>
          </m:rPr>
          <m:t>−</m:t>
        </m:r>
        <m:r>
          <m:t>η</m:t>
        </m:r>
      </m:oMath>
      <w:r>
        <w:t xml:space="preserve"> </w:t>
      </w:r>
      <w:r>
        <w:t xml:space="preserve">by the union</w:t>
      </w:r>
      <w:r>
        <w:t xml:space="preserve"> </w:t>
      </w:r>
      <w:r>
        <w:t xml:space="preserve">bound, each true proportion lies in its interval. Substituting the coverage-respecting endpoint for</w:t>
      </w:r>
      <w:r>
        <w:t xml:space="preserve"> </w:t>
      </w:r>
      <w:r>
        <w:t xml:space="preserve">each term of (6) (upper endpoints for the positively-signed</w:t>
      </w:r>
      <w:r>
        <w:t xml:space="preserve"> </w:t>
      </w:r>
      <m:oMath>
        <m:sSub>
          <m:e>
            <m:r>
              <m:t>p</m:t>
            </m:r>
          </m:e>
          <m:sub>
            <m:sSub>
              <m:e>
                <m:r>
                  <m:t>W</m:t>
                </m:r>
              </m:e>
              <m:sub>
                <m:r>
                  <m:t>1</m:t>
                </m:r>
                <m:r>
                  <m:rPr>
                    <m:sty m:val="p"/>
                  </m:rPr>
                  <m:t>+</m:t>
                </m:r>
              </m:sub>
            </m:sSub>
          </m:sub>
        </m:sSub>
        <m:r>
          <m:rPr>
            <m:sty m:val="p"/>
          </m:rPr>
          <m:t>,</m:t>
        </m:r>
        <m:sSub>
          <m:e>
            <m:r>
              <m:t>p</m:t>
            </m:r>
          </m:e>
          <m:sub>
            <m:r>
              <m:rPr>
                <m:nor/>
                <m:scr m:val="monospace"/>
                <m:sty m:val="p"/>
              </m:rPr>
              <m:t>none</m:t>
            </m:r>
          </m:sub>
        </m:sSub>
      </m:oMath>
      <w:r>
        <w:t xml:space="preserve">, lower endpoints for the negatively-signed</w:t>
      </w:r>
      <w:r>
        <w:t xml:space="preserve"> </w:t>
      </w:r>
      <m:oMath>
        <m:sSub>
          <m:e>
            <m:r>
              <m:t>p</m:t>
            </m:r>
          </m:e>
          <m:sub>
            <m:sSub>
              <m:e>
                <m:r>
                  <m:t>W</m:t>
                </m:r>
              </m:e>
              <m:sub>
                <m:r>
                  <m:t>1</m:t>
                </m:r>
              </m:sub>
            </m:sSub>
          </m:sub>
        </m:sSub>
        <m:r>
          <m:rPr>
            <m:sty m:val="p"/>
          </m:rPr>
          <m:t>,</m:t>
        </m:r>
        <m:sSub>
          <m:e>
            <m:r>
              <m:t>p</m:t>
            </m:r>
          </m:e>
          <m:sub>
            <m:sSub>
              <m:e>
                <m:r>
                  <m:t>W</m:t>
                </m:r>
              </m:e>
              <m:sub>
                <m:r>
                  <m:t>2</m:t>
                </m:r>
              </m:sub>
            </m:sSub>
          </m:sub>
        </m:sSub>
      </m:oMath>
      <w:r>
        <w:t xml:space="preserve">) gives</w:t>
      </w:r>
      <w:r>
        <w:t xml:space="preserve"> </w:t>
      </w:r>
      <m:oMath>
        <m:sSub>
          <m:e>
            <m:r>
              <m:rPr>
                <m:sty m:val="p"/>
              </m:rPr>
              <m:t>Ψ</m:t>
            </m:r>
          </m:e>
          <m:sub>
            <m:sSup>
              <m:e>
                <m:r>
                  <m:t>T</m:t>
                </m:r>
              </m:e>
              <m:sup>
                <m:r>
                  <m:rPr>
                    <m:sty m:val="p"/>
                  </m:rPr>
                  <m:t>⋆</m:t>
                </m:r>
              </m:sup>
            </m:sSup>
          </m:sub>
        </m:sSub>
        <m:r>
          <m:rPr>
            <m:sty m:val="p"/>
          </m:rPr>
          <m:t>≤</m:t>
        </m:r>
        <m:sSub>
          <m:e>
            <m:bar>
              <m:barPr>
                <m:pos m:val="top"/>
              </m:barPr>
              <m:e>
                <m:r>
                  <m:rPr>
                    <m:sty m:val="p"/>
                  </m:rPr>
                  <m:t>Ψ</m:t>
                </m:r>
              </m:e>
            </m:bar>
          </m:e>
          <m:sub>
            <m:sSup>
              <m:e>
                <m:r>
                  <m:t>T</m:t>
                </m:r>
              </m:e>
              <m:sup>
                <m:r>
                  <m:rPr>
                    <m:sty m:val="p"/>
                  </m:rPr>
                  <m:t>⋆</m:t>
                </m:r>
              </m:sup>
            </m:sSup>
          </m:sub>
        </m:sSub>
      </m:oMath>
      <w:r>
        <w:t xml:space="preserve"> </w:t>
      </w:r>
      <w:r>
        <w:t xml:space="preserve">on that event. For a post-hoc selected cell, replacing</w:t>
      </w:r>
      <w:r>
        <w:t xml:space="preserve"> </w:t>
      </w:r>
      <m:oMath>
        <m:r>
          <m:t>α</m:t>
        </m:r>
      </m:oMath>
      <w:r>
        <w:t xml:space="preserve"> </w:t>
      </w:r>
      <w:r>
        <w:t xml:space="preserve">by</w:t>
      </w:r>
      <w:r>
        <w:t xml:space="preserve"> </w:t>
      </w:r>
      <m:oMath>
        <m:r>
          <m:t>η</m:t>
        </m:r>
        <m:r>
          <m:rPr>
            <m:sty m:val="p"/>
          </m:rPr>
          <m:t>/</m:t>
        </m:r>
        <m:r>
          <m:rPr>
            <m:sty m:val="p"/>
          </m:rPr>
          <m:t>(</m:t>
        </m:r>
        <m:r>
          <m:t>4</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4</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3"/>
    <w:bookmarkStart w:id="134"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By Theorem 1 any rule whose value respects</w:t>
      </w:r>
      <w:r>
        <w:t xml:space="preserve"> </w:t>
      </w:r>
      <m:oMath>
        <m:sSub>
          <m:e>
            <m:r>
              <m:rPr>
                <m:sty m:val="p"/>
              </m:rPr>
              <m:t>≽</m:t>
            </m:r>
          </m:e>
          <m:sub>
            <m:r>
              <m:t>B</m:t>
            </m:r>
          </m:sub>
        </m:sSub>
      </m:oMath>
      <w:r>
        <w:t xml:space="preserve"> </w:t>
      </w:r>
      <w:r>
        <w:t xml:space="preserve">weakly improves under the dominating experiment. The hypothesized strict decrease</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contradicts monotonicity, so</w:t>
      </w:r>
      <w:r>
        <w:t xml:space="preserve"> </w:t>
      </w:r>
      <m:oMath>
        <m:sSub>
          <m:e>
            <m:r>
              <m:t>δ</m:t>
            </m:r>
          </m:e>
          <m:sub>
            <m:r>
              <m:t>M</m:t>
            </m:r>
          </m:sub>
        </m:sSub>
      </m:oMath>
      <w:r>
        <w:t xml:space="preserve"> </w:t>
      </w:r>
      <w:r>
        <w:t xml:space="preserve">is not Blackwell-coherent.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4"/>
    <w:bookmarkStart w:id="136" w:name="why-a-naive-dkw-bound-fails"/>
    <w:p>
      <w:pPr>
        <w:pStyle w:val="Heading2"/>
      </w:pPr>
      <w:r>
        <w:t xml:space="preserve">Why a naive DKW bound fails</w:t>
      </w:r>
    </w:p>
    <w:bookmarkStart w:id="135" w:name="rem:dkw"/>
    <w:p>
      <w:pPr>
        <w:pStyle w:val="FirstParagraph"/>
      </w:pPr>
      <w:r>
        <w:rPr>
          <w:i/>
          <w:iCs/>
        </w:rPr>
        <w:t xml:space="preserve">Remark 7</w:t>
      </w:r>
      <w:r>
        <w:t xml:space="preserve"> </w:t>
      </w:r>
      <w:r>
        <w:t xml:space="preserve">(Why a naive DKW bound fails).</w:t>
      </w:r>
      <w:r>
        <w:t xml:space="preserve"> </w:t>
      </w:r>
      <w:r>
        <w:t xml:space="preserve"> </w:t>
      </w:r>
      <w:r>
        <w:t xml:space="preserve">The Dvoretzky–Kiefer–Wolfowitz inequality </w:t>
      </w:r>
      <w:r>
        <w:t xml:space="preserve">(Dvoretzky et al. 1956)</w:t>
      </w:r>
      <w:r>
        <w:t xml:space="preserve"> </w:t>
      </w:r>
      <w:r>
        <w:t xml:space="preserve">bounds the sup-deviation of</w:t>
      </w:r>
      <w:r>
        <w:t xml:space="preserve"> </w:t>
      </w:r>
      <w:r>
        <w:rPr>
          <w:i/>
          <w:iCs/>
        </w:rPr>
        <w:t xml:space="preserve">one</w:t>
      </w:r>
      <w:r>
        <w:t xml:space="preserve"> </w:t>
      </w:r>
      <w:r>
        <w:t xml:space="preserve">empirical CDF from</w:t>
      </w:r>
      <w:r>
        <w:t xml:space="preserve"> </w:t>
      </w:r>
      <w:r>
        <w:rPr>
          <w:i/>
          <w:iCs/>
        </w:rPr>
        <w:t xml:space="preserve">its own</w:t>
      </w:r>
      <w:r>
        <w:t xml:space="preserve"> </w:t>
      </w:r>
      <w:r>
        <w:t xml:space="preserve">population CDF over a single i.i.d. sample. Our object</w:t>
      </w:r>
      <w:r>
        <w:t xml:space="preserve"> </w:t>
      </w:r>
      <w:r>
        <w:t xml:space="preserve">is different in two ways that DKW does not handle: it is a</w:t>
      </w:r>
      <w:r>
        <w:t xml:space="preserve"> </w:t>
      </w:r>
      <m:oMath>
        <m:r>
          <m:rPr>
            <m:sty m:val="p"/>
          </m:rPr>
          <m:t>max</m:t>
        </m:r>
      </m:oMath>
      <w:r>
        <w:t xml:space="preserve"> </w:t>
      </w:r>
      <w:r>
        <w:t xml:space="preserve">over</w:t>
      </w:r>
      <w:r>
        <w:t xml:space="preserve"> </w:t>
      </w:r>
      <m:oMath>
        <m:r>
          <m:rPr>
            <m:sty m:val="p"/>
          </m:rPr>
          <m:t>|</m:t>
        </m:r>
        <m:r>
          <m:rPr>
            <m:scr m:val="script"/>
            <m:sty m:val="p"/>
          </m:rPr>
          <m:t>D</m:t>
        </m:r>
        <m:r>
          <m:rPr>
            <m:sty m:val="p"/>
          </m:rPr>
          <m:t>|</m:t>
        </m:r>
      </m:oMath>
      <w:r>
        <w:t xml:space="preserve"> </w:t>
      </w:r>
      <w:r>
        <w:rPr>
          <w:i/>
          <w:iCs/>
        </w:rPr>
        <w:t xml:space="preserve">differences of</w:t>
      </w:r>
      <w:r>
        <w:rPr>
          <w:i/>
          <w:iCs/>
        </w:rPr>
        <w:t xml:space="preserve"> </w:t>
      </w:r>
      <w:r>
        <w:rPr>
          <w:i/>
          <w:iCs/>
        </w:rPr>
        <w:t xml:space="preserve">two binomial means across distinct cells</w:t>
      </w:r>
      <w:r>
        <w:t xml:space="preserve">, and the</w:t>
      </w:r>
      <w:r>
        <w:t xml:space="preserve"> </w:t>
      </w:r>
      <m:oMath>
        <m:r>
          <m:rPr>
            <m:sty m:val="p"/>
          </m:rPr>
          <m:t>max</m:t>
        </m:r>
      </m:oMath>
      <w:r>
        <w:t xml:space="preserve"> </w:t>
      </w:r>
      <w:r>
        <w:rPr>
          <w:i/>
          <w:iCs/>
        </w:rPr>
        <w:t xml:space="preserve">selects</w:t>
      </w:r>
      <w:r>
        <w:t xml:space="preserve"> </w:t>
      </w:r>
      <w:r>
        <w:t xml:space="preserve">the argmax-gap cell. A</w:t>
      </w:r>
      <w:r>
        <w:t xml:space="preserve"> </w:t>
      </w:r>
      <w:r>
        <w:t xml:space="preserve">single-sample sup inequality neither spans distinct cells nor pays for the selection, so its nominal</w:t>
      </w:r>
      <w:r>
        <w:t xml:space="preserve"> </w:t>
      </w:r>
      <w:r>
        <w:t xml:space="preserve">level under-covers a supremum over</w:t>
      </w:r>
      <w:r>
        <w:t xml:space="preserve"> </w:t>
      </w:r>
      <m:oMath>
        <m:r>
          <m:rPr>
            <m:sty m:val="p"/>
          </m:rPr>
          <m:t>|</m:t>
        </m:r>
        <m:r>
          <m:rPr>
            <m:scr m:val="script"/>
            <m:sty m:val="p"/>
          </m:rPr>
          <m:t>D</m:t>
        </m:r>
        <m:r>
          <m:rPr>
            <m:sty m:val="p"/>
          </m:rPr>
          <m:t>|</m:t>
        </m:r>
      </m:oMath>
      <w:r>
        <w:t xml:space="preserve"> </w:t>
      </w:r>
      <w:r>
        <w:t xml:space="preserve">comparisons; the Type-I error grows with</w:t>
      </w:r>
      <w:r>
        <w:t xml:space="preserve"> </w:t>
      </w:r>
      <m:oMath>
        <m:r>
          <m:rPr>
            <m:sty m:val="p"/>
          </m:rPr>
          <m:t>|</m:t>
        </m:r>
        <m:r>
          <m:rPr>
            <m:scr m:val="script"/>
            <m:sty m:val="p"/>
          </m:rPr>
          <m:t>D</m:t>
        </m:r>
        <m:r>
          <m:rPr>
            <m:sty m:val="p"/>
          </m:rPr>
          <m:t>|</m:t>
        </m:r>
      </m:oMath>
      <w:r>
        <w:t xml:space="preserve">. The</w:t>
      </w:r>
      <w:r>
        <w:t xml:space="preserve"> </w:t>
      </w:r>
      <w:r>
        <w:t xml:space="preserve">multiplicity must be paid explicitly via the union bound (Proposition 3), not</w:t>
      </w:r>
      <w:r>
        <w:t xml:space="preserve"> </w:t>
      </w:r>
      <w:r>
        <w:t xml:space="preserve">absorbed into a single-sample DKW envelope.</w:t>
      </w:r>
    </w:p>
    <w:bookmarkEnd w:id="135"/>
    <w:bookmarkEnd w:id="136"/>
    <w:bookmarkStart w:id="138" w:name="relation-to-llm-evaluation-statistics"/>
    <w:p>
      <w:pPr>
        <w:pStyle w:val="Heading2"/>
      </w:pPr>
      <w:r>
        <w:t xml:space="preserve">Relation to LLM-evaluation statistics</w:t>
      </w:r>
    </w:p>
    <w:bookmarkStart w:id="137" w:name="rem:evalstats"/>
    <w:p>
      <w:pPr>
        <w:pStyle w:val="FirstParagraph"/>
      </w:pPr>
      <w:r>
        <w:rPr>
          <w:i/>
          <w:iCs/>
        </w:rPr>
        <w:t xml:space="preserve">Remark 8</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37"/>
    <w:bookmarkEnd w:id="138"/>
    <w:bookmarkStart w:id="139"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collapses to</w:t>
      </w:r>
      <w:r>
        <w:t xml:space="preserve"> </w:t>
      </w:r>
      <w:r>
        <w:t xml:space="preserve">a one-sided bound that clears</w:t>
      </w:r>
      <w:r>
        <w:t xml:space="preserve"> </w:t>
      </w:r>
      <m:oMath>
        <m:r>
          <m:t>0</m:t>
        </m:r>
      </m:oMath>
      <w:r>
        <w:t xml:space="preserve"> </w:t>
      </w:r>
      <w:r>
        <w:t xml:space="preserve">even at small</w:t>
      </w:r>
      <w:r>
        <w:t xml:space="preserve"> </w:t>
      </w:r>
      <m:oMath>
        <m:r>
          <m:t>n</m:t>
        </m:r>
      </m:oMath>
      <w:r>
        <w:t xml:space="preserve">, and the incomparability verification</w:t>
      </w:r>
      <w:r>
        <w:t xml:space="preserve"> </w:t>
      </w:r>
      <w:r>
        <w:t xml:space="preserve">(5)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(7) needs the gap between two arms to exceed</w:t>
      </w:r>
      <w:r>
        <w:t xml:space="preserve"> </w:t>
      </w:r>
      <m:oMath>
        <m:r>
          <m:t>τ</m:t>
        </m:r>
      </m:oMath>
      <w:r>
        <w:t xml:space="preserve"> </w:t>
      </w:r>
      <w:r>
        <w:t xml:space="preserve">after both intervals are paid for, so a mild collapse from a non-endpoint arm, as in the</w:t>
      </w:r>
      <w:r>
        <w:t xml:space="preserve"> </w:t>
      </w:r>
      <w:r>
        <w:t xml:space="preserve">import-neutralized Haiku control (</w:t>
      </w:r>
      <m:oMath>
        <m:r>
          <m:t>100</m:t>
        </m:r>
        <m:r>
          <m:rPr>
            <m:sty m:val="p"/>
          </m:rPr>
          <m:t>%</m:t>
        </m:r>
        <m:r>
          <m:t>​</m:t>
        </m:r>
        <m:r>
          <m:rPr>
            <m:sty m:val="p"/>
          </m:rPr>
          <m:t>→</m:t>
        </m:r>
        <m:r>
          <m:t>​</m:t>
        </m:r>
        <m:r>
          <m:t>52</m:t>
        </m:r>
        <m:r>
          <m:rPr>
            <m:sty m:val="p"/>
          </m:rPr>
          <m:t>%</m:t>
        </m:r>
      </m:oMath>
      <w:r>
        <w:t xml:space="preserve">), is verified in sign but not at</w:t>
      </w:r>
      <w:r>
        <w:t xml:space="preserve"> </w:t>
      </w:r>
      <m:oMath>
        <m:r>
          <m:t>τ</m:t>
        </m:r>
        <m:r>
          <m:rPr>
            <m:sty m:val="p"/>
          </m:rPr>
          <m:t>=</m:t>
        </m:r>
        <m:r>
          <m:t>0.30</m:t>
        </m:r>
      </m:oMath>
      <w:r>
        <w:t xml:space="preserve"> </w:t>
      </w:r>
      <w:r>
        <w:t xml:space="preserve">at</w:t>
      </w:r>
      <w:r>
        <w:t xml:space="preserve"> </w:t>
      </w:r>
      <m:oMath>
        <m:r>
          <m:t>n</m:t>
        </m:r>
        <m:r>
          <m:rPr>
            <m:sty m:val="p"/>
          </m:rPr>
          <m:t>=</m:t>
        </m:r>
        <m:r>
          <m:t>40</m:t>
        </m:r>
      </m:oMath>
      <w:r>
        <w:t xml:space="preserve">; that cell would clear at</w:t>
      </w:r>
      <w:r>
        <w:t xml:space="preserve"> </w:t>
      </w:r>
      <m:oMath>
        <m:r>
          <m:t>n</m:t>
        </m:r>
        <m:r>
          <m:rPr>
            <m:sty m:val="p"/>
          </m:rPr>
          <m:t>≈</m:t>
        </m:r>
        <m:r>
          <m:t>80</m:t>
        </m:r>
      </m:oMath>
      <w:r>
        <w:t xml:space="preserve">.</w:t>
      </w:r>
    </w:p>
    <w:bookmarkEnd w:id="139"/>
    <w:bookmarkEnd w:id="140"/>
    <w:bookmarkStart w:id="147" w:name="app:record"/>
    <w:p>
      <w:pPr>
        <w:pStyle w:val="Heading1"/>
      </w:pPr>
      <w:r>
        <w:t xml:space="preserve">Extended experimental record</w:t>
      </w:r>
    </w:p>
    <w:bookmarkStart w:id="141" w:name="tab:percell"/>
    <w:p>
      <w:pPr>
        <w:pStyle w:val="TableCaption"/>
      </w:pPr>
      <w:r>
        <w:t xml:space="preserve">Per-cell PASS rates (</w:t>
      </w:r>
      <m:oMath>
        <m:r>
          <m:rPr>
            <m:sty m:val="p"/>
          </m:rPr>
          <m:t>%</m:t>
        </m:r>
      </m:oMath>
      <w:r>
        <w:t xml:space="preserve">) for all four verified cells, by arm, all single-shot at</w:t>
      </w:r>
      <w:r>
        <w:t xml:space="preserve"> </w:t>
      </w:r>
      <m:oMath>
        <m:r>
          <m:t>n</m:t>
        </m:r>
        <m:r>
          <m:rPr>
            <m:sty m:val="p"/>
          </m:rPr>
          <m:t>=</m:t>
        </m:r>
        <m:r>
          <m:t>40</m:t>
        </m:r>
      </m:oMath>
      <w:r>
        <w:t xml:space="preserve">.</w:t>
      </w:r>
      <w:r>
        <w:t xml:space="preserve"> </w:t>
      </w:r>
      <w:r>
        <w:t xml:space="preserve">Every model was measured on every cell and arm. The encoding rows (</w:t>
      </w:r>
      <w:r>
        <w:rPr>
          <w:rStyle w:val="VerbatimChar"/>
        </w:rPr>
        <w:t xml:space="preserve">enc_amount</w:t>
      </w:r>
      <w:r>
        <w:t xml:space="preserve">) carry the</w:t>
      </w:r>
      <w:r>
        <w:t xml:space="preserve"> </w:t>
      </w:r>
      <m:oMath>
        <m:sSub>
          <m:e>
            <m:r>
              <m:t>W</m:t>
            </m:r>
          </m:e>
          <m:sub>
            <m:r>
              <m:t>2</m:t>
            </m:r>
          </m:sub>
        </m:sSub>
        <m:r>
          <m:t>​</m:t>
        </m:r>
        <m:r>
          <m:rPr>
            <m:sty m:val="p"/>
          </m:rPr>
          <m:t>&gt;</m:t>
        </m:r>
        <m:r>
          <m:t>​</m:t>
        </m:r>
        <m:sSub>
          <m:e>
            <m:r>
              <m:t>W</m:t>
            </m:r>
          </m:e>
          <m:sub>
            <m:r>
              <m:t>1</m:t>
            </m:r>
          </m:sub>
        </m:sSub>
      </m:oMath>
      <w:r>
        <w:t xml:space="preserve"> </w:t>
      </w:r>
      <w:r>
        <w:t xml:space="preserve">direction of incomparability: on every model</w:t>
      </w:r>
      <w:r>
        <w:t xml:space="preserve"> </w:t>
      </w:r>
      <m:oMath>
        <m:sSub>
          <m:e>
            <m:r>
              <m:t>W</m:t>
            </m:r>
          </m:e>
          <m:sub>
            <m:r>
              <m:t>2</m:t>
            </m:r>
          </m:sub>
        </m:sSub>
      </m:oMath>
      <w:r>
        <w:t xml:space="preserve"> </w:t>
      </w:r>
      <w:r>
        <w:t xml:space="preserve">solves encoding while</w:t>
      </w:r>
      <w:r>
        <w:t xml:space="preserve"> </w:t>
      </w:r>
      <m:oMath>
        <m:sSub>
          <m:e>
            <m:r>
              <m:t>W</m:t>
            </m:r>
          </m:e>
          <m:sub>
            <m:r>
              <m:t>1</m:t>
            </m:r>
          </m:sub>
        </m:sSub>
      </m:oMath>
      <w:r>
        <w:t xml:space="preserve"> </w:t>
      </w:r>
      <w:r>
        <w:t xml:space="preserve">fails</w:t>
      </w:r>
      <w:r>
        <w:t xml:space="preserve"> </w:t>
      </w:r>
      <w:r>
        <w:t xml:space="preserve">it, mirroring the API cells where</w:t>
      </w:r>
      <w:r>
        <w:t xml:space="preserve"> </w:t>
      </w:r>
      <m:oMath>
        <m:sSub>
          <m:e>
            <m:r>
              <m:t>W</m:t>
            </m:r>
          </m:e>
          <m:sub>
            <m:r>
              <m:t>1</m:t>
            </m:r>
          </m:sub>
        </m:sSub>
      </m:oMath>
      <w:r>
        <w:t xml:space="preserve"> </w:t>
      </w:r>
      <w:r>
        <w:t xml:space="preserve">solves and</w:t>
      </w:r>
      <w:r>
        <w:t xml:space="preserve"> </w:t>
      </w:r>
      <m:oMath>
        <m:sSub>
          <m:e>
            <m:r>
              <m:t>W</m:t>
            </m:r>
          </m:e>
          <m:sub>
            <m:r>
              <m:t>2</m:t>
            </m:r>
          </m:sub>
        </m:sSub>
      </m:oMath>
      <w:r>
        <w:t xml:space="preserve"> </w:t>
      </w:r>
      <w:r>
        <w:t xml:space="preserve">fails.</w:t>
      </w:r>
    </w:p>
    <w:tbl>
      <w:tblPr>
        <w:tblStyle w:val="Table"/>
        <w:tblW w:type="auto" w:w="0"/>
        <w:tblLook w:firstRow="1" w:lastRow="0" w:firstColumn="0" w:lastColumn="0" w:noHBand="0" w:noVBand="0" w:val="0020"/>
        <w:tblCaption w:val="Per-cell PASS rates (\%) for all four verified cells, by arm, all single-shot at n=40. Every model was measured on every cell and arm. The encoding rows (enc_amount) carry the W_2\!&gt;\!W_1 direction of incomparability: on every model W_2 solves encoding while W_1 fails it, mirroring the API cells where W_1 solves and W_2 fai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52</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92</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Sonnet-4.6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80</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65</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38</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Opus-4.8</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85</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DeepSeek-V4-Pro</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68</w:t>
            </w:r>
          </w:p>
        </w:tc>
        <w:tc>
          <w:tcPr/>
          <w:p>
            <w:pPr>
              <w:pStyle w:val="Compact"/>
              <w:jc w:val="center"/>
            </w:pPr>
            <w:r>
              <w:t xml:space="preserve">65</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98</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92</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bl>
    <w:bookmarkEnd w:id="141"/>
    <w:bookmarkStart w:id="146"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42"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Δ</m:t>
            </m:r>
          </m:e>
          <m:sub>
            <m:r>
              <m:t>T</m:t>
            </m:r>
          </m:sub>
        </m:sSub>
        <m:r>
          <m:rPr>
            <m:sty m:val="p"/>
          </m:rPr>
          <m:t>=</m:t>
        </m:r>
        <m:r>
          <m:rPr>
            <m:sty m:val="p"/>
          </m:rPr>
          <m:t>−</m:t>
        </m:r>
        <m:r>
          <m:t>0.52</m:t>
        </m:r>
      </m:oMath>
      <w:r>
        <w:t xml:space="preserve">); re-running the arms at</w:t>
      </w:r>
      <w:r>
        <w:t xml:space="preserve"> </w:t>
      </w:r>
      <m:oMath>
        <m:r>
          <m:t>n</m:t>
        </m:r>
        <m:r>
          <m:rPr>
            <m:sty m:val="p"/>
          </m:rPr>
          <m:t>=</m:t>
        </m:r>
        <m:r>
          <m:t>80</m:t>
        </m:r>
      </m:oMath>
      <w:r>
        <w:t xml:space="preserve"> </w:t>
      </w:r>
      <w:r>
        <w:t xml:space="preserve">shows the collapse</w:t>
      </w:r>
      <w:r>
        <w:t xml:space="preserve"> </w:t>
      </w:r>
      <w:r>
        <w:t xml:space="preserve">is stable (</w:t>
      </w:r>
      <m:oMath>
        <m:r>
          <m:t>80</m:t>
        </m:r>
        <m:r>
          <m:rPr>
            <m:sty m:val="p"/>
          </m:rPr>
          <m:t>%</m:t>
        </m:r>
        <m:r>
          <m:t>​</m:t>
        </m:r>
        <m:r>
          <m:rPr>
            <m:sty m:val="p"/>
          </m:rPr>
          <m:t>→</m:t>
        </m:r>
        <m:r>
          <m:t>​</m:t>
        </m:r>
        <m:r>
          <m:t>29</m:t>
        </m:r>
        <m:r>
          <m:rPr>
            <m:sty m:val="p"/>
          </m:rPr>
          <m:t>%</m:t>
        </m:r>
      </m:oMath>
      <w:r>
        <w:t xml:space="preserve">,</w:t>
      </w:r>
      <w:r>
        <w:t xml:space="preserve"> </w:t>
      </w:r>
      <m:oMath>
        <m:sSub>
          <m:e>
            <m:r>
              <m:rPr>
                <m:sty m:val="p"/>
              </m:rPr>
              <m:t>Δ</m:t>
            </m:r>
          </m:e>
          <m:sub>
            <m:r>
              <m:t>T</m:t>
            </m:r>
          </m:sub>
        </m:sSub>
        <m:r>
          <m:rPr>
            <m:sty m:val="p"/>
          </m:rPr>
          <m:t>=</m:t>
        </m:r>
        <m:r>
          <m:rPr>
            <m:sty m:val="p"/>
          </m:rPr>
          <m:t>−</m:t>
        </m:r>
        <m:r>
          <m:t>0.51</m:t>
        </m:r>
      </m:oMath>
      <w:r>
        <w:t xml:space="preserve">) with Clopper–Pearson upper bound</w:t>
      </w:r>
      <w:r>
        <w:t xml:space="preserve"> </w:t>
      </w:r>
      <m:oMath>
        <m:r>
          <m:rPr>
            <m:sty m:val="p"/>
          </m:rPr>
          <m:t>−</m:t>
        </m:r>
        <m:r>
          <m:t>0.296</m:t>
        </m:r>
      </m:oMath>
      <w:r>
        <w:t xml:space="preserve">, which</w:t>
      </w:r>
      <w:r>
        <w:t xml:space="preserve"> </w:t>
      </w:r>
      <w:r>
        <w:t xml:space="preserve">verifies</w:t>
      </w:r>
      <w:r>
        <w:t xml:space="preserve"> </w:t>
      </w:r>
      <w:r>
        <w:rPr>
          <w:i/>
          <w:iCs/>
        </w:rPr>
        <w:t xml:space="preserve">strictly negative</w:t>
      </w:r>
      <w:r>
        <w:t xml:space="preserve"> </w:t>
      </w:r>
      <w:r>
        <w:t xml:space="preserve">harm (</w:t>
      </w:r>
      <m:oMath>
        <m:sSub>
          <m:e>
            <m:r>
              <m:rPr>
                <m:sty m:val="p"/>
              </m:rPr>
              <m:t>Δ</m:t>
            </m:r>
          </m:e>
          <m:sub>
            <m:r>
              <m:t>T</m:t>
            </m:r>
          </m:sub>
        </m:sSub>
        <m:r>
          <m:rPr>
            <m:sty m:val="p"/>
          </m:rPr>
          <m:t>&lt;</m:t>
        </m:r>
        <m:r>
          <m:t>0</m:t>
        </m:r>
      </m:oMath>
      <w:r>
        <w:t xml:space="preserve"> </w:t>
      </w:r>
      <w:r>
        <w:t xml:space="preserve">at</w:t>
      </w:r>
      <w:r>
        <w:t xml:space="preserve"> </w:t>
      </w:r>
      <m:oMath>
        <m:r>
          <m:rPr>
            <m:sty m:val="p"/>
          </m:rPr>
          <m:t>≥</m:t>
        </m:r>
        <m:r>
          <m:t>90</m:t>
        </m:r>
        <m:r>
          <m:rPr>
            <m:sty m:val="p"/>
          </m:rPr>
          <m:t>%</m:t>
        </m:r>
      </m:oMath>
      <w:r>
        <w:t xml:space="preserve">) but does not clear the</w:t>
      </w:r>
      <w:r>
        <w:t xml:space="preserve"> </w:t>
      </w:r>
      <w:r>
        <w:t xml:space="preserve">pre-registered margin</w:t>
      </w:r>
      <w:r>
        <w:t xml:space="preserve"> </w:t>
      </w:r>
      <m:oMath>
        <m:r>
          <m:t>τ</m:t>
        </m:r>
        <m:r>
          <m:rPr>
            <m:sty m:val="p"/>
          </m:rPr>
          <m:t>=</m:t>
        </m:r>
        <m:r>
          <m:t>0.30</m:t>
        </m:r>
      </m:oMath>
      <w:r>
        <w:t xml:space="preserve">: the binding constraint is the</w:t>
      </w:r>
      <w:r>
        <w:t xml:space="preserve"> </w:t>
      </w:r>
      <m:oMath>
        <m:sSub>
          <m:e>
            <m:r>
              <m:t>V</m:t>
            </m:r>
          </m:e>
          <m:sub>
            <m:r>
              <m:t>1</m:t>
            </m:r>
          </m:sub>
        </m:sSub>
      </m:oMath>
      <w:r>
        <w:t xml:space="preserve"> </w:t>
      </w:r>
      <w:r>
        <w:t xml:space="preserve">ceiling itself (</w:t>
      </w:r>
      <m:oMath>
        <m:r>
          <m:t>80</m:t>
        </m:r>
        <m:r>
          <m:rPr>
            <m:sty m:val="p"/>
          </m:rPr>
          <m:t>%</m:t>
        </m:r>
      </m:oMath>
      <w:r>
        <w:t xml:space="preserve">,</w:t>
      </w:r>
      <w:r>
        <w:t xml:space="preserve"> </w:t>
      </w:r>
      <w:r>
        <w:t xml:space="preserve">versus pair-1’s</w:t>
      </w:r>
      <w:r>
        <w:t xml:space="preserve"> </w:t>
      </w:r>
      <m:oMath>
        <m:r>
          <m:rPr>
            <m:sty m:val="p"/>
          </m:rPr>
          <m:t>∼</m:t>
        </m:r>
        <m:r>
          <m:t>100</m:t>
        </m:r>
        <m:r>
          <m:rPr>
            <m:sty m:val="p"/>
          </m:rPr>
          <m:t>%</m:t>
        </m:r>
      </m:oMath>
      <w:r>
        <w:t xml:space="preserve">), which keeps the bound wide. We report pair-2 harm as a verified</w:t>
      </w:r>
      <w:r>
        <w:t xml:space="preserve"> </w:t>
      </w:r>
      <w:r>
        <w:t xml:space="preserve">sign, not a verified magnitude. The</w:t>
      </w:r>
      <w:r>
        <w:t xml:space="preserve"> </w:t>
      </w:r>
      <m:oMath>
        <m:r>
          <m:t>n</m:t>
        </m:r>
        <m:r>
          <m:rPr>
            <m:sty m:val="p"/>
          </m:rPr>
          <m:t>=</m:t>
        </m:r>
        <m:r>
          <m:t>80</m:t>
        </m:r>
      </m:oMath>
      <w:r>
        <w:t xml:space="preserve"> </w:t>
      </w:r>
      <w:r>
        <w:t xml:space="preserve">run also strengthens the dominance control to a fully verified one-directional dominance</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42"/>
    <w:bookmarkStart w:id="143" w:name="a-length-matched-padding-control."/>
    <w:p>
      <w:pPr>
        <w:pStyle w:val="Heading4"/>
      </w:pPr>
      <w:r>
        <w:t xml:space="preserve">A length-matched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Δ</m:t>
            </m:r>
          </m:e>
          <m:sub>
            <m:r>
              <m:t>T</m:t>
            </m:r>
          </m:sub>
        </m:sSub>
        <m:r>
          <m:rPr>
            <m:sty m:val="p"/>
          </m:rPr>
          <m:t>=</m:t>
        </m:r>
        <m:r>
          <m:rPr>
            <m:sty m:val="p"/>
          </m:rPr>
          <m:t>−</m:t>
        </m:r>
        <m:r>
          <m:t>0.88</m:t>
        </m:r>
      </m:oMath>
      <w:r>
        <w:t xml:space="preserve">, upper bound</w:t>
      </w:r>
      <w:r>
        <w:t xml:space="preserve"> </w:t>
      </w:r>
      <m:oMath>
        <m:r>
          <m:rPr>
            <m:sty m:val="p"/>
          </m:rPr>
          <m:t>−</m:t>
        </m:r>
        <m:r>
          <m:t>0.63</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43"/>
    <w:bookmarkStart w:id="144"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the residual gap below</w:t>
      </w:r>
      <w:r>
        <w:t xml:space="preserve"> </w:t>
      </w:r>
      <m:oMath>
        <m:sSub>
          <m:e>
            <m:r>
              <m:t>W</m:t>
            </m:r>
          </m:e>
          <m:sub>
            <m:r>
              <m:t>1</m:t>
            </m:r>
          </m:sub>
        </m:sSub>
      </m:oMath>
      <w:r>
        <w:t xml:space="preserve"> </w:t>
      </w:r>
      <w:r>
        <w:t xml:space="preserve">alone on the carrying cell (</w:t>
      </w:r>
      <m:oMath>
        <m:r>
          <m:t>80</m:t>
        </m:r>
        <m:r>
          <m:rPr>
            <m:sty m:val="p"/>
          </m:rPr>
          <m:t>%</m:t>
        </m:r>
      </m:oMath>
      <w:r>
        <w:t xml:space="preserve"> </w:t>
      </w:r>
      <w:r>
        <w:t xml:space="preserve">vs. </w:t>
      </w:r>
      <m:oMath>
        <m:r>
          <m:t>100</m:t>
        </m:r>
        <m:r>
          <m:rPr>
            <m:sty m:val="p"/>
          </m:rPr>
          <m:t>%</m:t>
        </m:r>
      </m:oMath>
      <w:r>
        <w:t xml:space="preserve">, intervals</w:t>
      </w:r>
      <w:r>
        <w:t xml:space="preserve"> </w:t>
      </w:r>
      <m:oMath>
        <m:r>
          <m:rPr>
            <m:sty m:val="p"/>
          </m:rPr>
          <m:t>[</m:t>
        </m:r>
        <m:r>
          <m:t>0.62</m:t>
        </m:r>
        <m:r>
          <m:rPr>
            <m:sty m:val="p"/>
          </m:rPr>
          <m:t>,</m:t>
        </m:r>
        <m:r>
          <m:t>0.92</m:t>
        </m:r>
        <m:r>
          <m:rPr>
            <m:sty m:val="p"/>
          </m:rPr>
          <m:t>]</m:t>
        </m:r>
      </m:oMath>
      <w:r>
        <w:t xml:space="preserve"> </w:t>
      </w:r>
      <w:r>
        <w:t xml:space="preserve">vs. </w:t>
      </w:r>
      <m:oMath>
        <m:r>
          <m:rPr>
            <m:sty m:val="p"/>
          </m:rPr>
          <m:t>[</m:t>
        </m:r>
        <m:r>
          <m:t>0.90</m:t>
        </m:r>
        <m:r>
          <m:rPr>
            <m:sty m:val="p"/>
          </m:rPr>
          <m:t>,</m:t>
        </m:r>
        <m:r>
          <m:t>1.00</m:t>
        </m:r>
        <m:r>
          <m:rPr>
            <m:sty m:val="p"/>
          </m:rPr>
          <m:t>]</m:t>
        </m:r>
      </m:oMath>
      <w:r>
        <w:t xml:space="preserve">) is directional but not separated at</w:t>
      </w:r>
      <w:r>
        <w:t xml:space="preserve"> </w:t>
      </w:r>
      <w:r>
        <w:t xml:space="preserve">this</w:t>
      </w:r>
      <w:r>
        <w:t xml:space="preserve"> </w:t>
      </w:r>
      <m:oMath>
        <m:r>
          <m:t>n</m:t>
        </m:r>
      </m:oMath>
      <w:r>
        <w:t xml:space="preserv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44"/>
    <w:bookmarkStart w:id="145" w:name="X9488de75bf9879d7a0599574b61e9ffd4996347"/>
    <w:p>
      <w:pPr>
        <w:pStyle w:val="Heading4"/>
      </w:pPr>
      <w:r>
        <w:t xml:space="preserve">A structured-context ablation: segmentation is not the bottleneck.</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locates the failure in convention-to-task routing.</w:t>
      </w:r>
    </w:p>
    <w:bookmarkEnd w:id="145"/>
    <w:bookmarkEnd w:id="146"/>
    <w:bookmarkEnd w:id="147"/>
    <w:bookmarkStart w:id="289"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5">
        <w:r>
          <w:rPr>
            <w:rStyle w:val="Hyperlink"/>
          </w:rPr>
          <w:t xml:space="preserve">https://github.com/abilous-ti/blackwell-llm-context</w:t>
        </w:r>
      </w:hyperlink>
      <w:r>
        <w:t xml:space="preserve">. The harness (</w:t>
      </w:r>
      <w:r>
        <w:rPr>
          <w:rStyle w:val="VerbatimChar"/>
        </w:rPr>
        <w:t xml:space="preserve">tokenbench/measure_blackwell.py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48" w:name="machine-checked-proofs."/>
    <w:p>
      <w:pPr>
        <w:pStyle w:val="Heading4"/>
      </w:pPr>
      <w:r>
        <w:t xml:space="preserve">Machine-checked proofs.</w:t>
      </w:r>
    </w:p>
    <w:p>
      <w:pPr>
        <w:pStyle w:val="FirstParagraph"/>
      </w:pPr>
      <w:r>
        <w:t xml:space="preserve">The bundle also contains</w:t>
      </w:r>
      <w:r>
        <w:t xml:space="preserve"> </w:t>
      </w:r>
      <w:r>
        <w:rPr>
          <w:rStyle w:val="VerbatimChar"/>
        </w:rPr>
        <w:t xml:space="preserve">lean/ContextSelection.lean</w:t>
      </w:r>
      <w:r>
        <w:t xml:space="preserve">, a</w:t>
      </w:r>
      <w:r>
        <w:t xml:space="preserve"> </w:t>
      </w:r>
      <w:r>
        <w:t xml:space="preserve">Lean 4 formalization of the two impossibility results (Remark 3). It takes no</w:t>
      </w:r>
      <w:r>
        <w:t xml:space="preserve"> </w:t>
      </w:r>
      <w:r>
        <w:t xml:space="preserve">dependency on Mathlib, so it is checked by</w:t>
      </w:r>
      <w:r>
        <w:t xml:space="preserve"> </w:t>
      </w:r>
      <w:r>
        <w:rPr>
          <w:rStyle w:val="VerbatimChar"/>
        </w:rPr>
        <w:t xml:space="preserve">lean ContextSelection.lean</w:t>
      </w:r>
      <w:r>
        <w:t xml:space="preserve"> </w:t>
      </w:r>
      <w:r>
        <w:t xml:space="preserve">against a bare</w:t>
      </w:r>
      <w:r>
        <w:t xml:space="preserve"> </w:t>
      </w:r>
      <w:r>
        <w:t xml:space="preserve">toolchain with no build step or network access; the version is pinned in</w:t>
      </w:r>
      <w:r>
        <w:t xml:space="preserve"> </w:t>
      </w:r>
      <w:r>
        <w:rPr>
          <w:rStyle w:val="VerbatimChar"/>
        </w:rPr>
        <w:t xml:space="preserve">lean/lean-toolchain</w:t>
      </w:r>
      <w:r>
        <w:t xml:space="preserve"> </w:t>
      </w:r>
      <w:r>
        <w:t xml:space="preserve">and a continuous-integration job re-checks it on a clean machine at every change, failing the build</w:t>
      </w:r>
      <w:r>
        <w:t xml:space="preserve"> </w:t>
      </w:r>
      <w:r>
        <w:t xml:space="preserve">if any</w:t>
      </w:r>
      <w:r>
        <w:t xml:space="preserve"> </w:t>
      </w:r>
      <w:r>
        <w:rPr>
          <w:rStyle w:val="VerbatimChar"/>
        </w:rPr>
        <w:t xml:space="preserve">sorry</w:t>
      </w:r>
      <w:r>
        <w:t xml:space="preserve"> </w:t>
      </w:r>
      <w:r>
        <w:t xml:space="preserve">appears or if either theorem stops reporting an empty axiom footprint.</w:t>
      </w:r>
    </w:p>
    <w:bookmarkEnd w:id="148"/>
    <w:bookmarkStart w:id="149"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(length-matched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49"/>
    <w:bookmarkStart w:id="150"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could not be re-measured at revision time: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on an unknown number of draws and the Azure quota was unavailable, so its reported</w:t>
      </w:r>
      <w:r>
        <w:t xml:space="preserve"> </w:t>
      </w:r>
      <m:oMath>
        <m:r>
          <m:t>0</m:t>
        </m:r>
        <m:r>
          <m:rPr>
            <m:sty m:val="p"/>
          </m:rPr>
          <m:t>/</m:t>
        </m:r>
        <m:r>
          <m:t>40</m:t>
        </m:r>
      </m:oMath>
      <w:r>
        <w:t xml:space="preserve"> </w:t>
      </w:r>
      <w:r>
        <w:t xml:space="preserve">still contains outage-scored draws. It is an expected-zero cell (the arm lacks the decisive fact, and it is</w:t>
      </w:r>
      <w:r>
        <w:t xml:space="preserve"> </w:t>
      </w:r>
      <m:oMath>
        <m:r>
          <m:t>0</m:t>
        </m:r>
        <m:r>
          <m:rPr>
            <m:sty m:val="p"/>
          </m:rPr>
          <m:t>%</m:t>
        </m:r>
      </m:oMath>
      <w:r>
        <w:t xml:space="preserve"> </w:t>
      </w:r>
      <w:r>
        <w:t xml:space="preserve">on all five other models) and lies on no binding bound, but for that one cell the reported</w:t>
      </w:r>
      <w:r>
        <w:t xml:space="preserve"> </w:t>
      </w:r>
      <m:oMath>
        <m:r>
          <m:t>n</m:t>
        </m:r>
      </m:oMath>
      <w:r>
        <w:t xml:space="preserve"> </w:t>
      </w:r>
      <w:r>
        <w:t xml:space="preserve">is an upper bound on the number of real draws.</w:t>
      </w:r>
    </w:p>
    <w:bookmarkEnd w:id="150"/>
    <w:bookmarkStart w:id="151"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5">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 </w:t>
      </w:r>
      <w:r>
        <w:t xml:space="preserve">and the clean single-cell re-measurements</w:t>
      </w:r>
      <w:r>
        <w:t xml:space="preserve"> </w:t>
      </w:r>
      <w:r>
        <w:rPr>
          <w:rStyle w:val="VerbatimChar"/>
        </w:rPr>
        <w:t xml:space="preserve">blackwell_opus_ss_W2_trap_rerun</w:t>
      </w:r>
      <w:r>
        <w:t xml:space="preserve"> </w:t>
      </w:r>
      <w:r>
        <w:t xml:space="preserve">and</w:t>
      </w:r>
      <w:r>
        <w:t xml:space="preserve"> </w:t>
      </w:r>
      <w:r>
        <w:rPr>
          <w:rStyle w:val="VerbatimChar"/>
        </w:rPr>
        <w:t xml:space="preserve">blackwell_haiku_ss_W1_enc_rerun</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(length-matched padding,</w:t>
      </w:r>
      <w:r>
        <w:t xml:space="preserve"> </w:t>
      </w:r>
      <m:oMath>
        <m:r>
          <m:t>400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tokenbench/measure_reranker_trap.py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tokenbench/measure_dense_trap.py</w:t>
      </w:r>
      <w:r>
        <w:t xml:space="preserve">). The full per-cell record is in</w:t>
      </w:r>
      <w:r>
        <w:t xml:space="preserve"> </w:t>
      </w:r>
      <w:r>
        <w:rPr>
          <w:rStyle w:val="VerbatimChar"/>
        </w:rPr>
        <w:t xml:space="preserve">EXPERIMENT-BLACKWELL.md</w:t>
      </w:r>
      <w:r>
        <w:t xml:space="preserve"> </w:t>
      </w:r>
      <w:r>
        <w:t xml:space="preserve">and the theory hardening (formalization and proof sketches) in</w:t>
      </w:r>
      <w:r>
        <w:t xml:space="preserve"> </w:t>
      </w:r>
      <w:r>
        <w:rPr>
          <w:rStyle w:val="VerbatimChar"/>
        </w:rPr>
        <w:t xml:space="preserve">BLACKWELL.md</w:t>
      </w:r>
      <w:r>
        <w:t xml:space="preserve">.</w:t>
      </w:r>
    </w:p>
    <w:bookmarkEnd w:id="151"/>
    <w:bookmarkStart w:id="152"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End w:id="152"/>
    <w:bookmarkStart w:id="288" w:name="reference-verification."/>
    <w:p>
      <w:pPr>
        <w:pStyle w:val="Heading4"/>
      </w:pPr>
      <w:r>
        <w:t xml:space="preserve">Reference verification.</w:t>
      </w:r>
    </w:p>
    <w:p>
      <w:pPr>
        <w:pStyle w:val="FirstParagraph"/>
      </w:pPr>
      <w:r>
        <w:t xml:space="preserve">The bibliography was assembled in part with automated</w:t>
      </w:r>
      <w:r>
        <w:t xml:space="preserve"> </w:t>
      </w:r>
      <w:r>
        <w:t xml:space="preserve">literature search and every entry was subsequently verified against arXiv/DBLP/publisher</w:t>
      </w:r>
      <w:r>
        <w:t xml:space="preserve"> </w:t>
      </w:r>
      <w:r>
        <w:t xml:space="preserve">records; all entries resolve to real papers, and the classics (Blackwell 1953; Le Cam</w:t>
      </w:r>
      <w:r>
        <w:t xml:space="preserve"> </w:t>
      </w:r>
      <w:r>
        <w:t xml:space="preserve">1964/1986; Torgersen 1991; Ethayarajh et al. 2022) were checked against the primary sources.</w:t>
      </w:r>
    </w:p>
    <w:bookmarkStart w:id="287" w:name="refs"/>
    <w:bookmarkStart w:id="154"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3">
        <w:r>
          <w:rPr>
            <w:rStyle w:val="Hyperlink"/>
          </w:rPr>
          <w:t xml:space="preserve">https://arxiv.org/abs/2512.23617</w:t>
        </w:r>
      </w:hyperlink>
      <w:r>
        <w:t xml:space="preserve">.</w:t>
      </w:r>
    </w:p>
    <w:bookmarkEnd w:id="154"/>
    <w:bookmarkStart w:id="156"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55">
        <w:r>
          <w:rPr>
            <w:rStyle w:val="Hyperlink"/>
          </w:rPr>
          <w:t xml:space="preserve">https://doi.org/10.5281/zenodo.20800175</w:t>
        </w:r>
      </w:hyperlink>
      <w:r>
        <w:t xml:space="preserve">.</w:t>
      </w:r>
    </w:p>
    <w:bookmarkEnd w:id="156"/>
    <w:bookmarkStart w:id="158"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57">
        <w:r>
          <w:rPr>
            <w:rStyle w:val="Hyperlink"/>
          </w:rPr>
          <w:t xml:space="preserve">https://doi.org/10.5281/zenodo.20800031</w:t>
        </w:r>
      </w:hyperlink>
      <w:r>
        <w:t xml:space="preserve">.</w:t>
      </w:r>
    </w:p>
    <w:bookmarkEnd w:id="158"/>
    <w:bookmarkStart w:id="160" w:name="ref-alpila2026lmrecall"/>
    <w:p>
      <w:pPr>
        <w:pStyle w:val="Bibliography"/>
      </w:pPr>
      <w:r>
        <w:t xml:space="preserve">Alpila, Pia. 2026c.</w:t>
      </w:r>
      <w:r>
        <w:t xml:space="preserve"> </w:t>
      </w:r>
      <w:r>
        <w:rPr>
          <w:i/>
          <w:iCs/>
        </w:rPr>
        <w:t xml:space="preserve">LM Recall</w:t>
      </w:r>
      <w:r>
        <w:rPr>
          <w:i/>
          <w:iCs/>
        </w:rPr>
        <w:t xml:space="preserve">: Corpus, Experiment Code and Per-Decoder Results</w:t>
      </w:r>
      <w:r>
        <w:t xml:space="preserve">. Zenodo.</w:t>
      </w:r>
      <w:r>
        <w:t xml:space="preserve"> </w:t>
      </w:r>
      <w:hyperlink r:id="rId159">
        <w:r>
          <w:rPr>
            <w:rStyle w:val="Hyperlink"/>
          </w:rPr>
          <w:t xml:space="preserve">https://doi.org/10.5281/zenodo.20800209</w:t>
        </w:r>
      </w:hyperlink>
      <w:r>
        <w:t xml:space="preserve">.</w:t>
      </w:r>
    </w:p>
    <w:bookmarkEnd w:id="160"/>
    <w:bookmarkStart w:id="161"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61"/>
    <w:bookmarkStart w:id="163"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62">
        <w:r>
          <w:rPr>
            <w:rStyle w:val="Hyperlink"/>
          </w:rPr>
          <w:t xml:space="preserve">https://doi.org/10.1214/aoms/1177729032</w:t>
        </w:r>
      </w:hyperlink>
      <w:r>
        <w:t xml:space="preserve">.</w:t>
      </w:r>
    </w:p>
    <w:bookmarkEnd w:id="163"/>
    <w:bookmarkStart w:id="164"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64"/>
    <w:bookmarkStart w:id="166"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65">
        <w:r>
          <w:rPr>
            <w:rStyle w:val="Hyperlink"/>
          </w:rPr>
          <w:t xml:space="preserve">https://arxiv.org/abs/2503.01747</w:t>
        </w:r>
      </w:hyperlink>
      <w:r>
        <w:t xml:space="preserve">.</w:t>
      </w:r>
    </w:p>
    <w:bookmarkEnd w:id="166"/>
    <w:bookmarkStart w:id="168"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67">
        <w:r>
          <w:rPr>
            <w:rStyle w:val="Hyperlink"/>
          </w:rPr>
          <w:t xml:space="preserve">https://arxiv.org/abs/2411.01533</w:t>
        </w:r>
      </w:hyperlink>
      <w:r>
        <w:t xml:space="preserve">.</w:t>
      </w:r>
    </w:p>
    <w:bookmarkEnd w:id="168"/>
    <w:bookmarkStart w:id="170"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69">
        <w:r>
          <w:rPr>
            <w:rStyle w:val="Hyperlink"/>
          </w:rPr>
          <w:t xml:space="preserve">https://doi.org/10.1145/290941.291025</w:t>
        </w:r>
      </w:hyperlink>
      <w:r>
        <w:t xml:space="preserve">.</w:t>
      </w:r>
    </w:p>
    <w:bookmarkEnd w:id="170"/>
    <w:bookmarkStart w:id="172"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71">
        <w:r>
          <w:rPr>
            <w:rStyle w:val="Hyperlink"/>
          </w:rPr>
          <w:t xml:space="preserve">https://arxiv.org/abs/2511.17908</w:t>
        </w:r>
      </w:hyperlink>
      <w:r>
        <w:t xml:space="preserve">.</w:t>
      </w:r>
    </w:p>
    <w:bookmarkEnd w:id="172"/>
    <w:bookmarkStart w:id="174"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73">
        <w:r>
          <w:rPr>
            <w:rStyle w:val="Hyperlink"/>
          </w:rPr>
          <w:t xml:space="preserve">https://arxiv.org/abs/2507.03279</w:t>
        </w:r>
      </w:hyperlink>
      <w:r>
        <w:t xml:space="preserve">.</w:t>
      </w:r>
    </w:p>
    <w:bookmarkEnd w:id="174"/>
    <w:bookmarkStart w:id="176"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75">
        <w:r>
          <w:rPr>
            <w:rStyle w:val="Hyperlink"/>
          </w:rPr>
          <w:t xml:space="preserve">https://arxiv.org/abs/2601.16478</w:t>
        </w:r>
      </w:hyperlink>
      <w:r>
        <w:t xml:space="preserve">.</w:t>
      </w:r>
    </w:p>
    <w:bookmarkEnd w:id="176"/>
    <w:bookmarkStart w:id="178"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77">
        <w:r>
          <w:rPr>
            <w:rStyle w:val="Hyperlink"/>
          </w:rPr>
          <w:t xml:space="preserve">https://arxiv.org/abs/2508.21184</w:t>
        </w:r>
      </w:hyperlink>
      <w:r>
        <w:t xml:space="preserve">.</w:t>
      </w:r>
    </w:p>
    <w:bookmarkEnd w:id="178"/>
    <w:bookmarkStart w:id="180"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79">
        <w:r>
          <w:rPr>
            <w:rStyle w:val="Hyperlink"/>
          </w:rPr>
          <w:t xml:space="preserve">https://doi.org/10.1093/biomet/26.4.404</w:t>
        </w:r>
      </w:hyperlink>
      <w:r>
        <w:t xml:space="preserve">.</w:t>
      </w:r>
    </w:p>
    <w:bookmarkEnd w:id="180"/>
    <w:bookmarkStart w:id="182"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81">
        <w:r>
          <w:rPr>
            <w:rStyle w:val="Hyperlink"/>
          </w:rPr>
          <w:t xml:space="preserve">https://arxiv.org/abs/2401.14887</w:t>
        </w:r>
      </w:hyperlink>
      <w:r>
        <w:t xml:space="preserve">.</w:t>
      </w:r>
    </w:p>
    <w:bookmarkEnd w:id="182"/>
    <w:bookmarkStart w:id="184"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83">
        <w:r>
          <w:rPr>
            <w:rStyle w:val="Hyperlink"/>
          </w:rPr>
          <w:t xml:space="preserve">https://arxiv.org/abs/2503.01478</w:t>
        </w:r>
      </w:hyperlink>
      <w:r>
        <w:t xml:space="preserve">.</w:t>
      </w:r>
    </w:p>
    <w:bookmarkEnd w:id="184"/>
    <w:bookmarkStart w:id="186"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85">
        <w:r>
          <w:rPr>
            <w:rStyle w:val="Hyperlink"/>
          </w:rPr>
          <w:t xml:space="preserve">http://www.vldb.org/pvldb/vol6/p37-dong.pdf</w:t>
        </w:r>
      </w:hyperlink>
      <w:r>
        <w:t xml:space="preserve">.</w:t>
      </w:r>
    </w:p>
    <w:bookmarkEnd w:id="186"/>
    <w:bookmarkStart w:id="188"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87">
        <w:r>
          <w:rPr>
            <w:rStyle w:val="Hyperlink"/>
          </w:rPr>
          <w:t xml:space="preserve">https://arxiv.org/abs/2510.05381</w:t>
        </w:r>
      </w:hyperlink>
      <w:r>
        <w:t xml:space="preserve">.</w:t>
      </w:r>
    </w:p>
    <w:bookmarkEnd w:id="188"/>
    <w:bookmarkStart w:id="190"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89">
        <w:r>
          <w:rPr>
            <w:rStyle w:val="Hyperlink"/>
          </w:rPr>
          <w:t xml:space="preserve">https://doi.org/10.1214/aoms/1177728174</w:t>
        </w:r>
      </w:hyperlink>
      <w:r>
        <w:t xml:space="preserve">.</w:t>
      </w:r>
    </w:p>
    <w:bookmarkEnd w:id="190"/>
    <w:bookmarkStart w:id="191"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91"/>
    <w:bookmarkStart w:id="193"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92">
        <w:r>
          <w:rPr>
            <w:rStyle w:val="Hyperlink"/>
          </w:rPr>
          <w:t xml:space="preserve">https://arxiv.org/abs/2601.11273</w:t>
        </w:r>
      </w:hyperlink>
      <w:r>
        <w:t xml:space="preserve">.</w:t>
      </w:r>
    </w:p>
    <w:bookmarkEnd w:id="193"/>
    <w:bookmarkStart w:id="195"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94">
        <w:r>
          <w:rPr>
            <w:rStyle w:val="Hyperlink"/>
          </w:rPr>
          <w:t xml:space="preserve">https://arxiv.org/abs/2503.05491</w:t>
        </w:r>
      </w:hyperlink>
      <w:r>
        <w:t xml:space="preserve">.</w:t>
      </w:r>
    </w:p>
    <w:bookmarkEnd w:id="195"/>
    <w:bookmarkStart w:id="197"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196">
        <w:r>
          <w:rPr>
            <w:rStyle w:val="Hyperlink"/>
          </w:rPr>
          <w:t xml:space="preserve">https://arxiv.org/abs/2608.26762</w:t>
        </w:r>
      </w:hyperlink>
      <w:r>
        <w:t xml:space="preserve">.</w:t>
      </w:r>
    </w:p>
    <w:bookmarkEnd w:id="197"/>
    <w:bookmarkStart w:id="199"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98">
        <w:r>
          <w:rPr>
            <w:rStyle w:val="Hyperlink"/>
          </w:rPr>
          <w:t xml:space="preserve">https://doi.org/10.1007/s10791-008-9045-0</w:t>
        </w:r>
      </w:hyperlink>
      <w:r>
        <w:t xml:space="preserve">.</w:t>
      </w:r>
    </w:p>
    <w:bookmarkEnd w:id="199"/>
    <w:bookmarkStart w:id="201"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200">
        <w:r>
          <w:rPr>
            <w:rStyle w:val="Hyperlink"/>
          </w:rPr>
          <w:t xml:space="preserve">https://arxiv.org/abs/2410.20247</w:t>
        </w:r>
      </w:hyperlink>
      <w:r>
        <w:t xml:space="preserve">.</w:t>
      </w:r>
    </w:p>
    <w:bookmarkEnd w:id="201"/>
    <w:bookmarkStart w:id="203"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02">
        <w:r>
          <w:rPr>
            <w:rStyle w:val="Hyperlink"/>
          </w:rPr>
          <w:t xml:space="preserve">https://arxiv.org/abs/2606.20047</w:t>
        </w:r>
      </w:hyperlink>
      <w:r>
        <w:t xml:space="preserve">.</w:t>
      </w:r>
    </w:p>
    <w:bookmarkEnd w:id="203"/>
    <w:bookmarkStart w:id="205"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04">
        <w:r>
          <w:rPr>
            <w:rStyle w:val="Hyperlink"/>
          </w:rPr>
          <w:t xml:space="preserve">https://aclanthology.org/2026.findings-acl.583/</w:t>
        </w:r>
      </w:hyperlink>
      <w:r>
        <w:t xml:space="preserve">.</w:t>
      </w:r>
    </w:p>
    <w:bookmarkEnd w:id="205"/>
    <w:bookmarkStart w:id="207"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206">
        <w:r>
          <w:rPr>
            <w:rStyle w:val="Hyperlink"/>
          </w:rPr>
          <w:t xml:space="preserve">https://arxiv.org/abs/2002.08909</w:t>
        </w:r>
      </w:hyperlink>
      <w:r>
        <w:t xml:space="preserve">.</w:t>
      </w:r>
    </w:p>
    <w:bookmarkEnd w:id="207"/>
    <w:bookmarkStart w:id="209"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arXiv Preprint arXiv:2502.17036</w:t>
      </w:r>
      <w:r>
        <w:t xml:space="preserve">.</w:t>
      </w:r>
      <w:r>
        <w:t xml:space="preserve"> </w:t>
      </w:r>
      <w:hyperlink r:id="rId208">
        <w:r>
          <w:rPr>
            <w:rStyle w:val="Hyperlink"/>
          </w:rPr>
          <w:t xml:space="preserve">https://arxiv.org/abs/2502.17036</w:t>
        </w:r>
      </w:hyperlink>
      <w:r>
        <w:t xml:space="preserve">.</w:t>
      </w:r>
    </w:p>
    <w:bookmarkEnd w:id="209"/>
    <w:bookmarkStart w:id="211"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10">
        <w:r>
          <w:rPr>
            <w:rStyle w:val="Hyperlink"/>
          </w:rPr>
          <w:t xml:space="preserve">https://arxiv.org/abs/2304.04576</w:t>
        </w:r>
      </w:hyperlink>
      <w:r>
        <w:t xml:space="preserve">.</w:t>
      </w:r>
    </w:p>
    <w:bookmarkEnd w:id="211"/>
    <w:bookmarkStart w:id="213"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12">
        <w:r>
          <w:rPr>
            <w:rStyle w:val="Hyperlink"/>
          </w:rPr>
          <w:t xml:space="preserve">https://www.trychroma.com/research/context-rot</w:t>
        </w:r>
      </w:hyperlink>
      <w:r>
        <w:t xml:space="preserve">.</w:t>
      </w:r>
    </w:p>
    <w:bookmarkEnd w:id="213"/>
    <w:bookmarkStart w:id="215"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14">
        <w:r>
          <w:rPr>
            <w:rStyle w:val="Hyperlink"/>
          </w:rPr>
          <w:t xml:space="preserve">https://arxiv.org/abs/2510.00079</w:t>
        </w:r>
      </w:hyperlink>
      <w:r>
        <w:t xml:space="preserve">.</w:t>
      </w:r>
    </w:p>
    <w:bookmarkEnd w:id="215"/>
    <w:bookmarkStart w:id="217"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16">
        <w:r>
          <w:rPr>
            <w:rStyle w:val="Hyperlink"/>
          </w:rPr>
          <w:t xml:space="preserve">https://arxiv.org/abs/2512.06464</w:t>
        </w:r>
      </w:hyperlink>
      <w:r>
        <w:t xml:space="preserve">.</w:t>
      </w:r>
    </w:p>
    <w:bookmarkEnd w:id="217"/>
    <w:bookmarkStart w:id="219"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18">
        <w:r>
          <w:rPr>
            <w:rStyle w:val="Hyperlink"/>
          </w:rPr>
          <w:t xml:space="preserve">https://arxiv.org/abs/2601.05027</w:t>
        </w:r>
      </w:hyperlink>
      <w:r>
        <w:t xml:space="preserve">.</w:t>
      </w:r>
    </w:p>
    <w:bookmarkEnd w:id="219"/>
    <w:bookmarkStart w:id="221"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20">
        <w:r>
          <w:rPr>
            <w:rStyle w:val="Hyperlink"/>
          </w:rPr>
          <w:t xml:space="preserve">https://arxiv.org/abs/2410.05983</w:t>
        </w:r>
      </w:hyperlink>
      <w:r>
        <w:t xml:space="preserve">.</w:t>
      </w:r>
    </w:p>
    <w:bookmarkEnd w:id="221"/>
    <w:bookmarkStart w:id="223"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22">
        <w:r>
          <w:rPr>
            <w:rStyle w:val="Hyperlink"/>
          </w:rPr>
          <w:t xml:space="preserve">https://arxiv.org/abs/2411.06037</w:t>
        </w:r>
      </w:hyperlink>
      <w:r>
        <w:t xml:space="preserve">.</w:t>
      </w:r>
    </w:p>
    <w:bookmarkEnd w:id="223"/>
    <w:bookmarkStart w:id="225"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224">
        <w:r>
          <w:rPr>
            <w:rStyle w:val="Hyperlink"/>
          </w:rPr>
          <w:t xml:space="preserve">https://doi.org/10.1145/3397271.3401075</w:t>
        </w:r>
      </w:hyperlink>
      <w:r>
        <w:t xml:space="preserve">.</w:t>
      </w:r>
    </w:p>
    <w:bookmarkEnd w:id="225"/>
    <w:bookmarkStart w:id="227"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26">
        <w:r>
          <w:rPr>
            <w:rStyle w:val="Hyperlink"/>
          </w:rPr>
          <w:t xml:space="preserve">https://doi.org/10.1214/aoms/1177700372</w:t>
        </w:r>
      </w:hyperlink>
      <w:r>
        <w:t xml:space="preserve">.</w:t>
      </w:r>
    </w:p>
    <w:bookmarkEnd w:id="227"/>
    <w:bookmarkStart w:id="229"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28">
        <w:r>
          <w:rPr>
            <w:rStyle w:val="Hyperlink"/>
          </w:rPr>
          <w:t xml:space="preserve">https://doi.org/10.1007/978-1-4612-4946-7</w:t>
        </w:r>
      </w:hyperlink>
      <w:r>
        <w:t xml:space="preserve">.</w:t>
      </w:r>
    </w:p>
    <w:bookmarkEnd w:id="229"/>
    <w:bookmarkStart w:id="231"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30">
        <w:r>
          <w:rPr>
            <w:rStyle w:val="Hyperlink"/>
          </w:rPr>
          <w:t xml:space="preserve">https://arxiv.org/abs/2504.07104</w:t>
        </w:r>
      </w:hyperlink>
      <w:r>
        <w:t xml:space="preserve">.</w:t>
      </w:r>
    </w:p>
    <w:bookmarkEnd w:id="231"/>
    <w:bookmarkStart w:id="233"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32">
        <w:r>
          <w:rPr>
            <w:rStyle w:val="Hyperlink"/>
          </w:rPr>
          <w:t xml:space="preserve">https://arxiv.org/abs/2503.04388</w:t>
        </w:r>
      </w:hyperlink>
      <w:r>
        <w:t xml:space="preserve">.</w:t>
      </w:r>
    </w:p>
    <w:bookmarkEnd w:id="233"/>
    <w:bookmarkStart w:id="235"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34">
        <w:r>
          <w:rPr>
            <w:rStyle w:val="Hyperlink"/>
          </w:rPr>
          <w:t xml:space="preserve">https://arxiv.org/abs/2605.05716</w:t>
        </w:r>
      </w:hyperlink>
      <w:r>
        <w:t xml:space="preserve">.</w:t>
      </w:r>
    </w:p>
    <w:bookmarkEnd w:id="235"/>
    <w:bookmarkStart w:id="237"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36">
        <w:r>
          <w:rPr>
            <w:rStyle w:val="Hyperlink"/>
          </w:rPr>
          <w:t xml:space="preserve">https://arxiv.org/abs/2307.03172</w:t>
        </w:r>
      </w:hyperlink>
      <w:r>
        <w:t xml:space="preserve">.</w:t>
      </w:r>
    </w:p>
    <w:bookmarkEnd w:id="237"/>
    <w:bookmarkStart w:id="239"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38">
        <w:r>
          <w:rPr>
            <w:rStyle w:val="Hyperlink"/>
          </w:rPr>
          <w:t xml:space="preserve">https://arxiv.org/abs/2411.00640</w:t>
        </w:r>
      </w:hyperlink>
      <w:r>
        <w:t xml:space="preserve">.</w:t>
      </w:r>
    </w:p>
    <w:bookmarkEnd w:id="239"/>
    <w:bookmarkStart w:id="241"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40">
        <w:r>
          <w:rPr>
            <w:rStyle w:val="Hyperlink"/>
          </w:rPr>
          <w:t xml:space="preserve">https://doi.org/10.1007/978-3-032-19099-4_23</w:t>
        </w:r>
      </w:hyperlink>
      <w:r>
        <w:t xml:space="preserve">.</w:t>
      </w:r>
    </w:p>
    <w:bookmarkEnd w:id="241"/>
    <w:bookmarkStart w:id="243"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42">
        <w:r>
          <w:rPr>
            <w:rStyle w:val="Hyperlink"/>
          </w:rPr>
          <w:t xml:space="preserve">https://arxiv.org/abs/2604.06621</w:t>
        </w:r>
      </w:hyperlink>
      <w:r>
        <w:t xml:space="preserve">.</w:t>
      </w:r>
    </w:p>
    <w:bookmarkEnd w:id="243"/>
    <w:bookmarkStart w:id="245"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44">
        <w:r>
          <w:rPr>
            <w:rStyle w:val="Hyperlink"/>
          </w:rPr>
          <w:t xml:space="preserve">https://arxiv.org/abs/2605.03534</w:t>
        </w:r>
      </w:hyperlink>
      <w:r>
        <w:t xml:space="preserve">.</w:t>
      </w:r>
    </w:p>
    <w:bookmarkEnd w:id="245"/>
    <w:bookmarkStart w:id="247"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46">
        <w:r>
          <w:rPr>
            <w:rStyle w:val="Hyperlink"/>
          </w:rPr>
          <w:t xml:space="preserve">https://doi.org/10.1108/eb026647</w:t>
        </w:r>
      </w:hyperlink>
      <w:r>
        <w:t xml:space="preserve">.</w:t>
      </w:r>
    </w:p>
    <w:bookmarkEnd w:id="247"/>
    <w:bookmarkStart w:id="249"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48">
        <w:r>
          <w:rPr>
            <w:rStyle w:val="Hyperlink"/>
          </w:rPr>
          <w:t xml:space="preserve">https://arxiv.org/abs/1402.4884</w:t>
        </w:r>
      </w:hyperlink>
      <w:r>
        <w:t xml:space="preserve">.</w:t>
      </w:r>
    </w:p>
    <w:bookmarkEnd w:id="249"/>
    <w:bookmarkStart w:id="251"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50">
        <w:r>
          <w:rPr>
            <w:rStyle w:val="Hyperlink"/>
          </w:rPr>
          <w:t xml:space="preserve">https://arxiv.org/abs/2302.00093</w:t>
        </w:r>
      </w:hyperlink>
      <w:r>
        <w:t xml:space="preserve">.</w:t>
      </w:r>
    </w:p>
    <w:bookmarkEnd w:id="251"/>
    <w:bookmarkStart w:id="253"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52">
        <w:r>
          <w:rPr>
            <w:rStyle w:val="Hyperlink"/>
          </w:rPr>
          <w:t xml:space="preserve">https://arxiv.org/abs/2301.12652</w:t>
        </w:r>
      </w:hyperlink>
      <w:r>
        <w:t xml:space="preserve">.</w:t>
      </w:r>
    </w:p>
    <w:bookmarkEnd w:id="253"/>
    <w:bookmarkStart w:id="255"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54">
        <w:r>
          <w:rPr>
            <w:rStyle w:val="Hyperlink"/>
          </w:rPr>
          <w:t xml:space="preserve">https://arxiv.org/abs/2304.09542</w:t>
        </w:r>
      </w:hyperlink>
      <w:r>
        <w:t xml:space="preserve">.</w:t>
      </w:r>
    </w:p>
    <w:bookmarkEnd w:id="255"/>
    <w:bookmarkStart w:id="257"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56">
        <w:r>
          <w:rPr>
            <w:rStyle w:val="Hyperlink"/>
          </w:rPr>
          <w:t xml:space="preserve">https://doi.org/10.1017/CBO9780511666353</w:t>
        </w:r>
      </w:hyperlink>
      <w:r>
        <w:t xml:space="preserve">.</w:t>
      </w:r>
    </w:p>
    <w:bookmarkEnd w:id="257"/>
    <w:bookmarkStart w:id="259"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58">
        <w:r>
          <w:rPr>
            <w:rStyle w:val="Hyperlink"/>
          </w:rPr>
          <w:t xml:space="preserve">https://arxiv.org/abs/2402.11750</w:t>
        </w:r>
      </w:hyperlink>
      <w:r>
        <w:t xml:space="preserve">.</w:t>
      </w:r>
    </w:p>
    <w:bookmarkEnd w:id="259"/>
    <w:bookmarkStart w:id="261"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60">
        <w:r>
          <w:rPr>
            <w:rStyle w:val="Hyperlink"/>
          </w:rPr>
          <w:t xml:space="preserve">https://arxiv.org/abs/2602.08294</w:t>
        </w:r>
      </w:hyperlink>
      <w:r>
        <w:t xml:space="preserve">.</w:t>
      </w:r>
    </w:p>
    <w:bookmarkEnd w:id="261"/>
    <w:bookmarkStart w:id="263"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62">
        <w:r>
          <w:rPr>
            <w:rStyle w:val="Hyperlink"/>
          </w:rPr>
          <w:t xml:space="preserve">https://doi.org/10.1145/1571941.1571963</w:t>
        </w:r>
      </w:hyperlink>
      <w:r>
        <w:t xml:space="preserve">.</w:t>
      </w:r>
    </w:p>
    <w:bookmarkEnd w:id="263"/>
    <w:bookmarkStart w:id="265" w:name="ref-bookrag2025"/>
    <w:p>
      <w:pPr>
        <w:pStyle w:val="Bibliography"/>
      </w:pPr>
      <w:r>
        <w:t xml:space="preserve">Wang, Shu, Yingli Zhou, and Yixiang Fang. 2025.</w:t>
      </w:r>
      <w:r>
        <w:t xml:space="preserve"> </w:t>
      </w:r>
      <w:r>
        <w:t xml:space="preserve">“</w:t>
      </w:r>
      <w:r>
        <w:t xml:space="preserve">BookRAG</w:t>
      </w:r>
      <w:r>
        <w:t xml:space="preserve">: A Hierarchical Structure-Aware Index-Based Approach for Retrieval-Augmented Generation on Complex Documents.”</w:t>
      </w:r>
      <w:r>
        <w:t xml:space="preserve"> </w:t>
      </w:r>
      <w:r>
        <w:rPr>
          <w:i/>
          <w:iCs/>
        </w:rPr>
        <w:t xml:space="preserve">arXiv Preprint arXiv:2512.03413</w:t>
      </w:r>
      <w:r>
        <w:t xml:space="preserve">.</w:t>
      </w:r>
      <w:r>
        <w:t xml:space="preserve"> </w:t>
      </w:r>
      <w:hyperlink r:id="rId264">
        <w:r>
          <w:rPr>
            <w:rStyle w:val="Hyperlink"/>
          </w:rPr>
          <w:t xml:space="preserve">https://arxiv.org/abs/2512.03413</w:t>
        </w:r>
      </w:hyperlink>
      <w:r>
        <w:t xml:space="preserve">.</w:t>
      </w:r>
    </w:p>
    <w:bookmarkEnd w:id="265"/>
    <w:bookmarkStart w:id="267"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66">
        <w:r>
          <w:rPr>
            <w:rStyle w:val="Hyperlink"/>
          </w:rPr>
          <w:t xml:space="preserve">https://arxiv.org/abs/2410.07523</w:t>
        </w:r>
      </w:hyperlink>
      <w:r>
        <w:t xml:space="preserve">.</w:t>
      </w:r>
    </w:p>
    <w:bookmarkEnd w:id="267"/>
    <w:bookmarkStart w:id="269"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68">
        <w:r>
          <w:rPr>
            <w:rStyle w:val="Hyperlink"/>
          </w:rPr>
          <w:t xml:space="preserve">https://arxiv.org/abs/2403.08319</w:t>
        </w:r>
      </w:hyperlink>
      <w:r>
        <w:t xml:space="preserve">.</w:t>
      </w:r>
    </w:p>
    <w:bookmarkEnd w:id="269"/>
    <w:bookmarkStart w:id="271"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70">
        <w:r>
          <w:rPr>
            <w:rStyle w:val="Hyperlink"/>
          </w:rPr>
          <w:t xml:space="preserve">https://arxiv.org/abs/2302.05698</w:t>
        </w:r>
      </w:hyperlink>
      <w:r>
        <w:t xml:space="preserve">.</w:t>
      </w:r>
    </w:p>
    <w:bookmarkEnd w:id="271"/>
    <w:bookmarkStart w:id="273"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72">
        <w:r>
          <w:rPr>
            <w:rStyle w:val="Hyperlink"/>
          </w:rPr>
          <w:t xml:space="preserve">https://arxiv.org/abs/2407.02485</w:t>
        </w:r>
      </w:hyperlink>
      <w:r>
        <w:t xml:space="preserve">.</w:t>
      </w:r>
    </w:p>
    <w:bookmarkEnd w:id="273"/>
    <w:bookmarkStart w:id="275"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74">
        <w:r>
          <w:rPr>
            <w:rStyle w:val="Hyperlink"/>
          </w:rPr>
          <w:t xml:space="preserve">https://arxiv.org/abs/2504.15630</w:t>
        </w:r>
      </w:hyperlink>
      <w:r>
        <w:t xml:space="preserve">.</w:t>
      </w:r>
    </w:p>
    <w:bookmarkEnd w:id="275"/>
    <w:bookmarkStart w:id="277"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76">
        <w:r>
          <w:rPr>
            <w:rStyle w:val="Hyperlink"/>
          </w:rPr>
          <w:t xml:space="preserve">https://arxiv.org/abs/2510.11358</w:t>
        </w:r>
      </w:hyperlink>
      <w:r>
        <w:t xml:space="preserve">.</w:t>
      </w:r>
    </w:p>
    <w:bookmarkEnd w:id="277"/>
    <w:bookmarkStart w:id="279"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78">
        <w:r>
          <w:rPr>
            <w:rStyle w:val="Hyperlink"/>
          </w:rPr>
          <w:t xml:space="preserve">https://arxiv.org/abs/2604.08920</w:t>
        </w:r>
      </w:hyperlink>
      <w:r>
        <w:t xml:space="preserve">.</w:t>
      </w:r>
    </w:p>
    <w:bookmarkEnd w:id="279"/>
    <w:bookmarkStart w:id="281"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80">
        <w:r>
          <w:rPr>
            <w:rStyle w:val="Hyperlink"/>
          </w:rPr>
          <w:t xml:space="preserve">https://arxiv.org/abs/2605.06028</w:t>
        </w:r>
      </w:hyperlink>
      <w:r>
        <w:t xml:space="preserve">.</w:t>
      </w:r>
    </w:p>
    <w:bookmarkEnd w:id="281"/>
    <w:bookmarkStart w:id="282"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82"/>
    <w:bookmarkStart w:id="284"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83">
        <w:r>
          <w:rPr>
            <w:rStyle w:val="Hyperlink"/>
          </w:rPr>
          <w:t xml:space="preserve">https://arxiv.org/abs/2405.18253</w:t>
        </w:r>
      </w:hyperlink>
      <w:r>
        <w:t xml:space="preserve">.</w:t>
      </w:r>
    </w:p>
    <w:bookmarkEnd w:id="284"/>
    <w:bookmarkStart w:id="286"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85">
        <w:r>
          <w:rPr>
            <w:rStyle w:val="Hyperlink"/>
          </w:rPr>
          <w:t xml:space="preserve">https://doi.org/10.1007/978-3-642-12275-0_32</w:t>
        </w:r>
      </w:hyperlink>
      <w:r>
        <w:t xml:space="preserve">.</w:t>
      </w:r>
    </w:p>
    <w:bookmarkEnd w:id="286"/>
    <w:bookmarkEnd w:id="287"/>
    <w:bookmarkEnd w:id="288"/>
    <w:bookmarkEnd w:id="2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5" Target="http://www.vldb.org/pvldb/vol6/p37-dong.pdf" TargetMode="External" /><Relationship Type="http://schemas.openxmlformats.org/officeDocument/2006/relationships/hyperlink" Id="rId204" Target="https://aclanthology.org/2026.findings-acl.583/" TargetMode="External" /><Relationship Type="http://schemas.openxmlformats.org/officeDocument/2006/relationships/hyperlink" Id="rId248" Target="https://arxiv.org/abs/1402.4884" TargetMode="External" /><Relationship Type="http://schemas.openxmlformats.org/officeDocument/2006/relationships/hyperlink" Id="rId206" Target="https://arxiv.org/abs/2002.08909" TargetMode="External" /><Relationship Type="http://schemas.openxmlformats.org/officeDocument/2006/relationships/hyperlink" Id="rId252" Target="https://arxiv.org/abs/2301.12652" TargetMode="External" /><Relationship Type="http://schemas.openxmlformats.org/officeDocument/2006/relationships/hyperlink" Id="rId250" Target="https://arxiv.org/abs/2302.00093" TargetMode="External" /><Relationship Type="http://schemas.openxmlformats.org/officeDocument/2006/relationships/hyperlink" Id="rId270" Target="https://arxiv.org/abs/2302.05698" TargetMode="External" /><Relationship Type="http://schemas.openxmlformats.org/officeDocument/2006/relationships/hyperlink" Id="rId210" Target="https://arxiv.org/abs/2304.04576" TargetMode="External" /><Relationship Type="http://schemas.openxmlformats.org/officeDocument/2006/relationships/hyperlink" Id="rId254" Target="https://arxiv.org/abs/2304.09542" TargetMode="External" /><Relationship Type="http://schemas.openxmlformats.org/officeDocument/2006/relationships/hyperlink" Id="rId236" Target="https://arxiv.org/abs/2307.03172" TargetMode="External" /><Relationship Type="http://schemas.openxmlformats.org/officeDocument/2006/relationships/hyperlink" Id="rId181" Target="https://arxiv.org/abs/2401.14887" TargetMode="External" /><Relationship Type="http://schemas.openxmlformats.org/officeDocument/2006/relationships/hyperlink" Id="rId258" Target="https://arxiv.org/abs/2402.11750" TargetMode="External" /><Relationship Type="http://schemas.openxmlformats.org/officeDocument/2006/relationships/hyperlink" Id="rId268" Target="https://arxiv.org/abs/2403.08319" TargetMode="External" /><Relationship Type="http://schemas.openxmlformats.org/officeDocument/2006/relationships/hyperlink" Id="rId283" Target="https://arxiv.org/abs/2405.18253" TargetMode="External" /><Relationship Type="http://schemas.openxmlformats.org/officeDocument/2006/relationships/hyperlink" Id="rId272" Target="https://arxiv.org/abs/2407.02485" TargetMode="External" /><Relationship Type="http://schemas.openxmlformats.org/officeDocument/2006/relationships/hyperlink" Id="rId220" Target="https://arxiv.org/abs/2410.05983" TargetMode="External" /><Relationship Type="http://schemas.openxmlformats.org/officeDocument/2006/relationships/hyperlink" Id="rId266" Target="https://arxiv.org/abs/2410.07523" TargetMode="External" /><Relationship Type="http://schemas.openxmlformats.org/officeDocument/2006/relationships/hyperlink" Id="rId200" Target="https://arxiv.org/abs/2410.20247" TargetMode="External" /><Relationship Type="http://schemas.openxmlformats.org/officeDocument/2006/relationships/hyperlink" Id="rId238" Target="https://arxiv.org/abs/2411.00640" TargetMode="External" /><Relationship Type="http://schemas.openxmlformats.org/officeDocument/2006/relationships/hyperlink" Id="rId167" Target="https://arxiv.org/abs/2411.01533" TargetMode="External" /><Relationship Type="http://schemas.openxmlformats.org/officeDocument/2006/relationships/hyperlink" Id="rId222" Target="https://arxiv.org/abs/2411.06037" TargetMode="External" /><Relationship Type="http://schemas.openxmlformats.org/officeDocument/2006/relationships/hyperlink" Id="rId208" Target="https://arxiv.org/abs/2502.17036" TargetMode="External" /><Relationship Type="http://schemas.openxmlformats.org/officeDocument/2006/relationships/hyperlink" Id="rId183" Target="https://arxiv.org/abs/2503.01478" TargetMode="External" /><Relationship Type="http://schemas.openxmlformats.org/officeDocument/2006/relationships/hyperlink" Id="rId165" Target="https://arxiv.org/abs/2503.01747" TargetMode="External" /><Relationship Type="http://schemas.openxmlformats.org/officeDocument/2006/relationships/hyperlink" Id="rId232" Target="https://arxiv.org/abs/2503.04388" TargetMode="External" /><Relationship Type="http://schemas.openxmlformats.org/officeDocument/2006/relationships/hyperlink" Id="rId194" Target="https://arxiv.org/abs/2503.05491" TargetMode="External" /><Relationship Type="http://schemas.openxmlformats.org/officeDocument/2006/relationships/hyperlink" Id="rId230" Target="https://arxiv.org/abs/2504.07104" TargetMode="External" /><Relationship Type="http://schemas.openxmlformats.org/officeDocument/2006/relationships/hyperlink" Id="rId274" Target="https://arxiv.org/abs/2504.15630" TargetMode="External" /><Relationship Type="http://schemas.openxmlformats.org/officeDocument/2006/relationships/hyperlink" Id="rId173" Target="https://arxiv.org/abs/2507.03279" TargetMode="External" /><Relationship Type="http://schemas.openxmlformats.org/officeDocument/2006/relationships/hyperlink" Id="rId177" Target="https://arxiv.org/abs/2508.21184" TargetMode="External" /><Relationship Type="http://schemas.openxmlformats.org/officeDocument/2006/relationships/hyperlink" Id="rId214" Target="https://arxiv.org/abs/2510.00079" TargetMode="External" /><Relationship Type="http://schemas.openxmlformats.org/officeDocument/2006/relationships/hyperlink" Id="rId187" Target="https://arxiv.org/abs/2510.05381" TargetMode="External" /><Relationship Type="http://schemas.openxmlformats.org/officeDocument/2006/relationships/hyperlink" Id="rId276" Target="https://arxiv.org/abs/2510.11358" TargetMode="External" /><Relationship Type="http://schemas.openxmlformats.org/officeDocument/2006/relationships/hyperlink" Id="rId171" Target="https://arxiv.org/abs/2511.17908" TargetMode="External" /><Relationship Type="http://schemas.openxmlformats.org/officeDocument/2006/relationships/hyperlink" Id="rId264" Target="https://arxiv.org/abs/2512.03413" TargetMode="External" /><Relationship Type="http://schemas.openxmlformats.org/officeDocument/2006/relationships/hyperlink" Id="rId216" Target="https://arxiv.org/abs/2512.06464" TargetMode="External" /><Relationship Type="http://schemas.openxmlformats.org/officeDocument/2006/relationships/hyperlink" Id="rId153" Target="https://arxiv.org/abs/2512.23617" TargetMode="External" /><Relationship Type="http://schemas.openxmlformats.org/officeDocument/2006/relationships/hyperlink" Id="rId218" Target="https://arxiv.org/abs/2601.05027" TargetMode="External" /><Relationship Type="http://schemas.openxmlformats.org/officeDocument/2006/relationships/hyperlink" Id="rId192" Target="https://arxiv.org/abs/2601.11273" TargetMode="External" /><Relationship Type="http://schemas.openxmlformats.org/officeDocument/2006/relationships/hyperlink" Id="rId175" Target="https://arxiv.org/abs/2601.16478" TargetMode="External" /><Relationship Type="http://schemas.openxmlformats.org/officeDocument/2006/relationships/hyperlink" Id="rId260" Target="https://arxiv.org/abs/2602.08294" TargetMode="External" /><Relationship Type="http://schemas.openxmlformats.org/officeDocument/2006/relationships/hyperlink" Id="rId242" Target="https://arxiv.org/abs/2604.06621" TargetMode="External" /><Relationship Type="http://schemas.openxmlformats.org/officeDocument/2006/relationships/hyperlink" Id="rId278" Target="https://arxiv.org/abs/2604.08920" TargetMode="External" /><Relationship Type="http://schemas.openxmlformats.org/officeDocument/2006/relationships/hyperlink" Id="rId244" Target="https://arxiv.org/abs/2605.03534" TargetMode="External" /><Relationship Type="http://schemas.openxmlformats.org/officeDocument/2006/relationships/hyperlink" Id="rId234" Target="https://arxiv.org/abs/2605.05716" TargetMode="External" /><Relationship Type="http://schemas.openxmlformats.org/officeDocument/2006/relationships/hyperlink" Id="rId280" Target="https://arxiv.org/abs/2605.06028" TargetMode="External" /><Relationship Type="http://schemas.openxmlformats.org/officeDocument/2006/relationships/hyperlink" Id="rId202" Target="https://arxiv.org/abs/2606.20047" TargetMode="External" /><Relationship Type="http://schemas.openxmlformats.org/officeDocument/2006/relationships/hyperlink" Id="rId196" Target="https://arxiv.org/abs/2608.26762" TargetMode="External" /><Relationship Type="http://schemas.openxmlformats.org/officeDocument/2006/relationships/hyperlink" Id="rId228" Target="https://doi.org/10.1007/978-1-4612-4946-7" TargetMode="External" /><Relationship Type="http://schemas.openxmlformats.org/officeDocument/2006/relationships/hyperlink" Id="rId240" Target="https://doi.org/10.1007/978-3-032-19099-4_23" TargetMode="External" /><Relationship Type="http://schemas.openxmlformats.org/officeDocument/2006/relationships/hyperlink" Id="rId285" Target="https://doi.org/10.1007/978-3-642-12275-0_32" TargetMode="External" /><Relationship Type="http://schemas.openxmlformats.org/officeDocument/2006/relationships/hyperlink" Id="rId198" Target="https://doi.org/10.1007/s10791-008-9045-0" TargetMode="External" /><Relationship Type="http://schemas.openxmlformats.org/officeDocument/2006/relationships/hyperlink" Id="rId256" Target="https://doi.org/10.1017/CBO9780511666353" TargetMode="External" /><Relationship Type="http://schemas.openxmlformats.org/officeDocument/2006/relationships/hyperlink" Id="rId179" Target="https://doi.org/10.1093/biomet/26.4.404" TargetMode="External" /><Relationship Type="http://schemas.openxmlformats.org/officeDocument/2006/relationships/hyperlink" Id="rId246" Target="https://doi.org/10.1108/eb026647" TargetMode="External" /><Relationship Type="http://schemas.openxmlformats.org/officeDocument/2006/relationships/hyperlink" Id="rId262" Target="https://doi.org/10.1145/1571941.1571963" TargetMode="External" /><Relationship Type="http://schemas.openxmlformats.org/officeDocument/2006/relationships/hyperlink" Id="rId169" Target="https://doi.org/10.1145/290941.291025" TargetMode="External" /><Relationship Type="http://schemas.openxmlformats.org/officeDocument/2006/relationships/hyperlink" Id="rId224" Target="https://doi.org/10.1145/3397271.3401075" TargetMode="External" /><Relationship Type="http://schemas.openxmlformats.org/officeDocument/2006/relationships/hyperlink" Id="rId226" Target="https://doi.org/10.1214/aoms/1177700372" TargetMode="External" /><Relationship Type="http://schemas.openxmlformats.org/officeDocument/2006/relationships/hyperlink" Id="rId189" Target="https://doi.org/10.1214/aoms/1177728174" TargetMode="External" /><Relationship Type="http://schemas.openxmlformats.org/officeDocument/2006/relationships/hyperlink" Id="rId162" Target="https://doi.org/10.1214/aoms/1177729032" TargetMode="External" /><Relationship Type="http://schemas.openxmlformats.org/officeDocument/2006/relationships/hyperlink" Id="rId157" Target="https://doi.org/10.5281/zenodo.20800031" TargetMode="External" /><Relationship Type="http://schemas.openxmlformats.org/officeDocument/2006/relationships/hyperlink" Id="rId155" Target="https://doi.org/10.5281/zenodo.20800175" TargetMode="External" /><Relationship Type="http://schemas.openxmlformats.org/officeDocument/2006/relationships/hyperlink" Id="rId159" Target="https://doi.org/10.5281/zenodo.20800209" TargetMode="External" /><Relationship Type="http://schemas.openxmlformats.org/officeDocument/2006/relationships/hyperlink" Id="rId75" Target="https://github.com/abilous-ti/blackwell-llm-context" TargetMode="External" /><Relationship Type="http://schemas.openxmlformats.org/officeDocument/2006/relationships/hyperlink" Id="rId212"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85" Target="http://www.vldb.org/pvldb/vol6/p37-dong.pdf" TargetMode="External" /><Relationship Type="http://schemas.openxmlformats.org/officeDocument/2006/relationships/hyperlink" Id="rId204" Target="https://aclanthology.org/2026.findings-acl.583/" TargetMode="External" /><Relationship Type="http://schemas.openxmlformats.org/officeDocument/2006/relationships/hyperlink" Id="rId248" Target="https://arxiv.org/abs/1402.4884" TargetMode="External" /><Relationship Type="http://schemas.openxmlformats.org/officeDocument/2006/relationships/hyperlink" Id="rId206" Target="https://arxiv.org/abs/2002.08909" TargetMode="External" /><Relationship Type="http://schemas.openxmlformats.org/officeDocument/2006/relationships/hyperlink" Id="rId252" Target="https://arxiv.org/abs/2301.12652" TargetMode="External" /><Relationship Type="http://schemas.openxmlformats.org/officeDocument/2006/relationships/hyperlink" Id="rId250" Target="https://arxiv.org/abs/2302.00093" TargetMode="External" /><Relationship Type="http://schemas.openxmlformats.org/officeDocument/2006/relationships/hyperlink" Id="rId270" Target="https://arxiv.org/abs/2302.05698" TargetMode="External" /><Relationship Type="http://schemas.openxmlformats.org/officeDocument/2006/relationships/hyperlink" Id="rId210" Target="https://arxiv.org/abs/2304.04576" TargetMode="External" /><Relationship Type="http://schemas.openxmlformats.org/officeDocument/2006/relationships/hyperlink" Id="rId254" Target="https://arxiv.org/abs/2304.09542" TargetMode="External" /><Relationship Type="http://schemas.openxmlformats.org/officeDocument/2006/relationships/hyperlink" Id="rId236" Target="https://arxiv.org/abs/2307.03172" TargetMode="External" /><Relationship Type="http://schemas.openxmlformats.org/officeDocument/2006/relationships/hyperlink" Id="rId181" Target="https://arxiv.org/abs/2401.14887" TargetMode="External" /><Relationship Type="http://schemas.openxmlformats.org/officeDocument/2006/relationships/hyperlink" Id="rId258" Target="https://arxiv.org/abs/2402.11750" TargetMode="External" /><Relationship Type="http://schemas.openxmlformats.org/officeDocument/2006/relationships/hyperlink" Id="rId268" Target="https://arxiv.org/abs/2403.08319" TargetMode="External" /><Relationship Type="http://schemas.openxmlformats.org/officeDocument/2006/relationships/hyperlink" Id="rId283" Target="https://arxiv.org/abs/2405.18253" TargetMode="External" /><Relationship Type="http://schemas.openxmlformats.org/officeDocument/2006/relationships/hyperlink" Id="rId272" Target="https://arxiv.org/abs/2407.02485" TargetMode="External" /><Relationship Type="http://schemas.openxmlformats.org/officeDocument/2006/relationships/hyperlink" Id="rId220" Target="https://arxiv.org/abs/2410.05983" TargetMode="External" /><Relationship Type="http://schemas.openxmlformats.org/officeDocument/2006/relationships/hyperlink" Id="rId266" Target="https://arxiv.org/abs/2410.07523" TargetMode="External" /><Relationship Type="http://schemas.openxmlformats.org/officeDocument/2006/relationships/hyperlink" Id="rId200" Target="https://arxiv.org/abs/2410.20247" TargetMode="External" /><Relationship Type="http://schemas.openxmlformats.org/officeDocument/2006/relationships/hyperlink" Id="rId238" Target="https://arxiv.org/abs/2411.00640" TargetMode="External" /><Relationship Type="http://schemas.openxmlformats.org/officeDocument/2006/relationships/hyperlink" Id="rId167" Target="https://arxiv.org/abs/2411.01533" TargetMode="External" /><Relationship Type="http://schemas.openxmlformats.org/officeDocument/2006/relationships/hyperlink" Id="rId222" Target="https://arxiv.org/abs/2411.06037" TargetMode="External" /><Relationship Type="http://schemas.openxmlformats.org/officeDocument/2006/relationships/hyperlink" Id="rId208" Target="https://arxiv.org/abs/2502.17036" TargetMode="External" /><Relationship Type="http://schemas.openxmlformats.org/officeDocument/2006/relationships/hyperlink" Id="rId183" Target="https://arxiv.org/abs/2503.01478" TargetMode="External" /><Relationship Type="http://schemas.openxmlformats.org/officeDocument/2006/relationships/hyperlink" Id="rId165" Target="https://arxiv.org/abs/2503.01747" TargetMode="External" /><Relationship Type="http://schemas.openxmlformats.org/officeDocument/2006/relationships/hyperlink" Id="rId232" Target="https://arxiv.org/abs/2503.04388" TargetMode="External" /><Relationship Type="http://schemas.openxmlformats.org/officeDocument/2006/relationships/hyperlink" Id="rId194" Target="https://arxiv.org/abs/2503.05491" TargetMode="External" /><Relationship Type="http://schemas.openxmlformats.org/officeDocument/2006/relationships/hyperlink" Id="rId230" Target="https://arxiv.org/abs/2504.07104" TargetMode="External" /><Relationship Type="http://schemas.openxmlformats.org/officeDocument/2006/relationships/hyperlink" Id="rId274" Target="https://arxiv.org/abs/2504.15630" TargetMode="External" /><Relationship Type="http://schemas.openxmlformats.org/officeDocument/2006/relationships/hyperlink" Id="rId173" Target="https://arxiv.org/abs/2507.03279" TargetMode="External" /><Relationship Type="http://schemas.openxmlformats.org/officeDocument/2006/relationships/hyperlink" Id="rId177" Target="https://arxiv.org/abs/2508.21184" TargetMode="External" /><Relationship Type="http://schemas.openxmlformats.org/officeDocument/2006/relationships/hyperlink" Id="rId214" Target="https://arxiv.org/abs/2510.00079" TargetMode="External" /><Relationship Type="http://schemas.openxmlformats.org/officeDocument/2006/relationships/hyperlink" Id="rId187" Target="https://arxiv.org/abs/2510.05381" TargetMode="External" /><Relationship Type="http://schemas.openxmlformats.org/officeDocument/2006/relationships/hyperlink" Id="rId276" Target="https://arxiv.org/abs/2510.11358" TargetMode="External" /><Relationship Type="http://schemas.openxmlformats.org/officeDocument/2006/relationships/hyperlink" Id="rId171" Target="https://arxiv.org/abs/2511.17908" TargetMode="External" /><Relationship Type="http://schemas.openxmlformats.org/officeDocument/2006/relationships/hyperlink" Id="rId264" Target="https://arxiv.org/abs/2512.03413" TargetMode="External" /><Relationship Type="http://schemas.openxmlformats.org/officeDocument/2006/relationships/hyperlink" Id="rId216" Target="https://arxiv.org/abs/2512.06464" TargetMode="External" /><Relationship Type="http://schemas.openxmlformats.org/officeDocument/2006/relationships/hyperlink" Id="rId153" Target="https://arxiv.org/abs/2512.23617" TargetMode="External" /><Relationship Type="http://schemas.openxmlformats.org/officeDocument/2006/relationships/hyperlink" Id="rId218" Target="https://arxiv.org/abs/2601.05027" TargetMode="External" /><Relationship Type="http://schemas.openxmlformats.org/officeDocument/2006/relationships/hyperlink" Id="rId192" Target="https://arxiv.org/abs/2601.11273" TargetMode="External" /><Relationship Type="http://schemas.openxmlformats.org/officeDocument/2006/relationships/hyperlink" Id="rId175" Target="https://arxiv.org/abs/2601.16478" TargetMode="External" /><Relationship Type="http://schemas.openxmlformats.org/officeDocument/2006/relationships/hyperlink" Id="rId260" Target="https://arxiv.org/abs/2602.08294" TargetMode="External" /><Relationship Type="http://schemas.openxmlformats.org/officeDocument/2006/relationships/hyperlink" Id="rId242" Target="https://arxiv.org/abs/2604.06621" TargetMode="External" /><Relationship Type="http://schemas.openxmlformats.org/officeDocument/2006/relationships/hyperlink" Id="rId278" Target="https://arxiv.org/abs/2604.08920" TargetMode="External" /><Relationship Type="http://schemas.openxmlformats.org/officeDocument/2006/relationships/hyperlink" Id="rId244" Target="https://arxiv.org/abs/2605.03534" TargetMode="External" /><Relationship Type="http://schemas.openxmlformats.org/officeDocument/2006/relationships/hyperlink" Id="rId234" Target="https://arxiv.org/abs/2605.05716" TargetMode="External" /><Relationship Type="http://schemas.openxmlformats.org/officeDocument/2006/relationships/hyperlink" Id="rId280" Target="https://arxiv.org/abs/2605.06028" TargetMode="External" /><Relationship Type="http://schemas.openxmlformats.org/officeDocument/2006/relationships/hyperlink" Id="rId202" Target="https://arxiv.org/abs/2606.20047" TargetMode="External" /><Relationship Type="http://schemas.openxmlformats.org/officeDocument/2006/relationships/hyperlink" Id="rId196" Target="https://arxiv.org/abs/2608.26762" TargetMode="External" /><Relationship Type="http://schemas.openxmlformats.org/officeDocument/2006/relationships/hyperlink" Id="rId228" Target="https://doi.org/10.1007/978-1-4612-4946-7" TargetMode="External" /><Relationship Type="http://schemas.openxmlformats.org/officeDocument/2006/relationships/hyperlink" Id="rId240" Target="https://doi.org/10.1007/978-3-032-19099-4_23" TargetMode="External" /><Relationship Type="http://schemas.openxmlformats.org/officeDocument/2006/relationships/hyperlink" Id="rId285" Target="https://doi.org/10.1007/978-3-642-12275-0_32" TargetMode="External" /><Relationship Type="http://schemas.openxmlformats.org/officeDocument/2006/relationships/hyperlink" Id="rId198" Target="https://doi.org/10.1007/s10791-008-9045-0" TargetMode="External" /><Relationship Type="http://schemas.openxmlformats.org/officeDocument/2006/relationships/hyperlink" Id="rId256" Target="https://doi.org/10.1017/CBO9780511666353" TargetMode="External" /><Relationship Type="http://schemas.openxmlformats.org/officeDocument/2006/relationships/hyperlink" Id="rId179" Target="https://doi.org/10.1093/biomet/26.4.404" TargetMode="External" /><Relationship Type="http://schemas.openxmlformats.org/officeDocument/2006/relationships/hyperlink" Id="rId246" Target="https://doi.org/10.1108/eb026647" TargetMode="External" /><Relationship Type="http://schemas.openxmlformats.org/officeDocument/2006/relationships/hyperlink" Id="rId262" Target="https://doi.org/10.1145/1571941.1571963" TargetMode="External" /><Relationship Type="http://schemas.openxmlformats.org/officeDocument/2006/relationships/hyperlink" Id="rId169" Target="https://doi.org/10.1145/290941.291025" TargetMode="External" /><Relationship Type="http://schemas.openxmlformats.org/officeDocument/2006/relationships/hyperlink" Id="rId224" Target="https://doi.org/10.1145/3397271.3401075" TargetMode="External" /><Relationship Type="http://schemas.openxmlformats.org/officeDocument/2006/relationships/hyperlink" Id="rId226" Target="https://doi.org/10.1214/aoms/1177700372" TargetMode="External" /><Relationship Type="http://schemas.openxmlformats.org/officeDocument/2006/relationships/hyperlink" Id="rId189" Target="https://doi.org/10.1214/aoms/1177728174" TargetMode="External" /><Relationship Type="http://schemas.openxmlformats.org/officeDocument/2006/relationships/hyperlink" Id="rId162" Target="https://doi.org/10.1214/aoms/1177729032" TargetMode="External" /><Relationship Type="http://schemas.openxmlformats.org/officeDocument/2006/relationships/hyperlink" Id="rId157" Target="https://doi.org/10.5281/zenodo.20800031" TargetMode="External" /><Relationship Type="http://schemas.openxmlformats.org/officeDocument/2006/relationships/hyperlink" Id="rId155" Target="https://doi.org/10.5281/zenodo.20800175" TargetMode="External" /><Relationship Type="http://schemas.openxmlformats.org/officeDocument/2006/relationships/hyperlink" Id="rId159" Target="https://doi.org/10.5281/zenodo.20800209" TargetMode="External" /><Relationship Type="http://schemas.openxmlformats.org/officeDocument/2006/relationships/hyperlink" Id="rId75" Target="https://github.com/abilous-ti/blackwell-llm-context" TargetMode="External" /><Relationship Type="http://schemas.openxmlformats.org/officeDocument/2006/relationships/hyperlink" Id="rId212"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Department of Information Systems and Networks Lviv Polytechnic National University, Lviv, Ukraine ORCID: 0009-0006-5467-7932 andriy.bilous@uitware.com</dc:creator>
  <cp:keywords/>
  <dcterms:created xsi:type="dcterms:W3CDTF">2026-09-08T07:52:17Z</dcterms:created>
  <dcterms:modified xsi:type="dcterms:W3CDTF">2026-09-08T07:52:17Z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Choosing what to put in a language model’s prompt is almost always done by scoring each candidate source with a single number and keeping the top few. We argue this is the wrong approach. The best context for one task is often useless for another. Two sources can be incomparable, in the exact sense of Blackwell’s 1953 comparison of experiments, and when they are, no single per-source score, relevance or utility, can rank them correctly for every task. To test this on real systems we use a simple check: run each source through a battery of pass/fail tasks, compare the pass rates, and attach confidence intervals so the comparison is auditable (a distribution-free verification). On six language models from four vendors we confirm (\geq 90\% confidence, both directions) that two hand-built sources are incomparable. On a designed trap task a lexical score, two dense retrievers, and a cross-encoder reranker all prefer the wrong source; only a listwise LLM reranker, which reads the deciding detail, gets it right, exactly the boundary the theory predicts. We also find that adding a strictly larger source can hurt: pass rates fall from 100\% to as low as 0\%, and controls rule out word order and length as the cause. The lesson is practical: treat context selection as a partial-order problem, not a scalar ranking, and compare sources by a verified pass-rate test rather than a relevance number. Scaling the selection rule this implies to large corpora is the main open problem.</vt:lpwstr>
  </property>
  <property fmtid="{D5CDD505-2E9C-101B-9397-08002B2CF9AE}" pid="3" name="bibliography">
    <vt:lpwstr>blackwell-paper.bib</vt:lpwstr>
  </property>
  <property fmtid="{D5CDD505-2E9C-101B-9397-08002B2CF9AE}" pid="4" name="date">
    <vt:lpwstr/>
  </property>
</Properties>
</file>