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r>
              <m:rPr>
                <m:sty m:val="p"/>
              </m:rPr>
              <m:t>,</m:t>
            </m:r>
            <m:r>
              <m:rPr>
                <m:sty m:val="p"/>
              </m:rPr>
              <m:t>*</m:t>
            </m:r>
          </m:sup>
        </m:sSup>
      </m:oMath>
      <w:r>
        <w:t xml:space="preserve"> </w:t>
      </w:r>
      <w:r>
        <w:t xml:space="preserve">Petro Pukach </w:t>
      </w:r>
      <m:oMath>
        <m:sSup>
          <m:e>
            <m:r>
              <m:t>​</m:t>
            </m:r>
          </m:e>
          <m:sup>
            <m:r>
              <m:t>2</m:t>
            </m:r>
          </m:sup>
        </m:sSup>
      </m:oMath>
      <w:r>
        <w:t xml:space="preserve"> </w:t>
      </w:r>
      <w:r>
        <w:t xml:space="preserve">Vasyl Lytvyn </w:t>
      </w:r>
      <m:oMath>
        <m:sSup>
          <m:e>
            <m:r>
              <m:t>​</m:t>
            </m:r>
          </m:e>
          <m:sup>
            <m:r>
              <m:t>1</m:t>
            </m:r>
          </m:sup>
        </m:sSup>
      </m:oMath>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 Lviv Polytechnic National University,</w:t>
      </w:r>
      <w:r>
        <w:br/>
      </w:r>
      <w:r>
        <w:t xml:space="preserve">S. Bandery St. 12, 79013 Lviv, Ukraine</w:t>
      </w:r>
      <w:r>
        <w:br/>
      </w:r>
      <m:oMath>
        <m:sSup>
          <m:e>
            <m:r>
              <m:t>​</m:t>
            </m:r>
          </m:e>
          <m:sup>
            <m:r>
              <m:t>2</m:t>
            </m:r>
          </m:sup>
        </m:sSup>
      </m:oMath>
      <w:r>
        <w:t xml:space="preserve"> Institute of Applied Mathematics and Fundamental Sciences, Lviv Polytechnic National University,</w:t>
      </w:r>
      <w:r>
        <w:br/>
      </w:r>
      <w:r>
        <w:t xml:space="preserve">S. Bandery St. 12, 79013 Lviv, Ukraine</w:t>
      </w:r>
      <w:r>
        <w:br/>
      </w:r>
      <w:r>
        <w:t xml:space="preserve">P.P.: Dr.Sc., Professor, Director of the Institute; V.L.: Dr.Sc., Full Professor, Head of Department;</w:t>
      </w:r>
      <w:r>
        <w:br/>
      </w:r>
      <w:r>
        <w:t xml:space="preserve">Z.R.: PhD, Associate Professor</w:t>
      </w:r>
      <w:r>
        <w:br/>
      </w:r>
      <w:r>
        <w:rPr>
          <w:rStyle w:val="VerbatimChar"/>
        </w:rPr>
        <w:t xml:space="preserve">andriy.bilous@uitware.com</w:t>
      </w:r>
      <w:r>
        <w:t xml:space="preserve"> </w:t>
      </w:r>
      <w:r>
        <w:t xml:space="preserve">(A.B.);</w:t>
      </w:r>
      <w:r>
        <w:t xml:space="preserve"> </w:t>
      </w:r>
      <w:r>
        <w:rPr>
          <w:rStyle w:val="VerbatimChar"/>
        </w:rPr>
        <w:t xml:space="preserve">petro.y.pukach@lpnu.ua</w:t>
      </w:r>
      <w:r>
        <w:t xml:space="preserve"> </w:t>
      </w:r>
      <w:r>
        <w:t xml:space="preserve">(P.P.);</w:t>
      </w:r>
      <w:r>
        <w:br/>
      </w:r>
      <w:r>
        <w:rPr>
          <w:rStyle w:val="VerbatimChar"/>
        </w:rPr>
        <w:t xml:space="preserve">vasyl.v.lytvyn@lpnu.ua</w:t>
      </w:r>
      <w:r>
        <w:t xml:space="preserve"> </w:t>
      </w:r>
      <w:r>
        <w:t xml:space="preserve">(V.L.);</w:t>
      </w:r>
      <w:r>
        <w:t xml:space="preserve"> </w:t>
      </w:r>
      <w:r>
        <w:rPr>
          <w:rStyle w:val="VerbatimChar"/>
        </w:rPr>
        <w:t xml:space="preserve">zoriana.l.rybchak@lpnu.ua</w:t>
      </w:r>
      <w:r>
        <w:t xml:space="preserve"> </w:t>
      </w:r>
      <w:r>
        <w:t xml:space="preserve">(Z.R.)</w:t>
      </w:r>
      <w:r>
        <w:br/>
      </w:r>
      <w:r>
        <w:t xml:space="preserve">ORCID: A.B. 0009-0006-5467-7932; P.P. 0000-0002-0359-5025;</w:t>
      </w:r>
      <w:r>
        <w:br/>
      </w:r>
      <w:r>
        <w:t xml:space="preserve">V.L. 0000-0002-9676-0180; Z.R. 0000-0002-5986-4618</w:t>
      </w:r>
      <w:r>
        <w:br/>
      </w:r>
      <m:oMath>
        <m:sSup>
          <m:e>
            <m:r>
              <m:t>​</m:t>
            </m:r>
          </m:e>
          <m:sup>
            <m:r>
              <m:rPr>
                <m:sty m:val="p"/>
              </m:rPr>
              <m:t>*</m:t>
            </m:r>
          </m:sup>
        </m:sSup>
      </m:oMath>
      <w:r>
        <w:t xml:space="preserve"> Correspondence:</w:t>
      </w:r>
      <w:r>
        <w:t xml:space="preserve"> </w:t>
      </w:r>
      <w:r>
        <w:rPr>
          <w:rStyle w:val="VerbatimChar"/>
        </w:rPr>
        <w:t xml:space="preserve">andriy.bilous@uitware.com</w:t>
      </w:r>
    </w:p>
    <w:p>
      <w:pPr>
        <w:pStyle w:val="AbstractTitle"/>
      </w:pPr>
      <w:r>
        <w:t xml:space="preserve">Abstract</w:t>
      </w:r>
    </w:p>
    <w:p>
      <w:pPr>
        <w:pStyle w:val="Abstract"/>
      </w:pPr>
      <w:r>
        <w:t xml:space="preserve">Choosing what to put in a language model’s prompt is usually done by scoring each candidate source</w:t>
      </w:r>
      <w:r>
        <w:t xml:space="preserve"> </w:t>
      </w:r>
      <w:r>
        <w:t xml:space="preserve">with one number and keeping the top few. We argue this is the wrong abstraction. Two sources can be</w:t>
      </w:r>
      <w:r>
        <w:t xml:space="preserve"> </w:t>
      </w:r>
      <w:r>
        <w:rPr>
          <w:i/>
          <w:iCs/>
        </w:rPr>
        <w:t xml:space="preserve">incomparable</w:t>
      </w:r>
      <w:r>
        <w:t xml:space="preserve"> </w:t>
      </w:r>
      <w:r>
        <w:t xml:space="preserve">in Blackwell’s 1953 sense, and when they are, no per-source score, relevance or</w:t>
      </w:r>
      <w:r>
        <w:t xml:space="preserve"> </w:t>
      </w:r>
      <w:r>
        <w:t xml:space="preserve">utility, can rank them correctly for every task. We test this by running each source through a</w:t>
      </w:r>
      <w:r>
        <w:t xml:space="preserve"> </w:t>
      </w:r>
      <w:r>
        <w:t xml:space="preserve">battery of pass/fail tasks and comparing pass rates with exact confidence intervals, a</w:t>
      </w:r>
      <w:r>
        <w:t xml:space="preserve"> </w:t>
      </w:r>
      <w:r>
        <w:t xml:space="preserve">distribution-free</w:t>
      </w:r>
      <w:r>
        <w:t xml:space="preserve"> </w:t>
      </w:r>
      <w:r>
        <w:rPr>
          <w:i/>
          <w:iCs/>
        </w:rPr>
        <w:t xml:space="preserve">verification</w:t>
      </w:r>
      <w:r>
        <w:t xml:space="preserve">. On six models from four vendors we verify (</w:t>
      </w:r>
      <m:oMath>
        <m:r>
          <m:rPr>
            <m:sty m:val="p"/>
          </m:rPr>
          <m:t>≥</m:t>
        </m:r>
        <m:r>
          <m:t>90</m:t>
        </m:r>
        <m:r>
          <m:rPr>
            <m:sty m:val="p"/>
          </m:rPr>
          <m:t>%</m:t>
        </m:r>
      </m:oMath>
      <w:r>
        <w:t xml:space="preserve"> </w:t>
      </w:r>
      <w:r>
        <w:t xml:space="preserve">confidence, both directions) that two hand-built sources are incomparable. On a designed trap, a</w:t>
      </w:r>
      <w:r>
        <w:t xml:space="preserve"> </w:t>
      </w:r>
      <w:r>
        <w:t xml:space="preserve">lexical score, two dense retrievers and a cross-encoder all prefer the wrong source, while a</w:t>
      </w:r>
      <w:r>
        <w:t xml:space="preserve"> </w:t>
      </w:r>
      <w:r>
        <w:t xml:space="preserve">listwise LLM reranker that reads the deciding detail gets it right, as the theory predicts. Adding</w:t>
      </w:r>
      <w:r>
        <w:t xml:space="preserve"> </w:t>
      </w:r>
      <w:r>
        <w:t xml:space="preserve">a larger source can also hurt: pass rates fall from</w:t>
      </w:r>
      <w:r>
        <w:t xml:space="preserve"> </w:t>
      </w:r>
      <m:oMath>
        <m:r>
          <m:t>100</m:t>
        </m:r>
        <m:r>
          <m:rPr>
            <m:sty m:val="p"/>
          </m:rPr>
          <m:t>%</m:t>
        </m:r>
      </m:oMath>
      <w:r>
        <w:t xml:space="preserve"> </w:t>
      </w:r>
      <w:r>
        <w:t xml:space="preserve">to</w:t>
      </w:r>
      <w:r>
        <w:t xml:space="preserve"> </w:t>
      </w:r>
      <m:oMath>
        <m:r>
          <m:t>0</m:t>
        </m:r>
        <m:r>
          <m:rPr>
            <m:sty m:val="p"/>
          </m:rPr>
          <m:t>%</m:t>
        </m:r>
      </m:oMath>
      <w:r>
        <w:t xml:space="preserve"> </w:t>
      </w:r>
      <w:r>
        <w:t xml:space="preserve">on eleven of twelve cells,</w:t>
      </w:r>
      <w:r>
        <w:t xml:space="preserve"> </w:t>
      </w:r>
      <w:r>
        <w:t xml:space="preserve">with controls ruling out length and position. The lesson is practical: treat context</w:t>
      </w:r>
      <w:r>
        <w:t xml:space="preserve"> </w:t>
      </w:r>
      <w:r>
        <w:t xml:space="preserve">selection as a partial order and compare sources by a verified pass-rate test, not a relevance</w:t>
      </w:r>
      <w:r>
        <w:t xml:space="preserve"> </w:t>
      </w:r>
      <w:r>
        <w:t xml:space="preserve">number. Scaling the implied selection rule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5"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(Blackwell 1953; Torgersen 1991)</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(H. Zhang et al. 2026)</w:t>
      </w:r>
      <w:r>
        <w:t xml:space="preserve">; that the same</w:t>
      </w:r>
      <w:r>
        <w:t xml:space="preserve"> </w:t>
      </w:r>
      <w:r>
        <w:t xml:space="preserve">passage is worth different amounts to different models is measured there </w:t>
      </w:r>
      <w:r>
        <w:t xml:space="preserve">(Zhang et al. 2025)</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(Dong et al. 2012)</w:t>
      </w:r>
      <w:r>
        <w:t xml:space="preserve">; that rerankers are steered by lexical similarity is</w:t>
      </w:r>
      <w:r>
        <w:t xml:space="preserve"> </w:t>
      </w:r>
      <w:r>
        <w:t xml:space="preserve">documented in the wild </w:t>
      </w:r>
      <w:r>
        <w:t xml:space="preserve">(Hagström, Nie, et al. 2025)</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(Zhu et al. 2026)</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(Alpila 2026a)</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 uniform verification</w:t>
      </w:r>
      <w:r>
        <w:t xml:space="preserve"> </w:t>
      </w:r>
      <w:r>
        <w:t xml:space="preserve">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 on every model, with two-sided lower</w:t>
      </w:r>
      <w:r>
        <w:t xml:space="preserve"> </w:t>
      </w:r>
      <w:r>
        <w:t xml:space="preserve">bounds from</w:t>
      </w:r>
      <w:r>
        <w:t xml:space="preserve"> </w:t>
      </w:r>
      <m:oMath>
        <m:r>
          <m:rPr>
            <m:sty m:val="p"/>
          </m:rPr>
          <m:t>+</m:t>
        </m:r>
        <m:r>
          <m:t>0.35</m:t>
        </m:r>
      </m:oMath>
      <w:r>
        <w:t xml:space="preserve"> </w:t>
      </w:r>
      <w:r>
        <w:t xml:space="preserve">to</w:t>
      </w:r>
      <w:r>
        <w:t xml:space="preserve"> </w:t>
      </w:r>
      <m:oMath>
        <m:r>
          <m:rPr>
            <m:sty m:val="p"/>
          </m:rPr>
          <m:t>+</m:t>
        </m:r>
        <m:r>
          <m:t>0.76</m:t>
        </m:r>
      </m:oMath>
      <w:r>
        <w:t xml:space="preserve"> </w:t>
      </w:r>
      <w:r>
        <w:t xml:space="preserve">at</w:t>
      </w:r>
      <w:r>
        <w:t xml:space="preserve"> </w:t>
      </w:r>
      <m:oMath>
        <m:r>
          <m:t>n</m:t>
        </m:r>
        <m:r>
          <m:rPr>
            <m:sty m:val="p"/>
          </m:rPr>
          <m:t>=</m:t>
        </m:r>
        <m:r>
          <m:t>40</m:t>
        </m:r>
      </m:oMath>
      <w:r>
        <w:t xml:space="preserve"> </w:t>
      </w:r>
      <w:r>
        <w:t xml:space="preserve">(§7.4.1), so incomparability is</w:t>
      </w:r>
      <w:r>
        <w:t xml:space="preserve"> </w:t>
      </w:r>
      <w:r>
        <w:t xml:space="preserve">not a single-lab artifact.</w:t>
      </w:r>
    </w:p>
    <w:p>
      <w:pPr>
        <w:numPr>
          <w:ilvl w:val="0"/>
          <w:numId w:val="1001"/>
        </w:numPr>
      </w:pPr>
      <w:r>
        <w:rPr>
          <w:b/>
          <w:bCs/>
        </w:rPr>
        <w:t xml:space="preserve">Representative topical rankers mis-rank the pair.</w:t>
      </w:r>
      <w:r>
        <w:t xml:space="preserve"> </w:t>
      </w:r>
      <w:r>
        <w:t xml:space="preserve">On a trap task saturated with</w:t>
      </w:r>
      <w:r>
        <w:t xml:space="preserve"> </w:t>
      </w:r>
      <w:r>
        <w:t xml:space="preserve">encoding vocabulary, lexical relevance ranks</w:t>
      </w:r>
      <w:r>
        <w:t xml:space="preserve"> </w:t>
      </w:r>
      <m:oMath>
        <m:sSub>
          <m:e>
            <m:r>
              <m:t>W</m:t>
            </m:r>
          </m:e>
          <m:sub>
            <m:r>
              <m:t>2</m:t>
            </m:r>
          </m:sub>
        </m:sSub>
        <m:r>
          <m:rPr>
            <m:sty m:val="p"/>
          </m:rPr>
          <m:t>≻</m:t>
        </m:r>
        <m:sSub>
          <m:e>
            <m:r>
              <m:t>W</m:t>
            </m:r>
          </m:e>
          <m:sub>
            <m:r>
              <m:t>1</m:t>
            </m:r>
          </m:sub>
        </m:sSub>
      </m:oMath>
      <w:r>
        <w:t xml:space="preserve"> </w:t>
      </w:r>
      <w:r>
        <w:t xml:space="preserve">while realized PASS ranks</w:t>
      </w:r>
      <w:r>
        <w:t xml:space="preserve"> </w:t>
      </w:r>
      <m:oMath>
        <m:sSub>
          <m:e>
            <m:r>
              <m:t>W</m:t>
            </m:r>
          </m:e>
          <m:sub>
            <m:r>
              <m:t>1</m:t>
            </m:r>
          </m:sub>
        </m:sSub>
        <m:r>
          <m:rPr>
            <m:sty m:val="p"/>
          </m:rPr>
          <m:t>≫</m:t>
        </m:r>
        <m:sSub>
          <m:e>
            <m:r>
              <m:t>W</m:t>
            </m:r>
          </m:e>
          <m:sub>
            <m:r>
              <m:t>2</m:t>
            </m:r>
          </m:sub>
        </m:sSub>
      </m:oMath>
      <w:r>
        <w:t xml:space="preserve"> </w:t>
      </w:r>
      <w:r>
        <w:t xml:space="preserve">(</w:t>
      </w:r>
      <m:oMath>
        <m:r>
          <m:t>90</m:t>
        </m:r>
      </m:oMath>
      <w:r>
        <w:t xml:space="preserve">–</w:t>
      </w:r>
      <m:oMath>
        <m:r>
          <m:t>100</m:t>
        </m:r>
        <m:r>
          <m:rPr>
            <m:sty m:val="p"/>
          </m:rPr>
          <m:t>%</m:t>
        </m:r>
      </m:oMath>
      <w:r>
        <w:t xml:space="preserve"> </w:t>
      </w:r>
      <w:r>
        <w:t xml:space="preserve">vs. </w:t>
      </w:r>
      <m:oMath>
        <m:r>
          <m:t>0</m:t>
        </m:r>
        <m:r>
          <m:rPr>
            <m:sty m:val="p"/>
          </m:rPr>
          <m:t>%</m:t>
        </m:r>
      </m:oMath>
      <w:r>
        <w:t xml:space="preserve">); two dense bi-encoders and a cross-encoder repeat the</w:t>
      </w:r>
      <w:r>
        <w:t xml:space="preserve"> </w:t>
      </w:r>
      <w:r>
        <w:t xml:space="preserve">error, and an LLM listwise reranker escapes it (§7.4.2). The lexical and</w:t>
      </w:r>
      <w:r>
        <w:t xml:space="preserve"> </w:t>
      </w:r>
      <w:r>
        <w:t xml:space="preserve">dense rankers agree with PASS on both honest cells, so their failure occurs</w:t>
      </w:r>
      <w:r>
        <w:t xml:space="preserve"> </w:t>
      </w:r>
      <w:r>
        <w:rPr>
          <w:i/>
          <w:iCs/>
        </w:rPr>
        <w:t xml:space="preserve">only</w:t>
      </w:r>
      <w:r>
        <w:t xml:space="preserve"> </w:t>
      </w:r>
      <w:r>
        <w:t xml:space="preserve">where</w:t>
      </w:r>
      <w:r>
        <w:t xml:space="preserve"> </w:t>
      </w:r>
      <w:r>
        <w:t xml:space="preserve">surface relevance diverges from verifier-decisive content, which is the boundary</w:t>
      </w:r>
      <w:r>
        <w:t xml:space="preserve"> </w:t>
      </w:r>
      <w:r>
        <w:t xml:space="preserve">Proposition 2 draws.</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w:t>
      </w:r>
      <w:r>
        <w:t xml:space="preserve"> </w:t>
      </w:r>
      <w:r>
        <w:t xml:space="preserve">operator</w:t>
      </w:r>
      <w:r>
        <w:t xml:space="preserve"> </w:t>
      </w:r>
      <m:oMath>
        <m:r>
          <m:t> </m:t>
        </m:r>
        <m:r>
          <m:rPr>
            <m:sty m:val="p"/>
          </m:rPr>
          <m:t>+</m:t>
        </m:r>
        <m:r>
          <m:rPr>
            <m:sty m:val="p"/>
          </m:rPr>
          <m:t>+</m:t>
        </m:r>
        <m:r>
          <m:t> </m:t>
        </m:r>
      </m:oMath>
      <w:r>
        <w:t xml:space="preserve"> </w:t>
      </w:r>
      <w:r>
        <w:t xml:space="preserve">is text concatenation) literally</w:t>
      </w:r>
      <w:r>
        <w:t xml:space="preserve"> </w:t>
      </w:r>
      <w:r>
        <w:rPr>
          <w:i/>
          <w:iCs/>
        </w:rPr>
        <w:t xml:space="preserve">contains</w:t>
      </w:r>
      <w:r>
        <w:t xml:space="preserve"> </w:t>
      </w:r>
      <m:oMath>
        <m:sSub>
          <m:e>
            <m:r>
              <m:t>W</m:t>
            </m:r>
          </m:e>
          <m:sub>
            <m:r>
              <m:t>1</m:t>
            </m:r>
          </m:sub>
        </m:sSub>
      </m:oMath>
      <w:r>
        <w:t xml:space="preserve">’s signal yet sharply</w:t>
      </w:r>
      <w:r>
        <w:t xml:space="preserve"> </w:t>
      </w:r>
      <w:r>
        <w:t xml:space="preserve">degrades the API cells: the harm contrast is verified on at least one cell for all six models,</w:t>
      </w:r>
      <w:r>
        <w:t xml:space="preserve"> </w:t>
      </w:r>
      <w:r>
        <w:t xml:space="preserve">as deep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0.86</m:t>
        </m:r>
      </m:oMath>
      <w:r>
        <w:t xml:space="preserve">) and as mild as Opus’s</w:t>
      </w:r>
      <w:r>
        <w:t xml:space="preserve"> </w:t>
      </w:r>
      <m:oMath>
        <m:r>
          <m:t>100</m:t>
        </m:r>
        <m:r>
          <m:rPr>
            <m:sty m:val="p"/>
          </m:rPr>
          <m:t>%</m:t>
        </m:r>
        <m:r>
          <m:rPr>
            <m:sty m:val="p"/>
          </m:rPr>
          <m:t>→</m:t>
        </m:r>
        <m:r>
          <m:t>38</m:t>
        </m:r>
        <m:r>
          <m:rPr>
            <m:sty m:val="p"/>
          </m:rPr>
          <m:t>%</m:t>
        </m:r>
      </m:oMath>
      <w:r>
        <w:t xml:space="preserve"> </w:t>
      </w:r>
      <w:r>
        <w:t xml:space="preserve">(</w:t>
      </w:r>
      <m:oMath>
        <m:r>
          <m:rPr>
            <m:sty m:val="p"/>
          </m:rPr>
          <m:t>−</m:t>
        </m:r>
        <m:r>
          <m:t>0.41</m:t>
        </m:r>
      </m:oMath>
      <w:r>
        <w:t xml:space="preserve">); a length-matched padding control shows equal-length irrelevant text is harmless, so</w:t>
      </w:r>
      <w:r>
        <w:t xml:space="preserve"> </w:t>
      </w:r>
      <w:r>
        <w:t xml:space="preserve">the harm is the added signal, not token count or position (§7.4.3). The</w:t>
      </w:r>
      <w:r>
        <w:t xml:space="preserve"> </w:t>
      </w:r>
      <w:r>
        <w:t xml:space="preserve">effect is robust across the capability ladder but not monotone in capability, so we claim no</w:t>
      </w:r>
      <w:r>
        <w:t xml:space="preserve"> </w:t>
      </w:r>
      <w:r>
        <w:t xml:space="preserve">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reported</w:t>
      </w:r>
      <w:r>
        <w:t xml:space="preserve"> </w:t>
      </w:r>
      <w:r>
        <w:t xml:space="preserve">as supporting evidence rather than a headline claim.</w:t>
      </w:r>
    </w:p>
    <w:bookmarkEnd w:id="11"/>
    <w:bookmarkStart w:id="12"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2"/>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The selection multiplicity is paid explicitly rather than absorbed</w:t>
      </w:r>
      <w:r>
        <w:t xml:space="preserve"> </w:t>
      </w:r>
      <w:r>
        <w:t xml:space="preserve">into a single-sample sup inequality </w:t>
      </w:r>
      <w:r>
        <w:t xml:space="preserve">(Dvoretzky et al. 1956)</w:t>
      </w:r>
      <w:r>
        <w:t xml:space="preserve">, which does not cover an argmax over</w:t>
      </w:r>
      <w:r>
        <w:t xml:space="preserve"> </w:t>
      </w:r>
      <w:r>
        <w:t xml:space="preserve">distinct cells; the matching interference verification follows.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2"/>
    <w:bookmarkStart w:id="14"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 A</w:t>
      </w:r>
      <w:r>
        <w:t xml:space="preserve"> </w:t>
      </w:r>
      <w:r>
        <w:t xml:space="preserve">reader who wants the measured result first can go directly to §7:</w:t>
      </w:r>
      <w:r>
        <w:t xml:space="preserve"> </w:t>
      </w:r>
      <w:r>
        <w:t xml:space="preserve">§§3–6 establish what the measured quantities mean and</w:t>
      </w:r>
      <w:r>
        <w:t xml:space="preserve"> </w:t>
      </w:r>
      <w:r>
        <w:t xml:space="preserve">what may be concluded from them, and every proof is deferred to Appendix A.</w:t>
      </w:r>
    </w:p>
    <w:bookmarkStart w:id="13"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3"/>
    <w:bookmarkEnd w:id="14"/>
    <w:bookmarkEnd w:id="15"/>
    <w:bookmarkStart w:id="25" w:name="sec:related"/>
    <w:p>
      <w:pPr>
        <w:pStyle w:val="Heading1"/>
      </w:pPr>
      <w:r>
        <w:t xml:space="preserve">Related Work</w:t>
      </w:r>
    </w:p>
    <w:bookmarkStart w:id="16" w:name="positioning."/>
    <w:p>
      <w:pPr>
        <w:pStyle w:val="Heading4"/>
      </w:pPr>
      <w:r>
        <w:t xml:space="preserve">Positioning.</w:t>
      </w:r>
    </w:p>
    <w:p>
      <w:pPr>
        <w:pStyle w:val="FirstParagraph"/>
      </w:pPr>
      <w:r>
        <w:t xml:space="preserve">The tools we use are classical, Blackwell’s garbling order </w:t>
      </w:r>
      <w:r>
        <w:t xml:space="preserve">(Blackwell 1953)</w:t>
      </w:r>
      <w:r>
        <w:t xml:space="preserve"> </w:t>
      </w:r>
      <w:r>
        <w:t xml:space="preserve">and Le Cam’s</w:t>
      </w:r>
      <w:r>
        <w:t xml:space="preserve"> </w:t>
      </w:r>
      <w:r>
        <w:t xml:space="preserve">deficiency </w:t>
      </w:r>
      <w:r>
        <w:t xml:space="preserve">(Le Cam 1964, 1986)</w:t>
      </w:r>
      <w:r>
        <w:t xml:space="preserve">; we add no new core mathematics, and bringing them to</w:t>
      </w:r>
      <w:r>
        <w:t xml:space="preserve"> </w:t>
      </w:r>
      <w:r>
        <w:t xml:space="preserve">inference-time context is concurrent with, not prior to,</w:t>
      </w:r>
      <w:r>
        <w:t xml:space="preserve"> </w:t>
      </w:r>
      <w:r>
        <w:t xml:space="preserve">Alpila (2026a)</w:t>
      </w:r>
      <w:r>
        <w:t xml:space="preserve"> </w:t>
      </w:r>
      <w:r>
        <w:t xml:space="preserve">(§2.3). Our contribution is to take</w:t>
      </w:r>
      <w:r>
        <w:t xml:space="preserve"> </w:t>
      </w:r>
      <w:r>
        <w:rPr>
          <w:i/>
          <w:iCs/>
        </w:rPr>
        <w:t xml:space="preserve">incomparability</w:t>
      </w:r>
      <w:r>
        <w:t xml:space="preserve"> </w:t>
      </w:r>
      <w:r>
        <w:t xml:space="preserve">as the object</w:t>
      </w:r>
      <w:r>
        <w:t xml:space="preserve"> </w:t>
      </w:r>
      <w:r>
        <w:t xml:space="preserve">and make it measurable.</w:t>
      </w:r>
    </w:p>
    <w:bookmarkEnd w:id="16"/>
    <w:bookmarkStart w:id="18" w:name="sec:related-scalar"/>
    <w:p>
      <w:pPr>
        <w:pStyle w:val="Heading2"/>
      </w:pPr>
      <w:r>
        <w:t xml:space="preserve">Scalar selection and its limits in information retrieval</w:t>
      </w:r>
    </w:p>
    <w:p>
      <w:pPr>
        <w:pStyle w:val="FirstParagraph"/>
      </w:pPr>
      <w:bookmarkStart w:id="17" w:name="sec:related-ir"/>
      <w:bookmarkEnd w:id="17"/>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and conjecture it</w:t>
      </w:r>
      <w:r>
        <w:t xml:space="preserve"> </w:t>
      </w:r>
      <w:r>
        <w:t xml:space="preserve">for the rest).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give confidence-bound algorithms that identify the</w:t>
      </w:r>
      <w:r>
        <w:t xml:space="preserve"> </w:t>
      </w:r>
      <w:r>
        <w:t xml:space="preserve">Pareto front from stochastic samples, with a gap-based sample complexity of the kind our</w:t>
      </w:r>
      <w:r>
        <w:t xml:space="preserve"> </w:t>
      </w:r>
      <w:r>
        <w:t xml:space="preserve">verification pays for directly. What is new here is not the statistical machinery but the object</w:t>
      </w:r>
      <w:r>
        <w:t xml:space="preserve"> </w:t>
      </w:r>
      <w:r>
        <w:t xml:space="preserve">it is run on, (model, verifier, task-battery) triples, and its use as a verification of</w:t>
      </w:r>
      <w:r>
        <w:t xml:space="preserve"> </w:t>
      </w:r>
      <w:r>
        <w:t xml:space="preserve">incomparability between context sources.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only a scorer that reads the decisive coordinate escapes,</w:t>
      </w:r>
      <w:r>
        <w:t xml:space="preserve"> </w:t>
      </w:r>
      <w:r>
        <w:t xml:space="preserve">which is the listwise boundary.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(Zhu et al. 2026)</w:t>
      </w:r>
      <w:r>
        <w:t xml:space="preserve"> </w:t>
      </w:r>
      <w:r>
        <w:t xml:space="preserve">keeps every non-dominated candidate instead of a top-</w:t>
      </w:r>
      <m:oMath>
        <m:r>
          <m:t>k</m:t>
        </m:r>
      </m:oMath>
      <w:r>
        <w:t xml:space="preserve">, the</w:t>
      </w:r>
      <w:r>
        <w:t xml:space="preserve"> </w:t>
      </w:r>
      <w:r>
        <w:t xml:space="preserve">operator our own selection rule uses,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context selection </w:t>
      </w:r>
      <w:r>
        <w:t xml:space="preserve">(Ghulyani et al. 2026)</w:t>
      </w:r>
      <w:r>
        <w:t xml:space="preserve">, optimizes set</w:t>
      </w:r>
      <w:r>
        <w:t xml:space="preserve"> </w:t>
      </w:r>
      <w:r>
        <w:t xml:space="preserve">objectives over similarity geometry rather than over verified task value. Directed-information</w:t>
      </w:r>
      <w:r>
        <w:t xml:space="preserve"> </w:t>
      </w:r>
      <m:oMath>
        <m:r>
          <m:t>γ</m:t>
        </m:r>
      </m:oMath>
      <w:r>
        <w:t xml:space="preserve">-covering </w:t>
      </w:r>
      <w:r>
        <w:t xml:space="preserve">(Huang 2025)</w:t>
      </w:r>
      <w:r>
        <w:t xml:space="preserve"> </w:t>
      </w:r>
      <w:r>
        <w:t xml:space="preserve">is the closest of these in form, because its covering</w:t>
      </w:r>
      <w:r>
        <w:t xml:space="preserve"> </w:t>
      </w:r>
      <w:r>
        <w:t xml:space="preserve">relation is genuinely</w:t>
      </w:r>
      <w:r>
        <w:t xml:space="preserve"> </w:t>
      </w:r>
      <w:r>
        <w:rPr>
          <w:i/>
          <w:iCs/>
        </w:rPr>
        <w:t xml:space="preserve">asymmetric</w:t>
      </w:r>
      <w:r>
        <w:t xml:space="preserve"> </w:t>
      </w:r>
      <w:r>
        <w:t xml:space="preserve">and information-theoretic rather than geometric: chunk</w:t>
      </w:r>
      <w:r>
        <w:t xml:space="preserve"> </w:t>
      </w:r>
      <m:oMath>
        <m:r>
          <m:t>i</m:t>
        </m:r>
      </m:oMath>
      <w:r>
        <w:t xml:space="preserve"> </w:t>
      </w:r>
      <w:r>
        <w:t xml:space="preserve">covers chunk</w:t>
      </w:r>
      <w:r>
        <w:t xml:space="preserve"> </w:t>
      </w:r>
      <m:oMath>
        <m:r>
          <m:t>j</m:t>
        </m:r>
      </m:oMath>
      <w:r>
        <w:t xml:space="preserve"> </w:t>
      </w:r>
      <w:r>
        <w:t xml:space="preserve">when it predicts</w:t>
      </w:r>
      <w:r>
        <w:t xml:space="preserve"> </w:t>
      </w:r>
      <m:oMath>
        <m:r>
          <m:t>j</m:t>
        </m:r>
      </m:oMath>
      <w:r>
        <w:t xml:space="preserve"> </w:t>
      </w:r>
      <w:r>
        <w:t xml:space="preserve">to within</w:t>
      </w:r>
      <w:r>
        <w:t xml:space="preserve"> </w:t>
      </w:r>
      <m:oMath>
        <m:r>
          <m:t>γ</m:t>
        </m:r>
      </m:oMath>
      <w:r>
        <w:t xml:space="preserve"> </w:t>
      </w:r>
      <w:r>
        <w:t xml:space="preserve">bits. The relation it orders, however, is</w:t>
      </w:r>
      <w:r>
        <w:t xml:space="preserve"> </w:t>
      </w:r>
      <w:r>
        <w:t xml:space="preserve">redundancy</w:t>
      </w:r>
      <w:r>
        <w:t xml:space="preserve"> </w:t>
      </w:r>
      <w:r>
        <w:rPr>
          <w:i/>
          <w:iCs/>
        </w:rPr>
        <w:t xml:space="preserve">between sources</w:t>
      </w:r>
      <w:r>
        <w:t xml:space="preserve">, computed query-agnostically and offline, so it prunes what</w:t>
      </w:r>
      <w:r>
        <w:t xml:space="preserve"> </w:t>
      </w:r>
      <w:r>
        <w:t xml:space="preserve">another chunk already predicts; it never exhibits two sources each decisive on a task the other</w:t>
      </w:r>
      <w:r>
        <w:t xml:space="preserve"> </w:t>
      </w:r>
      <w:r>
        <w:t xml:space="preserve">fails, which is the relation we measure.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w:t>
      </w:r>
      <w:r>
        <w:t xml:space="preserve">, and the companion</w:t>
      </w:r>
      <w:r>
        <w:t xml:space="preserve"> </w:t>
      </w:r>
      <w:r>
        <w:t xml:space="preserve">observation that relevance does not imply</w:t>
      </w:r>
      <w:r>
        <w:t xml:space="preserve"> </w:t>
      </w:r>
      <w:r>
        <w:rPr>
          <w:i/>
          <w:iCs/>
        </w:rPr>
        <w:t xml:space="preserve">sufficiency</w:t>
      </w:r>
      <w:r>
        <w:t xml:space="preserve">, so that missing hops and unresolved</w:t>
      </w:r>
      <w:r>
        <w:t xml:space="preserve"> </w:t>
      </w:r>
      <w:r>
        <w:t xml:space="preserve">conflicts cannot be detected by scoring passages independently, is argued at the set</w:t>
      </w:r>
      <w:r>
        <w:t xml:space="preserve"> </w:t>
      </w:r>
      <w:r>
        <w:t xml:space="preserve">level </w:t>
      </w:r>
      <w:r>
        <w:t xml:space="preserve">(Qiu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18"/>
    <w:bookmarkStart w:id="19"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(F. 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is verified against length, position, and formatting controls to be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19"/>
    <w:bookmarkStart w:id="22" w:name="sec:related-deficiency"/>
    <w:p>
      <w:pPr>
        <w:pStyle w:val="Heading2"/>
      </w:pPr>
      <w:r>
        <w:t xml:space="preserve">The comparison of experiments in machine learning</w:t>
      </w:r>
    </w:p>
    <w:p>
      <w:pPr>
        <w:pStyle w:val="FirstParagraph"/>
      </w:pPr>
      <w:bookmarkStart w:id="20" w:name="sec:related-llmrep"/>
      <w:bookmarkEnd w:id="20"/>
      <w:bookmarkStart w:id="21" w:name="sec:related-foundations"/>
      <w:bookmarkEnd w:id="21"/>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preprint</w:t>
      </w:r>
      <w:r>
        <w:t xml:space="preserve"> </w:t>
      </w:r>
      <w:r>
        <w:t xml:space="preserve">was posted on 25 June 2026, while the measurements reported here were already complete; we claim</w:t>
      </w:r>
      <w:r>
        <w:t xml:space="preserve"> </w:t>
      </w:r>
      <w:r>
        <w:t xml:space="preserve">no priority over it, and the reader should treat the transport of this apparatus to inference-time</w:t>
      </w:r>
      <w:r>
        <w:t xml:space="preserve"> </w:t>
      </w:r>
      <w:r>
        <w:t xml:space="preserve">context as theirs. The objects are nonetheless different, and that difference is what this paper</w:t>
      </w:r>
      <w:r>
        <w:t xml:space="preserve"> </w:t>
      </w:r>
      <w:r>
        <w:t xml:space="preserve">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w:t>
      </w:r>
      <w:r>
        <w:t xml:space="preserve"> </w:t>
      </w:r>
      <w:r>
        <w:t xml:space="preserve">by Blackwell informativeness and show that in their Bayesian regime a</w:t>
      </w:r>
      <w:r>
        <w:t xml:space="preserve"> </w:t>
      </w:r>
      <w:r>
        <w:rPr>
          <w:i/>
          <w:iCs/>
        </w:rPr>
        <w:t xml:space="preserve">scalar</w:t>
      </w:r>
      <w:r>
        <w:t xml:space="preserve">, the mutual</w:t>
      </w:r>
      <w:r>
        <w:t xml:space="preserve"> </w:t>
      </w:r>
      <w:r>
        <w:t xml:space="preserve">information between the curated and the test data, determines that order, the opposite of our</w:t>
      </w:r>
      <w:r>
        <w:t xml:space="preserve"> </w:t>
      </w:r>
      <w:r>
        <w:t xml:space="preserve">finding that no query-independent scalar can be faithful once the order is partial</w:t>
      </w:r>
      <w:r>
        <w:t xml:space="preserve"> </w:t>
      </w:r>
      <w:r>
        <w:t xml:space="preserve">(Theorem 2); the difference is that their comparison is taken against the</w:t>
      </w:r>
      <w:r>
        <w:t xml:space="preserve"> </w:t>
      </w:r>
      <w:r>
        <w:t xml:space="preserve">Bayes-optimal user of the data, ours against a fixed model rule on a task family.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Against all of the above, four things are new here, and each is checkable against the released</w:t>
      </w:r>
      <w:r>
        <w:t xml:space="preserve"> </w:t>
      </w:r>
      <w:r>
        <w:t xml:space="preserve">record:</w:t>
      </w:r>
    </w:p>
    <w:p>
      <w:pPr>
        <w:numPr>
          <w:ilvl w:val="0"/>
          <w:numId w:val="1003"/>
        </w:numPr>
      </w:pPr>
      <w:r>
        <w:t xml:space="preserve">the object is the order</w:t>
      </w:r>
      <w:r>
        <w:t xml:space="preserve"> </w:t>
      </w:r>
      <w:r>
        <w:rPr>
          <w:i/>
          <w:iCs/>
        </w:rPr>
        <w:t xml:space="preserve">between two admitted sources across tasks</w:t>
      </w:r>
      <w:r>
        <w:t xml:space="preserve">, not a scalar risk</w:t>
      </w:r>
      <w:r>
        <w:t xml:space="preserve"> </w:t>
      </w:r>
      <w:r>
        <w:t xml:space="preserve">gap inside one declared decision problem;</w:t>
      </w:r>
    </w:p>
    <w:p>
      <w:pPr>
        <w:numPr>
          <w:ilvl w:val="0"/>
          <w:numId w:val="1003"/>
        </w:numPr>
      </w:pPr>
      <w:r>
        <w:t xml:space="preserve">partiality is</w:t>
      </w:r>
      <w:r>
        <w:t xml:space="preserve"> </w:t>
      </w:r>
      <w:r>
        <w:rPr>
          <w:i/>
          <w:iCs/>
        </w:rPr>
        <w:t xml:space="preserve">measured</w:t>
      </w:r>
      <w:r>
        <w:t xml:space="preserve">, mutual non-domination verified in both directions on six</w:t>
      </w:r>
      <w:r>
        <w:t xml:space="preserve"> </w:t>
      </w:r>
      <w:r>
        <w:t xml:space="preserve">production models, not assumed or asserted structurally;</w:t>
      </w:r>
    </w:p>
    <w:p>
      <w:pPr>
        <w:numPr>
          <w:ilvl w:val="0"/>
          <w:numId w:val="1003"/>
        </w:numPr>
      </w:pPr>
      <w:r>
        <w:t xml:space="preserve">the no-per-source-score impossibility is derived from it;</w:t>
      </w:r>
    </w:p>
    <w:p>
      <w:pPr>
        <w:numPr>
          <w:ilvl w:val="0"/>
          <w:numId w:val="1003"/>
        </w:numPr>
      </w:pPr>
      <w:r>
        <w:t xml:space="preserve">the order relation between</w:t>
      </w:r>
      <w:r>
        <w:t xml:space="preserve"> </w:t>
      </w:r>
      <w:r>
        <w:rPr>
          <w:i/>
          <w:iCs/>
        </w:rPr>
        <w:t xml:space="preserve">named</w:t>
      </w:r>
      <w:r>
        <w:t xml:space="preserve"> </w:t>
      </w:r>
      <w:r>
        <w:t xml:space="preserve">sources gets a distribution-free finite-sample</w:t>
      </w:r>
      <w:r>
        <w:t xml:space="preserve"> </w:t>
      </w:r>
      <w:r>
        <w:t xml:space="preserve">verification on black-box models, including a superset that collapses PASS under controls.</w:t>
      </w:r>
    </w:p>
    <w:bookmarkEnd w:id="22"/>
    <w:bookmarkStart w:id="24"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Start w:id="23"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w:t>
      </w:r>
      <w:r>
        <w:t xml:space="preserve"> </w:t>
      </w:r>
      <m:oMath>
        <m:sSup>
          <m:e>
            <m:r>
              <m:t>​</m:t>
            </m:r>
          </m:e>
          <m:sup>
            <m:r>
              <m:t>d</m:t>
            </m:r>
          </m:sup>
        </m:sSup>
      </m:oMath>
      <w:r>
        <w:t xml:space="preserve">positive complementarity only, a passage made useful by another, not</w:t>
      </w:r>
      <w:r>
        <w:t xml:space="preserve"> </w:t>
      </w:r>
      <w:r>
        <w:t xml:space="preserve">directional harm.</w:t>
      </w:r>
      <w:r>
        <w:t xml:space="preserve"> </w:t>
      </w:r>
      <m:oMath>
        <m:sSup>
          <m:e>
            <m:r>
              <m:t>​</m:t>
            </m:r>
          </m:e>
          <m:sup>
            <m:r>
              <m:t>e</m:t>
            </m:r>
          </m:sup>
        </m:sSup>
      </m:oMath>
      <w:r>
        <w:t xml:space="preserve">keeps the non-dominated set, but over heuristic per-item scores rather than</w:t>
      </w:r>
      <w:r>
        <w:t xml:space="preserve"> </w:t>
      </w:r>
      <w:r>
        <w:t xml:space="preserve">task value.</w:t>
      </w:r>
      <w:r>
        <w:t xml:space="preserve"> </w:t>
      </w:r>
      <m:oMath>
        <m:sSup>
          <m:e>
            <m:r>
              <m:t>​</m:t>
            </m:r>
          </m:e>
          <m:sup>
            <m:r>
              <m:t>f</m:t>
            </m:r>
          </m:sup>
        </m:sSup>
      </m:oMath>
      <w:r>
        <w:t xml:space="preserve">genuinely</w:t>
      </w:r>
      <w:r>
        <w:t xml:space="preserve"> </w:t>
      </w:r>
      <w:r>
        <w:rPr>
          <w:i/>
          <w:iCs/>
        </w:rPr>
        <w:t xml:space="preserve">directional</w:t>
      </w:r>
      <w:r>
        <w:t xml:space="preserve">, but the relation is redundancy between chunks</w:t>
      </w:r>
      <w:r>
        <w:t xml:space="preserve"> </w:t>
      </w:r>
      <w:r>
        <w:t xml:space="preserve">(does</w:t>
      </w:r>
      <w:r>
        <w:t xml:space="preserve"> </w:t>
      </w:r>
      <m:oMath>
        <m:r>
          <m:t>i</m:t>
        </m:r>
      </m:oMath>
      <w:r>
        <w:t xml:space="preserve"> </w:t>
      </w:r>
      <w:r>
        <w:t xml:space="preserve">predict</w:t>
      </w:r>
      <w:r>
        <w:t xml:space="preserve"> </w:t>
      </w:r>
      <m:oMath>
        <m:r>
          <m:t>j</m:t>
        </m:r>
      </m:oMath>
      <w:r>
        <w:t xml:space="preserve"> </w:t>
      </w:r>
      <w:r>
        <w:t xml:space="preserve">to within</w:t>
      </w:r>
      <w:r>
        <w:t xml:space="preserve"> </w:t>
      </w:r>
      <m:oMath>
        <m:r>
          <m:t>γ</m:t>
        </m:r>
      </m:oMath>
      <w:r>
        <w:t xml:space="preserve"> </w:t>
      </w:r>
      <w:r>
        <w:t xml:space="preserve">bits?), computed offline and query-agnostically, not harm</w:t>
      </w:r>
      <w:r>
        <w:t xml:space="preserve"> </w:t>
      </w:r>
      <w:r>
        <w:t xml:space="preserve">to a task’s verified value. Only the last row represents incomparability over task value,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d}positive complementarity only, a passage made useful by another, not directional harm. ^{e}keeps the non-dominated set, but over heuristic per-item scores rather than task value. ^{f}genuinely directional, but the relation is redundancy between chunks (does i predict j to within \gamma bits?), computed offline and query-agnostically, not harm to a task’s verified value. Only the last row represents incomparability over task value,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(Robertson 1977)</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(Khattab and Zaharia 2020)</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(Ethayarajh et al. 2022)</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 Shi et al. 2023; Guu et al. 2020)</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(Carbonell and Goldstein 1998)</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(Ye et al. 2023; Ghulyani et al. 2026)</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Directed-information covering </w:t>
            </w:r>
            <w:r>
              <w:t xml:space="preserve">(Huang 2025)</w:t>
            </w:r>
          </w:p>
        </w:tc>
        <w:tc>
          <w:tcPr/>
          <w:p>
            <w:pPr>
              <w:pStyle w:val="Compact"/>
            </w:pPr>
          </w:p>
        </w:tc>
        <w:tc>
          <w:tcPr/>
          <w:p>
            <w:pPr>
              <w:pStyle w:val="Compact"/>
              <w:jc w:val="center"/>
            </w:pPr>
            <m:oMath>
              <m:sSup>
                <m:e>
                  <m:r>
                    <m:rPr>
                      <m:sty m:val="p"/>
                    </m:rPr>
                    <m:t>∼</m:t>
                  </m:r>
                </m:e>
                <m:sup>
                  <m:r>
                    <m:t>f</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(Xie et al. 2024)</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(Choudhury et al. 2025)</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(Sun et al. 2023)</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Utility scores, learned or LLM-specific </w:t>
            </w:r>
            <w:r>
              <w:t xml:space="preserve">(Zhang et al. 2025; Dai et al. 2025)</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Conditional passage utility </w:t>
            </w:r>
            <w:r>
              <w:t xml:space="preserve">(Jain and Garimella 2025)</w:t>
            </w:r>
          </w:p>
        </w:tc>
        <w:tc>
          <w:tcPr/>
          <w:p>
            <w:pPr>
              <w:pStyle w:val="Compact"/>
              <w:jc w:val="center"/>
            </w:pPr>
            <m:oMath>
              <m:sSup>
                <m:e>
                  <m:r>
                    <m:t>​</m:t>
                  </m:r>
                </m:e>
                <m:sup>
                  <m:r>
                    <m:t>a</m:t>
                  </m:r>
                </m:sup>
              </m:sSup>
            </m:oMath>
            <w:r>
              <w:t xml:space="preserve">​</w:t>
            </w:r>
          </w:p>
        </w:tc>
        <w:tc>
          <w:tcPr/>
          <w:p>
            <w:pPr>
              <w:pStyle w:val="Compact"/>
              <w:jc w:val="center"/>
            </w:pPr>
            <m:oMath>
              <m:sSup>
                <m:e>
                  <m:r>
                    <m:rPr>
                      <m:sty m:val="p"/>
                    </m:rPr>
                    <m:t>∼</m:t>
                  </m:r>
                </m:e>
                <m:sup>
                  <m:r>
                    <m:t>d</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Conformal context filtering </w:t>
            </w:r>
            <w:r>
              <w:t xml:space="preserve">(Chakraborty et al. 2025)</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Learned set selection </w:t>
            </w:r>
            <w:r>
              <w:t xml:space="preserve">(Jiang et al. 2026; Fan et al. 2026)</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Skyline over heuristic scores </w:t>
            </w:r>
            <w:r>
              <w:t xml:space="preserve">(Zhu et al. 2026)</w:t>
            </w:r>
          </w:p>
        </w:tc>
        <w:tc>
          <w:tcPr/>
          <w:p>
            <w:pPr>
              <w:pStyle w:val="Compact"/>
            </w:pPr>
          </w:p>
        </w:tc>
        <w:tc>
          <w:tcPr/>
          <w:p>
            <w:pPr>
              <w:pStyle w:val="Compact"/>
              <w:jc w:val="center"/>
            </w:pPr>
            <m:oMath>
              <m:r>
                <m:rPr>
                  <m:sty m:val="p"/>
                </m:rPr>
                <m:t>×</m:t>
              </m:r>
            </m:oMath>
            <w:r>
              <w:t xml:space="preserve">​</w:t>
            </w:r>
          </w:p>
        </w:tc>
        <w:tc>
          <w:tcPr/>
          <w:p>
            <w:pPr>
              <w:pStyle w:val="Compact"/>
              <w:jc w:val="center"/>
            </w:pPr>
            <m:oMath>
              <m:sSup>
                <m:e>
                  <m:r>
                    <m:rPr>
                      <m:sty m:val="p"/>
                    </m:rPr>
                    <m:t>∼</m:t>
                  </m:r>
                </m:e>
                <m:sup>
                  <m:r>
                    <m:t>e</m:t>
                  </m:r>
                </m:sup>
              </m:sSup>
            </m:oMath>
            <w:r>
              <w:t xml:space="preserve">​</w:t>
            </w:r>
          </w:p>
        </w:tc>
      </w:tr>
      <w:tr>
        <w:tc>
          <w:tcPr/>
          <w:p>
            <w:pPr>
              <w:pStyle w:val="Compact"/>
              <w:jc w:val="left"/>
            </w:pPr>
            <w:r>
              <w:rPr>
                <w:b/>
                <w:bCs/>
              </w:rPr>
              <w:t xml:space="preserve">Verified front</w:t>
            </w:r>
            <w:r>
              <w:rPr>
                <w:b/>
                <w:bCs/>
              </w:rPr>
              <w:t xml:space="preserve"> </w:t>
            </w:r>
            <m:oMath>
              <m:r>
                <m:rPr>
                  <m:sty m:val="p"/>
                </m:rPr>
                <m:t>+</m:t>
              </m:r>
            </m:oMath>
            <w:r>
              <w:rPr>
                <w:b/>
                <w:bCs/>
              </w:rPr>
              <w:t xml:space="preserve"> </w:t>
            </w:r>
            <w:r>
              <w:rPr>
                <w:b/>
                <w:bCs/>
              </w:rPr>
              <w:t xml:space="preserve">routing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3"/>
    <w:bookmarkEnd w:id="24"/>
    <w:bookmarkEnd w:id="25"/>
    <w:bookmarkStart w:id="33"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29"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6"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6"/>
    <w:bookmarkStart w:id="27"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4"/>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4"/>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rule for task</w:t>
      </w:r>
      <w:r>
        <w:t xml:space="preserve"> </w:t>
      </w:r>
      <m:oMath>
        <m:r>
          <m:t>T</m:t>
        </m:r>
      </m:oMath>
      <w:r>
        <w:t xml:space="preserve"> </w:t>
      </w:r>
      <w:r>
        <w:t xml:space="preserve">under a prior</w:t>
      </w:r>
      <w:r>
        <w:t xml:space="preserve"> </w:t>
      </w:r>
      <m:oMath>
        <m:sSub>
          <m:e>
            <m:r>
              <m:t>μ</m:t>
            </m:r>
          </m:e>
          <m:sub>
            <m:r>
              <m:t>T</m:t>
            </m:r>
          </m:sub>
        </m:sSub>
      </m:oMath>
      <w:r>
        <w:t xml:space="preserve"> </w:t>
      </w:r>
      <w:r>
        <w:t xml:space="preserve">on</w:t>
      </w:r>
      <w:r>
        <w:t xml:space="preserve"> </w:t>
      </w:r>
      <m:oMath>
        <m:r>
          <m:rPr>
            <m:scr m:val="script"/>
            <m:sty m:val="p"/>
          </m:rPr>
          <m:t>S</m:t>
        </m:r>
      </m:oMath>
      <w:r>
        <w:t xml:space="preserve"> </w:t>
      </w:r>
      <w:r>
        <w:t xml:space="preserve">(the task family’s distribution over private conventions),</w:t>
      </w:r>
      <w:r>
        <w:t xml:space="preserve"> </w:t>
      </w:r>
      <w:r>
        <w:t xml:space="preserve">achieving the optimal value</w:t>
      </w:r>
    </w:p>
    <w:p>
      <w:pPr>
        <w:pStyle w:val="BodyText"/>
      </w:pPr>
      <m:oMathPara>
        <m:oMathParaPr>
          <m:jc m:val="center"/>
        </m:oMathParaPr>
        <m:oMath>
          <m:sSup>
            <m:e>
              <m:r>
                <m:t>V</m:t>
              </m:r>
            </m:e>
            <m:sup>
              <m:r>
                <m:rPr>
                  <m:sty m:val="p"/>
                </m:rPr>
                <m:t>⋆</m:t>
              </m:r>
            </m:sup>
          </m:sSup>
          <m:r>
            <m:rPr>
              <m:sty m:val="p"/>
            </m:rPr>
            <m:t>(</m:t>
          </m:r>
          <m:r>
            <m:t>W</m:t>
          </m:r>
          <m:r>
            <m:rPr>
              <m:sty m:val="p"/>
            </m:rPr>
            <m:t>,</m:t>
          </m:r>
          <m:r>
            <m:t>T</m:t>
          </m:r>
          <m:r>
            <m:rPr>
              <m:sty m:val="p"/>
            </m:rPr>
            <m:t>)</m:t>
          </m:r>
          <m:r>
            <m:t> </m:t>
          </m:r>
          <m:box>
            <m:boxPr>
              <m:opEmu m:val="on"/>
            </m:boxPr>
            <m:e>
              <m:r>
                <m:rPr>
                  <m:sty m:val="p"/>
                </m:rPr>
                <m:t>:=</m:t>
              </m:r>
            </m:e>
          </m:box>
          <m:r>
            <m:t> </m:t>
          </m:r>
          <m:limLow>
            <m:e>
              <m:r>
                <m:rPr>
                  <m:sty m:val="p"/>
                </m:rPr>
                <m:t>sup</m:t>
              </m:r>
            </m:e>
            <m:lim>
              <m:r>
                <m:t>δ</m:t>
              </m:r>
            </m:lim>
          </m:limLow>
          <m:r>
            <m:t> </m:t>
          </m:r>
          <m:sSub>
            <m:e>
              <m:r>
                <m:rPr>
                  <m:scr m:val="double-struck"/>
                  <m:sty m:val="p"/>
                </m:rPr>
                <m:t>E</m:t>
              </m:r>
            </m:e>
            <m:sub>
              <m:r>
                <m:t>S</m:t>
              </m:r>
              <m:r>
                <m:rPr>
                  <m:sty m:val="p"/>
                </m:rPr>
                <m:t>∼</m:t>
              </m:r>
              <m:sSub>
                <m:e>
                  <m:r>
                    <m:t>μ</m:t>
                  </m:r>
                </m:e>
                <m:sub>
                  <m:r>
                    <m:t>T</m:t>
                  </m:r>
                </m:sub>
              </m:sSub>
            </m:sub>
          </m:sSub>
          <m:r>
            <m:t> </m:t>
          </m:r>
          <m:r>
            <m:rPr>
              <m:scr m:val="double-struck"/>
              <m:sty m:val="p"/>
            </m:rPr>
            <m:t>E</m:t>
          </m:r>
          <m:d>
            <m:dPr>
              <m:begChr m:val="["/>
              <m:sepChr m:val=""/>
              <m:endChr m:val="]"/>
              <m:grow/>
            </m:dPr>
            <m:e>
              <m:r>
                <m:t> </m:t>
              </m:r>
              <m:sSub>
                <m:e>
                  <m:r>
                    <m:t>v</m:t>
                  </m:r>
                </m:e>
                <m:sub>
                  <m:r>
                    <m:t>T</m:t>
                  </m:r>
                </m:sub>
              </m:sSub>
              <m:r>
                <m:t>​</m:t>
              </m:r>
              <m:d>
                <m:dPr>
                  <m:begChr m:val="("/>
                  <m:sepChr m:val=""/>
                  <m:endChr m:val=")"/>
                  <m:grow/>
                </m:dPr>
                <m:e>
                  <m:r>
                    <m:t>δ</m:t>
                  </m:r>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bookmarkEnd w:id="27"/>
    <w:bookmarkStart w:id="28" w:name="rem:measures"/>
    <w:p>
      <w:pPr>
        <w:pStyle w:val="FirstParagraph"/>
      </w:pPr>
      <w:r>
        <w:rPr>
          <w:i/>
          <w:iCs/>
        </w:rPr>
        <w:t xml:space="preserve">Remark 1</w:t>
      </w:r>
      <w:r>
        <w:t xml:space="preserve"> </w:t>
      </w:r>
      <w:r>
        <w:t xml:space="preserve">(The two quantities are taken under different measures).</w:t>
      </w:r>
      <w:r>
        <w:t xml:space="preserve"> </w:t>
      </w:r>
      <w:r>
        <w:t xml:space="preserve"> </w:t>
      </w:r>
      <m:oMath>
        <m:sSub>
          <m:e>
            <m:r>
              <m:rPr>
                <m:sty m:val="p"/>
              </m:rPr>
              <m:t>P</m:t>
            </m:r>
            <m:r>
              <m:rPr>
                <m:sty m:val="p"/>
              </m:rPr>
              <m:t>A</m:t>
            </m:r>
            <m:r>
              <m:rPr>
                <m:sty m:val="p"/>
              </m:rPr>
              <m:t>S</m:t>
            </m:r>
            <m:r>
              <m:rPr>
                <m:sty m:val="p"/>
              </m:rPr>
              <m:t>S</m:t>
            </m:r>
          </m:e>
          <m:sub>
            <m:r>
              <m:t>M</m:t>
            </m:r>
          </m:sub>
        </m:sSub>
      </m:oMath>
      <w:r>
        <w:t xml:space="preserve"> </w:t>
      </w:r>
      <w:r>
        <w:t xml:space="preserve">in (2) is</w:t>
      </w:r>
      <w:r>
        <w:t xml:space="preserve"> </w:t>
      </w:r>
      <w:r>
        <w:rPr>
          <w:i/>
          <w:iCs/>
        </w:rPr>
        <w:t xml:space="preserve">conditional on one latent state</w:t>
      </w:r>
      <w:r>
        <w:t xml:space="preserve">: the expectation runs over</w:t>
      </w:r>
      <w:r>
        <w:t xml:space="preserve"> </w:t>
      </w:r>
      <w:r>
        <w:t xml:space="preserve">the source kernel and the decoder with</w:t>
      </w:r>
      <w:r>
        <w:t xml:space="preserve"> </w:t>
      </w:r>
      <m:oMath>
        <m:r>
          <m:t>S</m:t>
        </m:r>
      </m:oMath>
      <w:r>
        <w:t xml:space="preserve"> </w:t>
      </w:r>
      <w:r>
        <w:t xml:space="preserve">held at the realized convention</w:t>
      </w:r>
      <w:r>
        <w:t xml:space="preserve"> </w:t>
      </w:r>
      <m:oMath>
        <m:sSub>
          <m:e>
            <m:r>
              <m:t>S</m:t>
            </m:r>
          </m:e>
          <m:sub>
            <m:r>
              <m:t>T</m:t>
            </m:r>
          </m:sub>
        </m:sSub>
      </m:oMath>
      <w:r>
        <w:t xml:space="preserve">.</w:t>
      </w:r>
      <w:r>
        <w:t xml:space="preserve"> </w:t>
      </w:r>
      <m:oMath>
        <m:sSup>
          <m:e>
            <m:r>
              <m:t>V</m:t>
            </m:r>
          </m:e>
          <m:sup>
            <m:r>
              <m:rPr>
                <m:sty m:val="p"/>
              </m:rPr>
              <m:t>⋆</m:t>
            </m:r>
          </m:sup>
        </m:sSup>
      </m:oMath>
      <w:r>
        <w:t xml:space="preserve"> </w:t>
      </w:r>
      <w:r>
        <w:t xml:space="preserve">in</w:t>
      </w:r>
      <w:r>
        <w:t xml:space="preserve"> </w:t>
      </w:r>
      <w:r>
        <w:t xml:space="preserve">(3) is a</w:t>
      </w:r>
      <w:r>
        <w:t xml:space="preserve"> </w:t>
      </w:r>
      <w:r>
        <w:rPr>
          <w:i/>
          <w:iCs/>
        </w:rPr>
        <w:t xml:space="preserve">Bayes</w:t>
      </w:r>
      <w:r>
        <w:t xml:space="preserve"> </w:t>
      </w:r>
      <w:r>
        <w:t xml:space="preserve">value, averaged over</w:t>
      </w:r>
      <w:r>
        <w:t xml:space="preserve"> </w:t>
      </w:r>
      <m:oMath>
        <m:sSub>
          <m:e>
            <m:r>
              <m:t>μ</m:t>
            </m:r>
          </m:e>
          <m:sub>
            <m:r>
              <m:t>T</m:t>
            </m:r>
          </m:sub>
        </m:sSub>
      </m:oMath>
      <w:r>
        <w:t xml:space="preserve">. Consequently</w:t>
      </w:r>
      <w:r>
        <w:t xml:space="preserve"> </w:t>
      </w:r>
      <m:oMath>
        <m:sSup>
          <m:e>
            <m:r>
              <m:t>V</m:t>
            </m:r>
          </m:e>
          <m:sup>
            <m:r>
              <m:rPr>
                <m:sty m:val="p"/>
              </m:rPr>
              <m:t>⋆</m:t>
            </m:r>
          </m:sup>
        </m:sSup>
        <m:r>
          <m:rPr>
            <m:sty m:val="p"/>
          </m:rPr>
          <m:t>(</m:t>
        </m:r>
        <m:r>
          <m:t>W</m:t>
        </m:r>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w:t>
      </w:r>
      <w:r>
        <w:t xml:space="preserve"> </w:t>
      </w:r>
      <w:r>
        <w:rPr>
          <w:i/>
          <w:iCs/>
        </w:rPr>
        <w:t xml:space="preserve">not</w:t>
      </w:r>
      <w:r>
        <w:t xml:space="preserve"> </w:t>
      </w:r>
      <w:r>
        <w:t xml:space="preserve">automatic from optimality, and we never use it in</w:t>
      </w:r>
      <w:r>
        <w:t xml:space="preserve"> </w:t>
      </w:r>
      <w:r>
        <w:t xml:space="preserve">that form. The obstruction is elementary: let</w:t>
      </w:r>
      <w:r>
        <w:t xml:space="preserve"> </w:t>
      </w:r>
      <m:oMath>
        <m:r>
          <m:t>S</m:t>
        </m:r>
      </m:oMath>
      <w:r>
        <w:t xml:space="preserve"> </w:t>
      </w:r>
      <w:r>
        <w:t xml:space="preserve">be a fair bit, let</w:t>
      </w:r>
      <w:r>
        <w:t xml:space="preserve"> </w:t>
      </w:r>
      <m:oMath>
        <m:r>
          <m:t>W</m:t>
        </m:r>
      </m:oMath>
      <w:r>
        <w:t xml:space="preserve"> </w:t>
      </w:r>
      <w:r>
        <w:t xml:space="preserve">be uninformative, and let</w:t>
      </w:r>
      <w:r>
        <w:t xml:space="preserve"> </w:t>
      </w:r>
      <m:oMath>
        <m:sSub>
          <m:e>
            <m:r>
              <m:t>v</m:t>
            </m:r>
          </m:e>
          <m:sub>
            <m:r>
              <m:t>T</m:t>
            </m:r>
          </m:sub>
        </m:sSub>
      </m:oMath>
      <w:r>
        <w:t xml:space="preserve"> </w:t>
      </w:r>
      <w:r>
        <w:t xml:space="preserve">reward naming</w:t>
      </w:r>
      <w:r>
        <w:t xml:space="preserve"> </w:t>
      </w:r>
      <m:oMath>
        <m:r>
          <m:t>S</m:t>
        </m:r>
      </m:oMath>
      <w:r>
        <w:t xml:space="preserve">; the constant rule</w:t>
      </w:r>
      <w:r>
        <w:t xml:space="preserve"> </w:t>
      </w:r>
      <w:r>
        <w:t xml:space="preserve">“answer</w:t>
      </w:r>
      <w:r>
        <w:t xml:space="preserve"> </w:t>
      </w:r>
      <m:oMath>
        <m:r>
          <m:t>0</m:t>
        </m:r>
      </m:oMath>
      <w:r>
        <w:t xml:space="preserve">”</w:t>
      </w:r>
      <w:r>
        <w:t xml:space="preserve"> </w:t>
      </w:r>
      <w:r>
        <w:t xml:space="preserve">has</w:t>
      </w:r>
      <w:r>
        <w:t xml:space="preserve"> </w:t>
      </w:r>
      <m:oMath>
        <m:sSub>
          <m:e>
            <m:r>
              <m:rPr>
                <m:sty m:val="p"/>
              </m:rPr>
              <m:t>P</m:t>
            </m:r>
            <m:r>
              <m:rPr>
                <m:sty m:val="p"/>
              </m:rPr>
              <m:t>A</m:t>
            </m:r>
            <m:r>
              <m:rPr>
                <m:sty m:val="p"/>
              </m:rPr>
              <m:t>S</m:t>
            </m:r>
            <m:r>
              <m:rPr>
                <m:sty m:val="p"/>
              </m:rPr>
              <m:t>S</m:t>
            </m:r>
          </m:e>
          <m:sub>
            <m:r>
              <m:t>M</m:t>
            </m:r>
          </m:sub>
        </m:sSub>
        <m:r>
          <m:rPr>
            <m:sty m:val="p"/>
          </m:rPr>
          <m:t>=</m:t>
        </m:r>
        <m:r>
          <m:t>1</m:t>
        </m:r>
      </m:oMath>
      <w:r>
        <w:t xml:space="preserve"> </w:t>
      </w:r>
      <w:r>
        <w:t xml:space="preserve">at the state</w:t>
      </w:r>
      <w:r>
        <w:t xml:space="preserve"> </w:t>
      </w:r>
      <m:oMath>
        <m:r>
          <m:t>S</m:t>
        </m:r>
        <m:r>
          <m:rPr>
            <m:sty m:val="p"/>
          </m:rPr>
          <m:t>=</m:t>
        </m:r>
        <m:r>
          <m:t>0</m:t>
        </m:r>
      </m:oMath>
      <w:r>
        <w:t xml:space="preserve"> </w:t>
      </w:r>
      <w:r>
        <w:t xml:space="preserve">while</w:t>
      </w:r>
      <w:r>
        <w:t xml:space="preserve"> </w:t>
      </w:r>
      <m:oMath>
        <m:sSup>
          <m:e>
            <m:r>
              <m:t>V</m:t>
            </m:r>
          </m:e>
          <m:sup>
            <m:r>
              <m:rPr>
                <m:sty m:val="p"/>
              </m:rPr>
              <m:t>⋆</m:t>
            </m:r>
          </m:sup>
        </m:sSup>
        <m:r>
          <m:rPr>
            <m:sty m:val="p"/>
          </m:rPr>
          <m:t>=</m:t>
        </m:r>
        <m:r>
          <m:t>1</m:t>
        </m:r>
        <m:r>
          <m:rPr>
            <m:sty m:val="p"/>
          </m:rPr>
          <m:t>/</m:t>
        </m:r>
        <m:r>
          <m:t>2</m:t>
        </m:r>
      </m:oMath>
      <w:r>
        <w:t xml:space="preserve">. Nor can the gap be closed by taking</w:t>
      </w:r>
      <w:r>
        <w:t xml:space="preserve"> </w:t>
      </w:r>
      <m:oMath>
        <m:sSub>
          <m:e>
            <m:r>
              <m:t>μ</m:t>
            </m:r>
          </m:e>
          <m:sub>
            <m:r>
              <m:t>T</m:t>
            </m:r>
          </m:sub>
        </m:sSub>
      </m:oMath>
      <w:r>
        <w:t xml:space="preserve"> </w:t>
      </w:r>
      <w:r>
        <w:t xml:space="preserve">to be a point mass at</w:t>
      </w:r>
      <w:r>
        <w:t xml:space="preserve"> </w:t>
      </w:r>
      <m:oMath>
        <m:sSub>
          <m:e>
            <m:r>
              <m:t>S</m:t>
            </m:r>
          </m:e>
          <m:sub>
            <m:r>
              <m:t>T</m:t>
            </m:r>
          </m:sub>
        </m:sSub>
      </m:oMath>
      <w:r>
        <w:t xml:space="preserve">: every</w:t>
      </w:r>
      <w:r>
        <w:t xml:space="preserve"> </w:t>
      </w:r>
      <w:r>
        <w:t xml:space="preserve">guessing cap</w:t>
      </w:r>
      <w:r>
        <w:t xml:space="preserve"> </w:t>
      </w:r>
      <m:oMath>
        <m:sSup>
          <m:e>
            <m:r>
              <m:t>V</m:t>
            </m:r>
          </m:e>
          <m:sup>
            <m:r>
              <m:rPr>
                <m:sty m:val="p"/>
              </m:rPr>
              <m:t>⋆</m:t>
            </m:r>
          </m:sup>
        </m:sSup>
        <m:r>
          <m:rPr>
            <m:sty m:val="p"/>
          </m:rPr>
          <m:t>(</m:t>
        </m:r>
        <m:r>
          <m:t>W</m:t>
        </m:r>
        <m:r>
          <m:rPr>
            <m:sty m:val="p"/>
          </m:rPr>
          <m:t>,</m:t>
        </m:r>
        <m:r>
          <m:t>T</m:t>
        </m:r>
        <m:r>
          <m:rPr>
            <m:sty m:val="p"/>
          </m:rPr>
          <m:t>)</m:t>
        </m:r>
      </m:oMath>
      <w:r>
        <w:t xml:space="preserve"> </w:t>
      </w:r>
      <w:r>
        <w:t xml:space="preserve">would then equal</w:t>
      </w:r>
      <w:r>
        <w:t xml:space="preserve"> </w:t>
      </w:r>
      <m:oMath>
        <m:r>
          <m:t>1</m:t>
        </m:r>
      </m:oMath>
      <w:r>
        <w:t xml:space="preserve"> </w:t>
      </w:r>
      <w:r>
        <w:t xml:space="preserve">and the caps of Lemma 2 would lose</w:t>
      </w:r>
      <w:r>
        <w:t xml:space="preserve"> </w:t>
      </w:r>
      <w:r>
        <w:t xml:space="preserve">all content. What optimality does give is the averaged statement</w:t>
      </w:r>
      <w:r>
        <w:t xml:space="preserve"> </w:t>
      </w:r>
      <m:oMath>
        <m:sSup>
          <m:e>
            <m:r>
              <m:t>V</m:t>
            </m:r>
          </m:e>
          <m:sup>
            <m:r>
              <m:rPr>
                <m:sty m:val="p"/>
              </m:rPr>
              <m:t>⋆</m:t>
            </m:r>
          </m:sup>
        </m:sSup>
        <m:r>
          <m:rPr>
            <m:sty m:val="p"/>
          </m:rPr>
          <m:t>(</m:t>
        </m:r>
        <m:r>
          <m:t>W</m:t>
        </m:r>
        <m:r>
          <m:rPr>
            <m:sty m:val="p"/>
          </m:rPr>
          <m:t>,</m:t>
        </m:r>
        <m:r>
          <m:t>T</m:t>
        </m:r>
        <m:r>
          <m:rPr>
            <m:sty m:val="p"/>
          </m:rPr>
          <m:t>)</m:t>
        </m:r>
        <m:r>
          <m:rPr>
            <m:sty m:val="p"/>
          </m:rPr>
          <m:t>≥</m:t>
        </m:r>
        <m:sSub>
          <m:e>
            <m:bar>
              <m:barPr>
                <m:pos m:val="top"/>
              </m:barPr>
              <m:e>
                <m:r>
                  <m:rPr>
                    <m:sty m:val="p"/>
                  </m:rPr>
                  <m:t>P</m:t>
                </m:r>
                <m:r>
                  <m:rPr>
                    <m:sty m:val="p"/>
                  </m:rPr>
                  <m:t>A</m:t>
                </m:r>
                <m:r>
                  <m:rPr>
                    <m:sty m:val="p"/>
                  </m:rPr>
                  <m:t>S</m:t>
                </m:r>
                <m:r>
                  <m:rPr>
                    <m:sty m:val="p"/>
                  </m:rPr>
                  <m:t>S</m:t>
                </m:r>
              </m:e>
            </m:bar>
          </m:e>
          <m:sub>
            <m:r>
              <m:t>M</m:t>
            </m:r>
          </m:sub>
        </m:sSub>
        <m:r>
          <m:rPr>
            <m:sty m:val="p"/>
          </m:rPr>
          <m:t>(</m:t>
        </m:r>
        <m:r>
          <m:t>W</m:t>
        </m:r>
        <m:r>
          <m:rPr>
            <m:sty m:val="p"/>
          </m:rPr>
          <m:t>,</m:t>
        </m:r>
        <m:r>
          <m:t>T</m:t>
        </m:r>
        <m:r>
          <m:rPr>
            <m:sty m:val="p"/>
          </m:rPr>
          <m:t>)</m:t>
        </m:r>
        <m:box>
          <m:boxPr>
            <m:opEmu m:val="on"/>
          </m:boxPr>
          <m:e>
            <m:r>
              <m:rPr>
                <m:sty m:val="p"/>
              </m:rPr>
              <m:t>:=</m:t>
            </m:r>
          </m:e>
        </m:box>
        <m:sSub>
          <m:e>
            <m:r>
              <m:rPr>
                <m:scr m:val="double-struck"/>
                <m:sty m:val="p"/>
              </m:rPr>
              <m:t>E</m:t>
            </m:r>
          </m:e>
          <m:sub>
            <m:r>
              <m:t>S</m:t>
            </m:r>
            <m:r>
              <m:rPr>
                <m:sty m:val="p"/>
              </m:rPr>
              <m:t>∼</m:t>
            </m:r>
            <m:sSub>
              <m:e>
                <m:r>
                  <m:t>μ</m:t>
                </m:r>
              </m:e>
              <m:sub>
                <m:r>
                  <m:t>T</m:t>
                </m:r>
              </m:sub>
            </m:sSub>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rPr>
            <m:sty m:val="p"/>
          </m:rPr>
          <m:t>]</m:t>
        </m:r>
      </m:oMath>
      <w:r>
        <w:t xml:space="preserve">. Lemma 2 is</w:t>
      </w:r>
      <w:r>
        <w:t xml:space="preserve"> </w:t>
      </w:r>
      <w:r>
        <w:t xml:space="preserve">therefore proved through the sufficiency of the winning source rather than through any such</w:t>
      </w:r>
      <w:r>
        <w:t xml:space="preserve"> </w:t>
      </w:r>
      <w:r>
        <w:t xml:space="preserve">comparison, and the measured pass rates enter as its falsifiable signature, not as a bound on a</w:t>
      </w:r>
      <w:r>
        <w:t xml:space="preserve"> </w:t>
      </w:r>
      <w:r>
        <w:t xml:space="preserve">Bayes value.</w:t>
      </w:r>
    </w:p>
    <w:bookmarkEnd w:id="28"/>
    <w:p>
      <w:pPr>
        <w:pStyle w:val="BodyText"/>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29"/>
    <w:bookmarkStart w:id="31"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0"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0"/>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31"/>
    <w:bookmarkStart w:id="32"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2"/>
    <w:bookmarkEnd w:id="33"/>
    <w:bookmarkStart w:id="45"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8" w:name="the-order-and-its-two-registers"/>
    <w:p>
      <w:pPr>
        <w:pStyle w:val="Heading2"/>
      </w:pPr>
      <w:r>
        <w:t xml:space="preserve">The order and its two registers</w:t>
      </w:r>
    </w:p>
    <w:bookmarkStart w:id="34"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4"/>
    <w:p>
      <w:pPr>
        <w:pStyle w:val="BodyText"/>
      </w:pPr>
      <w:r>
        <w:t xml:space="preserve">The classical content of the order is the Blackwell–Sherman–Stein theorem, which we state with</w:t>
      </w:r>
      <w:r>
        <w:t xml:space="preserve"> </w:t>
      </w:r>
      <w:r>
        <w:t xml:space="preserve">hypotheses for a self-contained treatment.</w:t>
      </w:r>
    </w:p>
    <w:bookmarkStart w:id="35"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5"/>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5"/>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5"/>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6"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6"/>
    <w:bookmarkStart w:id="37" w:name="rem:partial"/>
    <w:p>
      <w:pPr>
        <w:pStyle w:val="BodyText"/>
      </w:pPr>
      <w:r>
        <w:rPr>
          <w:i/>
          <w:iCs/>
        </w:rPr>
        <w:t xml:space="preserve">Remark 2</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(Torgersen 1991)</w:t>
      </w:r>
      <w:r>
        <w:t xml:space="preserve">.</w:t>
      </w:r>
      <w:r>
        <w:t xml:space="preserve"> </w:t>
      </w:r>
      <w:r>
        <w:t xml:space="preserve">Incomparability is exactly the regime our experiments target.</w:t>
      </w:r>
    </w:p>
    <w:bookmarkEnd w:id="37"/>
    <w:bookmarkEnd w:id="38"/>
    <w:bookmarkStart w:id="40"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9"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6"/>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6"/>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9"/>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0"/>
    <w:bookmarkStart w:id="44"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1"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1"/>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2"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7"/>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each verifier being determined by its decisive coordinate together with facts</w:t>
      </w:r>
      <w:r>
        <w:rPr>
          <w:i/>
          <w:iCs/>
        </w:rPr>
        <w:t xml:space="preserve"> </w:t>
      </w:r>
      <w:r>
        <w:rPr>
          <w:i/>
          <w:iCs/>
        </w:rPr>
        <w:t xml:space="preserve">known</w:t>
      </w:r>
      <w:r>
        <w:rPr>
          <w:i/>
          <w:iCs/>
        </w:rPr>
        <w:t xml:space="preserve"> </w:t>
      </w:r>
      <m:oMath>
        <m:sSub>
          <m:e>
            <m:r>
              <m:t>μ</m:t>
            </m:r>
          </m:e>
          <m:sub>
            <m:r>
              <m:t>T</m:t>
            </m:r>
          </m:sub>
        </m:sSub>
      </m:oMath>
      <w:r>
        <w:rPr>
          <w:i/>
          <w:iCs/>
        </w:rPr>
        <w:t xml:space="preserve">-almost surely (</w:t>
      </w:r>
      <w:r>
        <w:rPr>
          <w:i/>
          <w:i/>
          <w:iCs/>
          <w:iCs/>
        </w:rPr>
        <w:t xml:space="preserve">sufficiency of the informed source</w:t>
      </w:r>
      <w:r>
        <w:rPr>
          <w:i/>
          <w:iCs/>
        </w:rPr>
        <w:t xml:space="preserve">). Let the</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w:t>
      </w:r>
      <w:r>
        <w:rPr>
          <w:i/>
          <w:iCs/>
        </w:rPr>
        <w:t xml:space="preserve">be the Bayes</w:t>
      </w:r>
      <w:r>
        <w:rPr>
          <w:i/>
          <w:iCs/>
        </w:rPr>
        <w:t xml:space="preserve"> </w:t>
      </w:r>
      <w:r>
        <w:rPr>
          <w:i/>
          <w:iCs/>
        </w:rPr>
        <w:t xml:space="preserve">values (3) attainable</w:t>
      </w:r>
      <w:r>
        <w:rPr>
          <w:i/>
          <w:iCs/>
        </w:rPr>
        <w:t xml:space="preserve"> </w:t>
      </w:r>
      <w:r>
        <w:rPr>
          <w:i/>
          <w:i/>
          <w:iCs/>
          <w:iCs/>
        </w:rPr>
        <w:t xml:space="preserve">without</w:t>
      </w:r>
      <w:r>
        <w:rPr>
          <w:i/>
          <w:iCs/>
        </w:rPr>
        <w:t xml:space="preserve"> </w:t>
      </w:r>
      <w:r>
        <w:rPr>
          <w:i/>
          <w:iCs/>
        </w:rPr>
        <w:t xml:space="preserve">the decisive coordinate. If</w:t>
      </w:r>
      <w:r>
        <w:rPr>
          <w:i/>
          <w:iCs/>
        </w:rPr>
        <w:t xml:space="preserve"> </w:t>
      </w:r>
      <m:oMath>
        <m:sSub>
          <m:e>
            <m:r>
              <m:t>g</m:t>
            </m:r>
          </m:e>
          <m:sub>
            <m:r>
              <m:t>a</m:t>
            </m:r>
          </m:sub>
        </m:sSub>
        <m:r>
          <m:rPr>
            <m:sty m:val="p"/>
          </m:rPr>
          <m:t>&lt;</m:t>
        </m:r>
        <m:r>
          <m:t>1</m:t>
        </m:r>
      </m:oMath>
      <w:r>
        <w:rPr>
          <w:i/>
          <w:iCs/>
        </w:rPr>
        <w:t xml:space="preserve"> </w:t>
      </w:r>
      <w:r>
        <w:rPr>
          <w:i/>
          <w:iCs/>
        </w:rPr>
        <w:t xml:space="preserve">and</w:t>
      </w:r>
      <w:r>
        <w:rPr>
          <w:i/>
          <w:iCs/>
        </w:rPr>
        <w:t xml:space="preserve"> </w:t>
      </w:r>
      <m:oMath>
        <m:sSub>
          <m:e>
            <m:r>
              <m:t>g</m:t>
            </m:r>
          </m:e>
          <m:sub>
            <m:r>
              <m:t>b</m:t>
            </m:r>
          </m:sub>
        </m:sSub>
        <m:r>
          <m:rPr>
            <m:sty m:val="p"/>
          </m:rPr>
          <m:t>&lt;</m:t>
        </m:r>
        <m:r>
          <m:t>1</m:t>
        </m:r>
      </m:oMath>
      <w:r>
        <w:rPr>
          <w:i/>
          <w:iCs/>
        </w:rPr>
        <w:t xml:space="preserve">, so that neither deprived source determines the coordinate its task turns on,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 Blackwell-incomparable. The measured crossover</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w:t>
      </w:r>
      <w:r>
        <w:rPr>
          <w:i/>
          <w:iCs/>
        </w:rPr>
        <w:t xml:space="preserve">is the falsifiable signature of that separation and is what</w:t>
      </w:r>
      <w:r>
        <w:rPr>
          <w:i/>
          <w:iCs/>
        </w:rPr>
        <w:t xml:space="preserve"> </w:t>
      </w:r>
      <w:r>
        <w:rPr>
          <w:i/>
          <w:iCs/>
        </w:rPr>
        <w:t xml:space="preserve">§7 verifies per cell; since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is state-conditional and</w:t>
      </w:r>
      <w:r>
        <w:rPr>
          <w:i/>
          <w:iCs/>
        </w:rPr>
        <w:t xml:space="preserve"> </w:t>
      </w:r>
      <m:oMath>
        <m:sSup>
          <m:e>
            <m:r>
              <m:t>V</m:t>
            </m:r>
          </m:e>
          <m:sup>
            <m:r>
              <m:rPr>
                <m:sty m:val="p"/>
              </m:rPr>
              <m:t>⋆</m:t>
            </m:r>
          </m:sup>
        </m:sSup>
      </m:oMath>
      <w:r>
        <w:rPr>
          <w:i/>
          <w:iCs/>
        </w:rPr>
        <w:t xml:space="preserve"> </w:t>
      </w:r>
      <w:r>
        <w:rPr>
          <w:i/>
          <w:iCs/>
        </w:rPr>
        <w:t xml:space="preserve">a Bayes value, it is evidence for the hypothesis rather than a bound on</w:t>
      </w:r>
      <w:r>
        <w:rPr>
          <w:i/>
          <w:iCs/>
        </w:rPr>
        <w:t xml:space="preserve"> </w:t>
      </w:r>
      <m:oMath>
        <m:sSup>
          <m:e>
            <m:r>
              <m:t>V</m:t>
            </m:r>
          </m:e>
          <m:sup>
            <m:r>
              <m:rPr>
                <m:sty m:val="p"/>
              </m:rPr>
              <m:t>⋆</m:t>
            </m:r>
          </m:sup>
        </m:sSup>
      </m:oMath>
      <w:r>
        <w:rPr>
          <w:i/>
          <w:iCs/>
        </w:rPr>
        <w:t xml:space="preserve"> </w:t>
      </w:r>
      <w:r>
        <w:rPr>
          <w:i/>
          <w:iCs/>
        </w:rPr>
        <w:t xml:space="preserve">(Remark 1).</w:t>
      </w:r>
    </w:p>
    <w:p>
      <w:pPr>
        <w:numPr>
          <w:ilvl w:val="0"/>
          <w:numId w:val="1007"/>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hypotheses of</w:t>
      </w:r>
      <w:r>
        <w:rPr>
          <w:i/>
          <w:iCs/>
        </w:rPr>
        <w:t xml:space="preserve"> </w:t>
      </w:r>
      <w:r>
        <w:rPr>
          <w:i/>
          <w:iCs/>
        </w:rPr>
        <w:t xml:space="preserve">(a)</w:t>
      </w:r>
      <w:r>
        <w:rPr>
          <w:i/>
          <w:iCs/>
        </w:rPr>
        <w:t xml:space="preserve">, separation</w:t>
      </w:r>
      <w:r>
        <w:rPr>
          <w:i/>
          <w:iCs/>
        </w:rPr>
        <w:t xml:space="preserve"> </w:t>
      </w:r>
      <w:r>
        <w:rPr>
          <w:i/>
          <w:i/>
          <w:iCs/>
          <w:iCs/>
        </w:rPr>
        <w:t xml:space="preserve">and</w:t>
      </w:r>
      <w:r>
        <w:rPr>
          <w:i/>
          <w:iCs/>
        </w:rPr>
        <w:t xml:space="preserve"> </w:t>
      </w:r>
      <w:r>
        <w:rPr>
          <w:i/>
          <w:iCs/>
        </w:rPr>
        <w:t xml:space="preserve">the caps, cannot be dropped, and our own</w:t>
      </w:r>
      <w:r>
        <w:rPr>
          <w:i/>
          <w:iCs/>
        </w:rPr>
        <w:t xml:space="preserve"> </w:t>
      </w:r>
      <w:r>
        <w:rPr>
          <w:i/>
          <w:iCs/>
        </w:rPr>
        <w:t xml:space="preserve">measurements witness it:</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 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 neither</w:t>
      </w:r>
      <w:r>
        <w:rPr>
          <w:i/>
          <w:iCs/>
        </w:rPr>
        <w:t xml:space="preserve"> </w:t>
      </w:r>
      <w:r>
        <w:rPr>
          <w:i/>
          <w:iCs/>
        </w:rPr>
        <w:t xml:space="preserve">premise verified, certifies nothing structural in</w:t>
      </w:r>
      <w:r>
        <w:rPr>
          <w:i/>
          <w:iCs/>
        </w:rPr>
        <w:t xml:space="preserve"> </w:t>
      </w:r>
      <w:r>
        <w:rPr>
          <w:i/>
          <w:i/>
          <w:iCs/>
          <w:iCs/>
        </w:rPr>
        <w:t xml:space="preserve">either</w:t>
      </w:r>
      <w:r>
        <w:rPr>
          <w:i/>
          <w:iCs/>
        </w:rPr>
        <w:t xml:space="preserve"> </w:t>
      </w:r>
      <w:r>
        <w:rPr>
          <w:i/>
          <w:iCs/>
        </w:rPr>
        <w:t xml:space="preserve">direction. It is equally</w:t>
      </w:r>
      <w:r>
        <w:rPr>
          <w:i/>
          <w:iCs/>
        </w:rPr>
        <w:t xml:space="preserve"> </w:t>
      </w:r>
      <w:r>
        <w:rPr>
          <w:i/>
          <w:iCs/>
        </w:rPr>
        <w:t xml:space="preserve">consistent with genuine incomparability under optimal play (two sources revealing independent</w:t>
      </w:r>
      <w:r>
        <w:rPr>
          <w:i/>
          <w:iCs/>
        </w:rPr>
        <w:t xml:space="preserve"> </w:t>
      </w:r>
      <w:r>
        <w:rPr>
          <w:i/>
          <w:iCs/>
        </w:rPr>
        <w:t xml:space="preserve">coordinates cross even when each side plays optimally) and with a merely incoherent rule</w:t>
      </w:r>
      <w:r>
        <w:rPr>
          <w:i/>
          <w:iCs/>
        </w:rPr>
        <w:t xml:space="preserve"> </w:t>
      </w:r>
      <w:r>
        <w:rPr>
          <w:i/>
          <w:iCs/>
        </w:rPr>
        <w:t xml:space="preserve">(Theorem 3). Nor is the projection construction</w:t>
      </w:r>
      <w:r>
        <w:rPr>
          <w:i/>
          <w:iCs/>
        </w:rPr>
        <w:t xml:space="preserve"> </w:t>
      </w:r>
      <w:r>
        <w:rPr>
          <w:i/>
          <w:i/>
          <w:iCs/>
          <w:iCs/>
        </w:rPr>
        <w:t xml:space="preserve">necessary</w:t>
      </w:r>
      <w:r>
        <w:rPr>
          <w:i/>
          <w:iCs/>
        </w:rPr>
        <w:t xml:space="preserve"> </w:t>
      </w:r>
      <w:r>
        <w:rPr>
          <w:i/>
          <w:iCs/>
        </w:rPr>
        <w:t xml:space="preserve">for</w:t>
      </w:r>
      <w:r>
        <w:rPr>
          <w:i/>
          <w:iCs/>
        </w:rPr>
        <w:t xml:space="preserve"> </w:t>
      </w:r>
      <w:r>
        <w:rPr>
          <w:i/>
          <w:iCs/>
        </w:rPr>
        <w:t xml:space="preserve">incomparability: it is the cleanest sufficient condition we know, and the one our sources</w:t>
      </w:r>
      <w:r>
        <w:rPr>
          <w:i/>
          <w:iCs/>
        </w:rPr>
        <w:t xml:space="preserve"> </w:t>
      </w:r>
      <w:r>
        <w:rPr>
          <w:i/>
          <w:iCs/>
        </w:rPr>
        <w:t xml:space="preserve">realize.</w:t>
      </w:r>
    </w:p>
    <w:bookmarkEnd w:id="42"/>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3"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Let</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be an</w:t>
      </w:r>
      <w:r>
        <w:t xml:space="preserve"> </w:t>
      </w:r>
      <w:r>
        <w:rPr>
          <w:i/>
          <w:iCs/>
        </w:rPr>
        <w:t xml:space="preserve">ordered pair of named tasks</w:t>
      </w:r>
      <w:r>
        <w:t xml:space="preserve">. Say</w:t>
      </w:r>
      <w:r>
        <w:t xml:space="preserve"> </w:t>
      </w:r>
      <m:oMath>
        <m:sSub>
          <m:e>
            <m:r>
              <m:t>δ</m:t>
            </m:r>
          </m:e>
          <m:sub>
            <m:r>
              <m:t>M</m:t>
            </m:r>
          </m:sub>
        </m:sSub>
      </m:oMath>
      <w:r>
        <w:t xml:space="preserve"> </w:t>
      </w:r>
      <w:r>
        <w:rPr>
          <w:i/>
          <w:iCs/>
        </w:rPr>
        <w:t xml:space="preserve">attains value on</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with margin</w:t>
      </w:r>
      <w:r>
        <w:t xml:space="preserve"> </w:t>
      </w:r>
      <m:oMath>
        <m:r>
          <m:t>γ</m:t>
        </m:r>
        <m:r>
          <m:rPr>
            <m:sty m:val="p"/>
          </m:rPr>
          <m:t>&gt;</m:t>
        </m:r>
        <m:r>
          <m:t>0</m:t>
        </m:r>
      </m:oMath>
      <w:r>
        <w:t xml:space="preserve"> </w:t>
      </w:r>
      <w:r>
        <w:t xml:space="preserve">if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 exploits each</w:t>
      </w:r>
      <w:r>
        <w:t xml:space="preserve"> </w:t>
      </w:r>
      <w:r>
        <w:t xml:space="preserve">source’s private coordinate on the task that requires it. The hypothesis is always asserted of an</w:t>
      </w:r>
      <w:r>
        <w:t xml:space="preserve"> </w:t>
      </w:r>
      <w:r>
        <w:t xml:space="preserve">explicitly named pair: it does</w:t>
      </w:r>
      <w:r>
        <w:t xml:space="preserve"> </w:t>
      </w:r>
      <w:r>
        <w:rPr>
          <w:i/>
          <w:iCs/>
        </w:rPr>
        <w:t xml:space="preserve">not</w:t>
      </w:r>
      <w:r>
        <w:t xml:space="preserve"> </w:t>
      </w:r>
      <w:r>
        <w:t xml:space="preserve">assert that some such pair exists somewhere in</w:t>
      </w:r>
      <w:r>
        <w:t xml:space="preserve"> </w:t>
      </w:r>
      <m:oMath>
        <m:r>
          <m:rPr>
            <m:scr m:val="script"/>
            <m:sty m:val="p"/>
          </m:rPr>
          <m:t>D</m:t>
        </m:r>
      </m:oMath>
      <w:r>
        <w:t xml:space="preserve">,</w:t>
      </w:r>
      <w:r>
        <w:t xml:space="preserve"> </w:t>
      </w:r>
      <w:r>
        <w:t xml:space="preserve">and attainment on one pair implies nothing about attainment on another. If</w:t>
      </w:r>
      <w:r>
        <w:t xml:space="preserve"> </w:t>
      </w:r>
      <m:oMath>
        <m:sSub>
          <m:e>
            <m:r>
              <m:t>δ</m:t>
            </m:r>
          </m:e>
          <m:sub>
            <m:r>
              <m:t>M</m:t>
            </m:r>
          </m:sub>
        </m:sSub>
      </m:oMath>
      <w:r>
        <w:t xml:space="preserve"> </w:t>
      </w:r>
      <w:r>
        <w:t xml:space="preserve">attains</w:t>
      </w:r>
      <w:r>
        <w:t xml:space="preserve"> </w:t>
      </w:r>
      <w:r>
        <w:t xml:space="preserve">value on a pair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 then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3"/>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§7;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w:t>
      </w:r>
      <w:r>
        <w:t xml:space="preserve"> </w:t>
      </w:r>
      <w:r>
        <w:t xml:space="preserve">task design enforces and our measurements verify.</w:t>
      </w:r>
    </w:p>
    <w:bookmarkEnd w:id="44"/>
    <w:bookmarkEnd w:id="45"/>
    <w:bookmarkStart w:id="54"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0" w:name="query-independent-scores-the-theorem"/>
    <w:p>
      <w:pPr>
        <w:pStyle w:val="Heading2"/>
      </w:pPr>
      <w:r>
        <w:t xml:space="preserve">Query-independent scores: the theorem</w:t>
      </w:r>
    </w:p>
    <w:bookmarkStart w:id="46"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If</w:t>
      </w:r>
      <w:r>
        <w:rPr>
          <w:i/>
          <w:iCs/>
        </w:rPr>
        <w:t xml:space="preserve"> </w:t>
      </w:r>
      <w:r>
        <w:rPr>
          <w:i/>
          <w:iCs/>
        </w:rPr>
        <w:t xml:space="preserve">moreover</w:t>
      </w:r>
      <w:r>
        <w:rPr>
          <w:i/>
          <w:iCs/>
        </w:rPr>
        <w:t xml:space="preserve"> </w:t>
      </w:r>
      <m:oMath>
        <m:sSub>
          <m:e>
            <m:r>
              <m:t>δ</m:t>
            </m:r>
          </m:e>
          <m:sub>
            <m:r>
              <m:t>M</m:t>
            </m:r>
          </m:sub>
        </m:sSub>
      </m:oMath>
      <w:r>
        <w:rPr>
          <w:i/>
          <w:iCs/>
        </w:rPr>
        <w:t xml:space="preserve"> </w:t>
      </w:r>
      <w:r>
        <w:rPr>
          <w:i/>
          <w:iCs/>
        </w:rPr>
        <w:t xml:space="preserve">attains value on</w:t>
      </w:r>
      <w:r>
        <w:rPr>
          <w:i/>
          <w:iCs/>
        </w:rPr>
        <w:t xml:space="preserve"> </w:t>
      </w:r>
      <w:r>
        <w:rPr>
          <w:i/>
          <w:i/>
          <w:iCs/>
          <w:iCs/>
        </w:rPr>
        <w:t xml:space="preserve">that same</w:t>
      </w:r>
      <w:r>
        <w:rPr>
          <w:i/>
          <w:iCs/>
        </w:rPr>
        <w:t xml:space="preserve"> </w:t>
      </w:r>
      <w:r>
        <w:rPr>
          <w:i/>
          <w:iCs/>
        </w:rPr>
        <w:t xml:space="preserve">pair</w:t>
      </w:r>
      <w:r>
        <w:rPr>
          <w:i/>
          <w:iCs/>
        </w:rPr>
        <w:t xml:space="preserve"> </w:t>
      </w:r>
      <m:oMath>
        <m:r>
          <m:rPr>
            <m:sty m:val="p"/>
          </m:rPr>
          <m:t>(</m:t>
        </m:r>
        <m:sSub>
          <m:e>
            <m:r>
              <m:t>T</m:t>
            </m:r>
          </m:e>
          <m:sub>
            <m:r>
              <m:t>a</m:t>
            </m:r>
          </m:sub>
        </m:sSub>
        <m:r>
          <m:rPr>
            <m:sty m:val="p"/>
          </m:rPr>
          <m:t>,</m:t>
        </m:r>
        <m:sSub>
          <m:e>
            <m:r>
              <m:t>T</m:t>
            </m:r>
          </m:e>
          <m:sub>
            <m:r>
              <m:t>b</m:t>
            </m:r>
          </m:sub>
        </m:sSub>
        <m:r>
          <m:rPr>
            <m:sty m:val="p"/>
          </m:rPr>
          <m:t>)</m:t>
        </m:r>
      </m:oMath>
      <w:r>
        <w:rPr>
          <w:i/>
          <w:iCs/>
        </w:rPr>
        <w:t xml:space="preserve"> </w:t>
      </w:r>
      <w:r>
        <w:rPr>
          <w:i/>
          <w:iCs/>
        </w:rPr>
        <w:t xml:space="preserve">(Assumption 1), the</w:t>
      </w:r>
      <w:r>
        <w:rPr>
          <w:i/>
          <w:iCs/>
        </w:rPr>
        <w:t xml:space="preserve"> </w:t>
      </w:r>
      <m:oMath>
        <m:r>
          <m:t>φ</m:t>
        </m:r>
      </m:oMath>
      <w:r>
        <w:rPr>
          <w:i/>
          <w:iCs/>
        </w:rPr>
        <w:t xml:space="preserve">-induced ranking also disagrees with the</w:t>
      </w:r>
      <w:r>
        <w:rPr>
          <w:i/>
          <w:iCs/>
        </w:rPr>
        <w:t xml:space="preserve"> </w:t>
      </w:r>
      <w:r>
        <w:rPr>
          <w:i/>
          <w:iCs/>
        </w:rPr>
        <w:t xml:space="preserve">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w:t>
      </w:r>
      <w:r>
        <w:rPr>
          <w:i/>
          <w:iCs/>
        </w:rPr>
        <w:t xml:space="preserve"> </w:t>
      </w:r>
      <m:oMath>
        <m:sSub>
          <m:e>
            <m:r>
              <m:t>T</m:t>
            </m:r>
          </m:e>
          <m:sub>
            <m:r>
              <m:t>a</m:t>
            </m:r>
          </m:sub>
        </m:sSub>
        <m:r>
          <m:rPr>
            <m:sty m:val="p"/>
          </m:rPr>
          <m:t>,</m:t>
        </m:r>
        <m:sSub>
          <m:e>
            <m:r>
              <m:t>T</m:t>
            </m:r>
          </m:e>
          <m:sub>
            <m:r>
              <m:t>b</m:t>
            </m:r>
          </m:sub>
        </m:sSub>
      </m:oMath>
      <w:r>
        <w:rPr>
          <w:i/>
          <w:iCs/>
        </w:rPr>
        <w:t xml:space="preserve">. More generally, attainment on</w:t>
      </w:r>
      <w:r>
        <w:rPr>
          <w:i/>
          <w:iCs/>
        </w:rPr>
        <w:t xml:space="preserve"> </w:t>
      </w:r>
      <w:r>
        <w:rPr>
          <w:i/>
          <w:i/>
          <w:iCs/>
          <w:iCs/>
        </w:rPr>
        <w:t xml:space="preserve">any</w:t>
      </w:r>
      <w:r>
        <w:rPr>
          <w:i/>
          <w:iCs/>
        </w:rPr>
        <w:t xml:space="preserve"> </w:t>
      </w:r>
      <w:r>
        <w:rPr>
          <w:i/>
          <w:iCs/>
        </w:rPr>
        <w:t xml:space="preserve">named pair</w:t>
      </w:r>
      <w:r>
        <w:rPr>
          <w:i/>
          <w:iCs/>
        </w:rPr>
        <w:t xml:space="preserve"> </w:t>
      </w:r>
      <m:oMath>
        <m:r>
          <m:rPr>
            <m:sty m:val="p"/>
          </m:rPr>
          <m:t>(</m:t>
        </m:r>
        <m:sSubSup>
          <m:e>
            <m:r>
              <m:t>T</m:t>
            </m:r>
          </m:e>
          <m:sub>
            <m:r>
              <m:t>a</m:t>
            </m:r>
          </m:sub>
          <m:sup>
            <m:r>
              <m:rPr>
                <m:sty m:val="p"/>
              </m:rPr>
              <m:t>′</m:t>
            </m:r>
          </m:sup>
        </m:sSubSup>
        <m:r>
          <m:rPr>
            <m:sty m:val="p"/>
          </m:rPr>
          <m:t>,</m:t>
        </m:r>
        <m:sSubSup>
          <m:e>
            <m:r>
              <m:t>T</m:t>
            </m:r>
          </m:e>
          <m:sub>
            <m:r>
              <m:t>b</m:t>
            </m:r>
          </m:sub>
          <m:sup>
            <m:r>
              <m:rPr>
                <m:sty m:val="p"/>
              </m:rPr>
              <m:t>′</m:t>
            </m:r>
          </m:sup>
        </m:sSubSup>
        <m:r>
          <m:rPr>
            <m:sty m:val="p"/>
          </m:rPr>
          <m:t>)</m:t>
        </m:r>
      </m:oMath>
      <w:r>
        <w:rPr>
          <w:i/>
          <w:iCs/>
        </w:rPr>
        <w:t xml:space="preserve"> </w:t>
      </w:r>
      <w:r>
        <w:rPr>
          <w:i/>
          <w:iCs/>
        </w:rPr>
        <w:t xml:space="preserve">yields</w:t>
      </w:r>
      <w:r>
        <w:rPr>
          <w:i/>
          <w:iCs/>
        </w:rPr>
        <w:t xml:space="preserve"> </w:t>
      </w:r>
      <m:oMath>
        <m:sSub>
          <m:e>
            <m:r>
              <m:rPr>
                <m:sty m:val="p"/>
              </m:rPr>
              <m:t>P</m:t>
            </m:r>
            <m:r>
              <m:rPr>
                <m:sty m:val="p"/>
              </m:rPr>
              <m:t>A</m:t>
            </m:r>
            <m:r>
              <m:rPr>
                <m:sty m:val="p"/>
              </m:rPr>
              <m:t>S</m:t>
            </m:r>
            <m:r>
              <m:rPr>
                <m:sty m:val="p"/>
              </m:rPr>
              <m:t>S</m:t>
            </m:r>
          </m:e>
          <m:sub>
            <m:r>
              <m:t>M</m:t>
            </m:r>
          </m:sub>
        </m:sSub>
      </m:oMath>
      <w:r>
        <w:rPr>
          <w:i/>
          <w:iCs/>
        </w:rPr>
        <w:t xml:space="preserve">-disagreement on at least one of</w:t>
      </w:r>
      <w:r>
        <w:rPr>
          <w:i/>
          <w:iCs/>
        </w:rPr>
        <w:t xml:space="preserve"> </w:t>
      </w:r>
      <m:oMath>
        <m:sSubSup>
          <m:e>
            <m:r>
              <m:t>T</m:t>
            </m:r>
          </m:e>
          <m:sub>
            <m:r>
              <m:t>a</m:t>
            </m:r>
          </m:sub>
          <m:sup>
            <m:r>
              <m:rPr>
                <m:sty m:val="p"/>
              </m:rPr>
              <m:t>′</m:t>
            </m:r>
          </m:sup>
        </m:sSubSup>
        <m:r>
          <m:rPr>
            <m:sty m:val="p"/>
          </m:rPr>
          <m:t>,</m:t>
        </m:r>
        <m:sSubSup>
          <m:e>
            <m:r>
              <m:t>T</m:t>
            </m:r>
          </m:e>
          <m:sub>
            <m:r>
              <m:t>b</m:t>
            </m:r>
          </m:sub>
          <m:sup>
            <m:r>
              <m:rPr>
                <m:sty m:val="p"/>
              </m:rPr>
              <m:t>′</m:t>
            </m:r>
          </m:sup>
        </m:sSubSup>
      </m:oMath>
      <w:r>
        <w:rPr>
          <w:i/>
          <w:iCs/>
        </w:rPr>
        <w:t xml:space="preserve"> </w:t>
      </w:r>
      <w:r>
        <w:rPr>
          <w:i/>
          <w:iCs/>
        </w:rPr>
        <w:t xml:space="preserve">by the same</w:t>
      </w:r>
      <w:r>
        <w:rPr>
          <w:i/>
          <w:iCs/>
        </w:rPr>
        <w:t xml:space="preserve"> </w:t>
      </w:r>
      <w:r>
        <w:rPr>
          <w:i/>
          <w:iCs/>
        </w:rPr>
        <w:t xml:space="preserve">argument; the two conclusions concern their own witness pairs and do not transfer between them.</w:t>
      </w:r>
    </w:p>
    <w:bookmarkEnd w:id="46"/>
    <w:bookmarkStart w:id="47" w:name="rem:c2scope"/>
    <w:p>
      <w:pPr>
        <w:pStyle w:val="BodyText"/>
      </w:pPr>
      <w:r>
        <w:rPr>
          <w:i/>
          <w:iCs/>
        </w:rPr>
        <w:t xml:space="preserve">Remark 3</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7"/>
    <w:bookmarkStart w:id="48"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8"/>
    <w:bookmarkStart w:id="49"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49"/>
    <w:bookmarkEnd w:id="50"/>
    <w:bookmarkStart w:id="53"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1"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r>
          <m:rPr>
            <m:sty m:val="p"/>
          </m:rPr>
          <m:t>=</m:t>
        </m:r>
        <m:r>
          <m:t>g</m:t>
        </m:r>
        <m:r>
          <m:rPr>
            <m:sty m:val="p"/>
          </m:rPr>
          <m:t>(</m:t>
        </m:r>
        <m:r>
          <m:t>ψ</m:t>
        </m:r>
        <m:r>
          <m:rPr>
            <m:sty m:val="p"/>
          </m:rPr>
          <m:t>(</m:t>
        </m:r>
        <m:r>
          <m:t>W</m:t>
        </m:r>
        <m:r>
          <m:rPr>
            <m:sty m:val="p"/>
          </m:rPr>
          <m:t>,</m:t>
        </m:r>
        <m:r>
          <m:t>T</m:t>
        </m:r>
        <m:r>
          <m:rPr>
            <m:sty m:val="p"/>
          </m:rPr>
          <m:t>)</m:t>
        </m:r>
        <m:r>
          <m:rPr>
            <m:sty m:val="p"/>
          </m:rPr>
          <m:t>)</m:t>
        </m:r>
      </m:oMath>
      <w:r>
        <w:rPr>
          <w:i/>
          <w:iCs/>
        </w:rPr>
        <w:t xml:space="preserve"> </w:t>
      </w:r>
      <w:r>
        <w:rPr>
          <w:i/>
          <w:iCs/>
        </w:rPr>
        <w:t xml:space="preserve">for a fixed feature map</w:t>
      </w:r>
      <w:r>
        <w:rPr>
          <w:i/>
          <w:iCs/>
        </w:rPr>
        <w:t xml:space="preserve"> </w:t>
      </w:r>
      <m:oMath>
        <m:r>
          <m:t>ψ</m:t>
        </m:r>
      </m:oMath>
      <w:r>
        <w:rPr>
          <w:i/>
          <w:iCs/>
        </w:rPr>
        <w:t xml:space="preserve"> </w:t>
      </w:r>
      <w:r>
        <w:rPr>
          <w:i/>
          <w:iCs/>
        </w:rPr>
        <w:t xml:space="preserve">that is</w:t>
      </w:r>
      <w:r>
        <w:rPr>
          <w:i/>
          <w:iCs/>
        </w:rPr>
        <w:t xml:space="preserve"> </w:t>
      </w:r>
      <w:r>
        <w:rPr>
          <w:i/>
          <w:i/>
          <w:iCs/>
          <w:iCs/>
        </w:rPr>
        <w:t xml:space="preserve">topical</w:t>
      </w:r>
      <w:r>
        <w:rPr>
          <w:i/>
          <w:iCs/>
        </w:rPr>
        <w:t xml:space="preserve">:</w:t>
      </w:r>
      <w:r>
        <w:rPr>
          <w:i/>
          <w:iCs/>
        </w:rPr>
        <w:t xml:space="preserve"> </w:t>
      </w:r>
      <m:oMath>
        <m:r>
          <m:t>ψ</m:t>
        </m:r>
      </m:oMath>
      <w:r>
        <w:rPr>
          <w:i/>
          <w:iCs/>
        </w:rPr>
        <w:t xml:space="preserve"> </w:t>
      </w:r>
      <w:r>
        <w:rPr>
          <w:i/>
          <w:iCs/>
        </w:rPr>
        <w:t xml:space="preserve">is invariant to the 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Parts</w:t>
      </w:r>
      <w:r>
        <w:rPr>
          <w:i/>
          <w:iCs/>
        </w:rPr>
        <w:t xml:space="preserve"> </w:t>
      </w:r>
      <w:r>
        <w:rPr>
          <w:i/>
          <w:iCs/>
        </w:rPr>
        <w:t xml:space="preserve">(a)</w:t>
      </w:r>
      <w:r>
        <w:rPr>
          <w:i/>
          <w:iCs/>
        </w:rPr>
        <w:t xml:space="preserve"> </w:t>
      </w:r>
      <w:r>
        <w:rPr>
          <w:i/>
          <w:iCs/>
        </w:rPr>
        <w:t xml:space="preserve">and</w:t>
      </w:r>
      <w:r>
        <w:rPr>
          <w:i/>
          <w:iCs/>
        </w:rPr>
        <w:t xml:space="preserve"> </w:t>
      </w:r>
      <w:r>
        <w:rPr>
          <w:i/>
          <w:iCs/>
        </w:rPr>
        <w:t xml:space="preserve">(b)</w:t>
      </w:r>
      <w:r>
        <w:rPr>
          <w:i/>
          <w:iCs/>
        </w:rPr>
        <w:t xml:space="preserve"> </w:t>
      </w:r>
      <w:r>
        <w:rPr>
          <w:i/>
          <w:iCs/>
        </w:rPr>
        <w:t xml:space="preserve">are</w:t>
      </w:r>
      <w:r>
        <w:rPr>
          <w:i/>
          <w:iCs/>
        </w:rPr>
        <w:t xml:space="preserve"> </w:t>
      </w:r>
      <w:r>
        <w:rPr>
          <w:i/>
          <w:i/>
          <w:iCs/>
          <w:iCs/>
        </w:rPr>
        <w:t xml:space="preserve">alternatives</w:t>
      </w:r>
      <w:r>
        <w:rPr>
          <w:i/>
          <w:iCs/>
        </w:rPr>
        <w:t xml:space="preserve">, not a chain: their hypotheses are mutually</w:t>
      </w:r>
      <w:r>
        <w:rPr>
          <w:i/>
          <w:iCs/>
        </w:rPr>
        <w:t xml:space="preserve"> </w:t>
      </w:r>
      <w:r>
        <w:rPr>
          <w:i/>
          <w:iCs/>
        </w:rPr>
        <w:t xml:space="preserve">exclusive, and between them they exhaust the two ways a topical score fails on</w:t>
      </w:r>
      <w:r>
        <w:rPr>
          <w:i/>
          <w:iCs/>
        </w:rPr>
        <w:t xml:space="preserve"> </w:t>
      </w:r>
      <m:oMath>
        <m:sSub>
          <m:e>
            <m:r>
              <m:t>T</m:t>
            </m:r>
          </m:e>
          <m:sub>
            <m:r>
              <m:t>c</m:t>
            </m:r>
          </m:sub>
        </m:sSub>
      </m:oMath>
      <w:r>
        <w:rPr>
          <w:i/>
          <w:iCs/>
        </w:rPr>
        <w:t xml:space="preserve">.</w:t>
      </w:r>
      <w:r>
        <w:rPr>
          <w:i/>
          <w:iCs/>
        </w:rPr>
        <w:t xml:space="preserve"> </w:t>
      </w:r>
      <w:r>
        <w:rPr>
          <w:b/>
          <w:bCs/>
          <w:i/>
          <w:iCs/>
        </w:rPr>
        <w:t xml:space="preserve">(a) (Tie.)</w:t>
      </w:r>
      <w:r>
        <w:rPr>
          <w:i/>
          <w:iCs/>
        </w:rPr>
        <w:t xml:space="preserve"> </w:t>
      </w:r>
      <w:r>
        <w:rPr>
          <w:i/>
          <w:iCs/>
        </w:rPr>
        <w:t xml:space="preserve">If</w:t>
      </w:r>
      <w:r>
        <w:rPr>
          <w:i/>
          <w:iCs/>
        </w:rP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rPr>
          <w:i/>
          <w:iCs/>
        </w:rPr>
        <w:t xml:space="preserve"> </w:t>
      </w:r>
      <w:r>
        <w:rPr>
          <w:i/>
          <w:iCs/>
        </w:rPr>
        <w:t xml:space="preserve">then</w:t>
      </w:r>
      <w:r>
        <w:rPr>
          <w:i/>
          <w:iCs/>
        </w:rPr>
        <w:t xml:space="preserve"> </w:t>
      </w:r>
      <m:oMath>
        <m:r>
          <m:t>φ</m:t>
        </m:r>
        <m:r>
          <m:rPr>
            <m:sty m:val="p"/>
          </m:rPr>
          <m:t>(</m:t>
        </m:r>
        <m:sSub>
          <m:e>
            <m:r>
              <m:t>W</m:t>
            </m:r>
          </m:e>
          <m:sub>
            <m:r>
              <m:t>1</m:t>
            </m:r>
          </m:sub>
        </m:sSub>
        <m:r>
          <m:rPr>
            <m:sty m:val="p"/>
          </m:rPr>
          <m:t>,</m:t>
        </m:r>
        <m:sSub>
          <m:e>
            <m:r>
              <m:t>T</m:t>
            </m:r>
          </m:e>
          <m:sub>
            <m:r>
              <m:t>c</m:t>
            </m:r>
          </m:sub>
        </m:sSub>
        <m:r>
          <m:rPr>
            <m:sty m:val="p"/>
          </m:rPr>
          <m:t>)</m:t>
        </m:r>
        <m:r>
          <m:rPr>
            <m:sty m:val="p"/>
          </m:rPr>
          <m:t>=</m:t>
        </m:r>
        <m:r>
          <m:t>φ</m:t>
        </m:r>
        <m:r>
          <m:rPr>
            <m:sty m:val="p"/>
          </m:rPr>
          <m:t>(</m:t>
        </m:r>
        <m:sSub>
          <m:e>
            <m:r>
              <m:t>W</m:t>
            </m:r>
          </m:e>
          <m:sub>
            <m:r>
              <m:t>2</m:t>
            </m:r>
          </m:sub>
        </m:sSub>
        <m:r>
          <m:rPr>
            <m:sty m:val="p"/>
          </m:rPr>
          <m:t>,</m:t>
        </m:r>
        <m:sSub>
          <m:e>
            <m:r>
              <m:t>T</m:t>
            </m:r>
          </m:e>
          <m:sub>
            <m:r>
              <m:t>c</m:t>
            </m:r>
          </m:sub>
        </m:sSub>
        <m:r>
          <m:rPr>
            <m:sty m:val="p"/>
          </m:rPr>
          <m:t>)</m:t>
        </m:r>
      </m:oMath>
      <w:r>
        <w:rPr>
          <w:i/>
          <w:iCs/>
        </w:rPr>
        <w:t xml:space="preserve">, so</w:t>
      </w:r>
      <w:r>
        <w:rPr>
          <w:i/>
          <w:iCs/>
        </w:rPr>
        <w:t xml:space="preserve"> </w:t>
      </w:r>
      <m:oMath>
        <m:r>
          <m:t>φ</m:t>
        </m:r>
      </m:oMath>
      <w:r>
        <w:rPr>
          <w:i/>
          <w:iCs/>
        </w:rPr>
        <w:t xml:space="preserve"> </w:t>
      </w:r>
      <w:r>
        <w:rPr>
          <w:i/>
          <w:iCs/>
        </w:rPr>
        <w:t xml:space="preserve">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 (Strict inversion.)</w:t>
      </w:r>
      <w:r>
        <w:rPr>
          <w:i/>
          <w:iCs/>
        </w:rPr>
        <w:t xml:space="preserve"> </w:t>
      </w:r>
      <w:r>
        <w:rPr>
          <w:i/>
          <w:iCs/>
        </w:rPr>
        <w:t xml:space="preserve">Suppose instead that</w:t>
      </w:r>
      <w:r>
        <w:rPr>
          <w:i/>
          <w:iCs/>
        </w:rPr>
        <w:t xml:space="preserve"> </w:t>
      </w:r>
      <m:oMath>
        <m:r>
          <m:t>φ</m:t>
        </m:r>
        <m:r>
          <m:rPr>
            <m:sty m:val="p"/>
          </m:rPr>
          <m:t>(</m:t>
        </m:r>
        <m:r>
          <m:rPr>
            <m:sty m:val="p"/>
          </m:rPr>
          <m:t>⋅</m:t>
        </m:r>
        <m:r>
          <m:rPr>
            <m:sty m:val="p"/>
          </m:rPr>
          <m:t>,</m:t>
        </m:r>
        <m:sSub>
          <m:e>
            <m:r>
              <m:t>T</m:t>
            </m:r>
          </m:e>
          <m:sub>
            <m:r>
              <m:t>c</m:t>
            </m:r>
          </m:sub>
        </m:sSub>
        <m:r>
          <m:rPr>
            <m:sty m:val="p"/>
          </m:rPr>
          <m:t>)</m:t>
        </m:r>
        <m:r>
          <m:rPr>
            <m:sty m:val="p"/>
          </m:rPr>
          <m:t>=</m:t>
        </m:r>
        <m:r>
          <m:t>g</m:t>
        </m:r>
        <m:r>
          <m:rPr>
            <m:sty m:val="p"/>
          </m:rPr>
          <m:t>(</m:t>
        </m:r>
        <m:r>
          <m:rPr>
            <m:sty m:val="p"/>
          </m:rPr>
          <m:t>o</m:t>
        </m:r>
        <m:r>
          <m:rPr>
            <m:sty m:val="p"/>
          </m:rPr>
          <m:t>v</m:t>
        </m:r>
        <m:r>
          <m:rPr>
            <m:sty m:val="p"/>
          </m:rPr>
          <m:t>(</m:t>
        </m:r>
        <m:r>
          <m:rPr>
            <m:sty m:val="p"/>
          </m:rPr>
          <m:t>⋅</m:t>
        </m:r>
        <m:r>
          <m:rPr>
            <m:sty m:val="p"/>
          </m:rPr>
          <m:t>,</m:t>
        </m:r>
        <m:sSub>
          <m:e>
            <m:r>
              <m:t>T</m:t>
            </m:r>
          </m:e>
          <m:sub>
            <m:r>
              <m:t>c</m:t>
            </m:r>
          </m:sub>
        </m:sSub>
        <m:r>
          <m:rPr>
            <m:sty m:val="p"/>
          </m:rPr>
          <m:t>)</m:t>
        </m:r>
        <m:r>
          <m:rPr>
            <m:sty m:val="p"/>
          </m:rPr>
          <m:t>)</m:t>
        </m:r>
      </m:oMath>
      <w:r>
        <w:rPr>
          <w:i/>
          <w:iCs/>
        </w:rPr>
        <w:t xml:space="preserve"> </w:t>
      </w:r>
      <w:r>
        <w:rPr>
          <w:i/>
          <w:iCs/>
        </w:rPr>
        <w:t xml:space="preserve">reads the pair through the scalar lexical-overlap feature</w:t>
      </w:r>
      <w:r>
        <w:rPr>
          <w:i/>
          <w:iCs/>
        </w:rPr>
        <w:t xml:space="preserve"> </w:t>
      </w:r>
      <m:oMath>
        <m:r>
          <m:rPr>
            <m:sty m:val="p"/>
          </m:rPr>
          <m:t>o</m:t>
        </m:r>
        <m:r>
          <m:rPr>
            <m:sty m:val="p"/>
          </m:rPr>
          <m:t>v</m:t>
        </m:r>
      </m:oMath>
      <w:r>
        <w:rPr>
          <w:i/>
          <w:iCs/>
        </w:rPr>
        <w:t xml:space="preserve"> </w:t>
      </w:r>
      <w:r>
        <w:rPr>
          <w:i/>
          <w:iCs/>
        </w:rPr>
        <w:t xml:space="preserve">alone, with</w:t>
      </w:r>
      <w:r>
        <w:rPr>
          <w:i/>
          <w:iCs/>
        </w:rPr>
        <w:t xml:space="preserve"> </w:t>
      </w:r>
      <m:oMath>
        <m:r>
          <m:t>g</m:t>
        </m:r>
      </m:oMath>
      <w:r>
        <w:rPr>
          <w:i/>
          <w:iCs/>
        </w:rPr>
        <w:t xml:space="preserve"> </w:t>
      </w:r>
      <w:r>
        <w:rPr>
          <w:i/>
          <w:iCs/>
        </w:rPr>
        <w:t xml:space="preserve">strictly</w:t>
      </w:r>
      <w:r>
        <w:rPr>
          <w:i/>
          <w:iCs/>
        </w:rPr>
        <w:t xml:space="preserve"> </w:t>
      </w:r>
      <w:r>
        <w:rPr>
          <w:i/>
          <w:iCs/>
        </w:rPr>
        <w:t xml:space="preserve">increasing, and that</w:t>
      </w:r>
      <w:r>
        <w:rPr>
          <w:i/>
          <w:iCs/>
        </w:rPr>
        <w:t xml:space="preserve"> </w:t>
      </w:r>
      <m:oMath>
        <m:sSub>
          <m:e>
            <m:r>
              <m:t>T</m:t>
            </m:r>
          </m:e>
          <m:sub>
            <m:r>
              <m:t>c</m:t>
            </m:r>
          </m:sub>
        </m:sSub>
      </m:oMath>
      <w:r>
        <w:rPr>
          <w:i/>
          <w:iCs/>
        </w:rPr>
        <w:t xml:space="preserve">’s lexicon is saturated with</w:t>
      </w:r>
      <w:r>
        <w:rPr>
          <w:i/>
          <w:iCs/>
        </w:rPr>
        <w:t xml:space="preserve"> </w:t>
      </w:r>
      <m:oMath>
        <m:sSub>
          <m:e>
            <m:r>
              <m:t>W</m:t>
            </m:r>
          </m:e>
          <m:sub>
            <m:r>
              <m:t>2</m:t>
            </m:r>
          </m:sub>
        </m:sSub>
      </m:oMath>
      <w:r>
        <w:rPr>
          <w:i/>
          <w:iCs/>
        </w:rPr>
        <w:t xml:space="preserve">’s vocabulary in the precise sense</w:t>
      </w:r>
      <w:r>
        <w:rPr>
          <w:i/>
          <w:iCs/>
        </w:rP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rPr>
          <w:i/>
          <w:iCs/>
        </w:rPr>
        <w:t xml:space="preserve">.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w:t>
      </w:r>
      <w:r>
        <w:rPr>
          <w:i/>
          <w:iCs/>
        </w:rPr>
        <w:t xml:space="preserve"> </w:t>
      </w:r>
      <w:r>
        <w:rPr>
          <w:i/>
          <w:iCs/>
        </w:rPr>
        <w:t xml:space="preserve">mis-rank. In either case</w:t>
      </w:r>
      <w:r>
        <w:rPr>
          <w:i/>
          <w:iCs/>
        </w:rPr>
        <w:t xml:space="preserve"> </w:t>
      </w:r>
      <m:oMath>
        <m:r>
          <m:t>φ</m:t>
        </m:r>
      </m:oMath>
      <w:r>
        <w:rPr>
          <w:i/>
          <w:iCs/>
        </w:rPr>
        <w:t xml:space="preserve"> </w:t>
      </w:r>
      <w:r>
        <w:rPr>
          <w:i/>
          <w:iCs/>
        </w:rPr>
        <w:t xml:space="preserve">fails to rank</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by realized utility on</w:t>
      </w:r>
      <w:r>
        <w:rPr>
          <w:i/>
          <w:iCs/>
        </w:rPr>
        <w:t xml:space="preserve"> </w:t>
      </w:r>
      <m:oMath>
        <m:sSub>
          <m:e>
            <m:r>
              <m:t>T</m:t>
            </m:r>
          </m:e>
          <m:sub>
            <m:r>
              <m:t>c</m:t>
            </m:r>
          </m:sub>
        </m:sSub>
      </m:oMath>
      <w:r>
        <w:rPr>
          <w:i/>
          <w:iCs/>
        </w:rPr>
        <w:t xml:space="preserve">, so no</w:t>
      </w:r>
      <w:r>
        <w:rPr>
          <w:i/>
          <w:iCs/>
        </w:rPr>
        <w:t xml:space="preserve"> </w:t>
      </w:r>
      <w:r>
        <w:rPr>
          <w:i/>
          <w:iCs/>
        </w:rPr>
        <w:t xml:space="preserve">topical query-conditioned score ranks them correctly on all tasks.</w:t>
      </w:r>
    </w:p>
    <w:bookmarkEnd w:id="51"/>
    <w:bookmarkStart w:id="52" w:name="rem:overlaponly"/>
    <w:p>
      <w:pPr>
        <w:pStyle w:val="BodyText"/>
      </w:pPr>
      <w:r>
        <w:rPr>
          <w:i/>
          <w:iCs/>
        </w:rPr>
        <w:t xml:space="preserve">Remark 5</w:t>
      </w:r>
      <w:r>
        <w:t xml:space="preserve"> </w:t>
      </w:r>
      <w:r>
        <w:t xml:space="preserve">(Why</w:t>
      </w:r>
      <w:r>
        <w:t xml:space="preserve"> </w:t>
      </w:r>
      <w:r>
        <w:t xml:space="preserve">(b)</w:t>
      </w:r>
      <w:r>
        <w:t xml:space="preserve"> </w:t>
      </w:r>
      <w:r>
        <w:t xml:space="preserve">is stated for a scalar overlap score).</w:t>
      </w:r>
      <w:r>
        <w:t xml:space="preserve"> </w:t>
      </w:r>
      <w:r>
        <w:t xml:space="preserve"> </w:t>
      </w:r>
      <w:r>
        <w:t xml:space="preserve">Strict monotonicity in one</w:t>
      </w:r>
      <w:r>
        <w:t xml:space="preserve"> </w:t>
      </w:r>
      <w:r>
        <w:rPr>
          <w:i/>
          <w:iCs/>
        </w:rPr>
        <w:t xml:space="preserve">coordinate</w:t>
      </w:r>
      <w:r>
        <w:t xml:space="preserve"> </w:t>
      </w:r>
      <w:r>
        <w:t xml:space="preserve">of a multi-feature</w:t>
      </w:r>
      <w:r>
        <w:t xml:space="preserve"> </w:t>
      </w:r>
      <m:oMath>
        <m:r>
          <m:t>ψ</m:t>
        </m:r>
      </m:oMath>
      <w:r>
        <w:t xml:space="preserve"> </w:t>
      </w:r>
      <w:r>
        <w:t xml:space="preserve">does not give (b). Take</w:t>
      </w:r>
      <w:r>
        <w:t xml:space="preserve"> </w:t>
      </w:r>
      <m:oMath>
        <m:r>
          <m:t>ψ</m:t>
        </m:r>
        <m:r>
          <m:rPr>
            <m:sty m:val="p"/>
          </m:rPr>
          <m:t>=</m:t>
        </m:r>
        <m:r>
          <m:rPr>
            <m:sty m:val="p"/>
          </m:rPr>
          <m:t>(</m:t>
        </m:r>
        <m:r>
          <m:rPr>
            <m:sty m:val="p"/>
          </m:rPr>
          <m:t>o</m:t>
        </m:r>
        <m:r>
          <m:rPr>
            <m:sty m:val="p"/>
          </m:rPr>
          <m:t>v</m:t>
        </m:r>
        <m:r>
          <m:rPr>
            <m:sty m:val="p"/>
          </m:rPr>
          <m:t>,</m:t>
        </m:r>
        <m:r>
          <m:rPr>
            <m:sty m:val="p"/>
          </m:rPr>
          <m:t>s</m:t>
        </m:r>
        <m:r>
          <m:rPr>
            <m:sty m:val="p"/>
          </m:rPr>
          <m:t>t</m:t>
        </m:r>
        <m:r>
          <m:rPr>
            <m:sty m:val="p"/>
          </m:rPr>
          <m:t>y</m:t>
        </m:r>
        <m:r>
          <m:rPr>
            <m:sty m:val="p"/>
          </m:rPr>
          <m:t>l</m:t>
        </m:r>
        <m:r>
          <m:rPr>
            <m:sty m:val="p"/>
          </m:rPr>
          <m:t>e</m:t>
        </m:r>
        <m:r>
          <m:rPr>
            <m:sty m:val="p"/>
          </m:rPr>
          <m:t>)</m:t>
        </m:r>
      </m:oMath>
      <w:r>
        <w:t xml:space="preserve"> </w:t>
      </w:r>
      <w:r>
        <w:t xml:space="preserve">and</w:t>
      </w:r>
      <w:r>
        <w:t xml:space="preserve"> </w:t>
      </w:r>
      <m:oMath>
        <m:r>
          <m:t>φ</m:t>
        </m:r>
        <m:r>
          <m:rPr>
            <m:sty m:val="p"/>
          </m:rPr>
          <m:t>=</m:t>
        </m:r>
        <m:r>
          <m:rPr>
            <m:sty m:val="p"/>
          </m:rPr>
          <m:t>o</m:t>
        </m:r>
        <m:r>
          <m:rPr>
            <m:sty m:val="p"/>
          </m:rPr>
          <m:t>v</m:t>
        </m:r>
        <m:r>
          <m:rPr>
            <m:sty m:val="p"/>
          </m:rPr>
          <m:t>+</m:t>
        </m:r>
        <m:r>
          <m:t>10</m:t>
        </m:r>
        <m:r>
          <m:t> </m:t>
        </m:r>
        <m:r>
          <m:rPr>
            <m:sty m:val="p"/>
          </m:rPr>
          <m:t>s</m:t>
        </m:r>
        <m:r>
          <m:rPr>
            <m:sty m:val="p"/>
          </m:rPr>
          <m:t>t</m:t>
        </m:r>
        <m:r>
          <m:rPr>
            <m:sty m:val="p"/>
          </m:rPr>
          <m:t>y</m:t>
        </m:r>
        <m:r>
          <m:rPr>
            <m:sty m:val="p"/>
          </m:rPr>
          <m:t>l</m:t>
        </m:r>
        <m:r>
          <m:rPr>
            <m:sty m:val="p"/>
          </m:rPr>
          <m:t>e</m:t>
        </m:r>
      </m:oMath>
      <w:r>
        <w:t xml:space="preserve">, which is strictly</w:t>
      </w:r>
      <w:r>
        <w:t xml:space="preserve"> </w:t>
      </w:r>
      <w:r>
        <w:t xml:space="preserve">increasing in overlap. With</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rPr>
            <m:sty m:val="p"/>
          </m:rPr>
          <m:t>(</m:t>
        </m:r>
        <m:r>
          <m:t>0.2</m:t>
        </m:r>
        <m:r>
          <m:rPr>
            <m:sty m:val="p"/>
          </m:rPr>
          <m:t>,</m:t>
        </m:r>
        <m:r>
          <m:t>1</m:t>
        </m:r>
        <m:r>
          <m:rPr>
            <m:sty m:val="p"/>
          </m:rPr>
          <m:t>)</m:t>
        </m:r>
      </m:oMath>
      <w:r>
        <w:t xml:space="preserve"> </w:t>
      </w:r>
      <w:r>
        <w:t xml:space="preserve">and</w:t>
      </w:r>
      <w:r>
        <w:t xml:space="preserve"> </w:t>
      </w:r>
      <m:oMath>
        <m:r>
          <m:t>ψ</m:t>
        </m:r>
        <m:r>
          <m:rPr>
            <m:sty m:val="p"/>
          </m:rPr>
          <m:t>(</m:t>
        </m:r>
        <m:sSub>
          <m:e>
            <m:r>
              <m:t>W</m:t>
            </m:r>
          </m:e>
          <m:sub>
            <m:r>
              <m:t>2</m:t>
            </m:r>
          </m:sub>
        </m:sSub>
        <m:r>
          <m:rPr>
            <m:sty m:val="p"/>
          </m:rPr>
          <m:t>,</m:t>
        </m:r>
        <m:sSub>
          <m:e>
            <m:r>
              <m:t>T</m:t>
            </m:r>
          </m:e>
          <m:sub>
            <m:r>
              <m:t>c</m:t>
            </m:r>
          </m:sub>
        </m:sSub>
        <m:r>
          <m:rPr>
            <m:sty m:val="p"/>
          </m:rPr>
          <m:t>)</m:t>
        </m:r>
        <m:r>
          <m:rPr>
            <m:sty m:val="p"/>
          </m:rPr>
          <m:t>=</m:t>
        </m:r>
        <m:r>
          <m:rPr>
            <m:sty m:val="p"/>
          </m:rPr>
          <m:t>(</m:t>
        </m:r>
        <m:r>
          <m:t>0.9</m:t>
        </m:r>
        <m:r>
          <m:rPr>
            <m:sty m:val="p"/>
          </m:rPr>
          <m:t>,</m:t>
        </m:r>
        <m:r>
          <m:t>0</m:t>
        </m:r>
        <m:r>
          <m:rPr>
            <m:sty m:val="p"/>
          </m:rPr>
          <m:t>)</m:t>
        </m:r>
      </m:oMath>
      <w:r>
        <w:t xml:space="preserve"> </w:t>
      </w:r>
      <w:r>
        <w:t xml:space="preserve">the scores are</w:t>
      </w:r>
      <w:r>
        <w:t xml:space="preserve"> </w:t>
      </w:r>
      <m:oMath>
        <m:r>
          <m:t>10.2</m:t>
        </m:r>
      </m:oMath>
      <w:r>
        <w:t xml:space="preserve"> </w:t>
      </w:r>
      <w:r>
        <w:t xml:space="preserve">and</w:t>
      </w:r>
      <w:r>
        <w:t xml:space="preserve"> </w:t>
      </w:r>
      <m:oMath>
        <m:r>
          <m:t>0.9</m:t>
        </m:r>
      </m:oMath>
      <w:r>
        <w:t xml:space="preserve">: overlap favours</w:t>
      </w:r>
      <w:r>
        <w:t xml:space="preserve"> </w:t>
      </w:r>
      <m:oMath>
        <m:sSub>
          <m:e>
            <m:r>
              <m:t>W</m:t>
            </m:r>
          </m:e>
          <m:sub>
            <m:r>
              <m:t>2</m:t>
            </m:r>
          </m:sub>
        </m:sSub>
      </m:oMath>
      <w:r>
        <w:t xml:space="preserve"> </w:t>
      </w:r>
      <w:r>
        <w:t xml:space="preserve">while the score favours</w:t>
      </w:r>
      <w:r>
        <w:t xml:space="preserve"> </w:t>
      </w:r>
      <m:oMath>
        <m:sSub>
          <m:e>
            <m:r>
              <m:t>W</m:t>
            </m:r>
          </m:e>
          <m:sub>
            <m:r>
              <m:t>1</m:t>
            </m:r>
          </m:sub>
        </m:sSub>
      </m:oMath>
      <w:r>
        <w:t xml:space="preserve">. Comparing two inputs that</w:t>
      </w:r>
      <w:r>
        <w:t xml:space="preserve"> </w:t>
      </w:r>
      <w:r>
        <w:t xml:space="preserve">differ in other features therefore needs the whole map, which is why (b) assumes</w:t>
      </w:r>
      <w:r>
        <w:t xml:space="preserve"> </w:t>
      </w:r>
      <m:oMath>
        <m:r>
          <m:t>φ</m:t>
        </m:r>
      </m:oMath>
      <w:r>
        <w:t xml:space="preserve"> </w:t>
      </w:r>
      <w:r>
        <w:t xml:space="preserve">reads</w:t>
      </w:r>
      <w:r>
        <w:t xml:space="preserve"> </w:t>
      </w:r>
      <w:r>
        <w:t xml:space="preserve">overlap alone. The lexical cosine of §7 satisfies that assumption by</w:t>
      </w:r>
      <w:r>
        <w:t xml:space="preserve"> </w:t>
      </w:r>
      <w:r>
        <w:t xml:space="preserve">construction; a learned reranker need not, which is why its behaviour is settled empirically</w:t>
      </w:r>
      <w:r>
        <w:t xml:space="preserve"> </w:t>
      </w:r>
      <w:r>
        <w:t xml:space="preserve">rather than by this proposition.</w:t>
      </w:r>
    </w:p>
    <w:bookmarkEnd w:id="52"/>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Nie, et al. 2025)</w:t>
      </w:r>
      <w:r>
        <w:t xml:space="preserve">, the last of these a corpus of real retrieved contexts</w:t>
      </w:r>
      <w:r>
        <w:t xml:space="preserve"> </w:t>
      </w:r>
      <w:r>
        <w:t xml:space="preserve">built precisely to check whether synthetic benchmarks overstate context</w:t>
      </w:r>
      <w:r>
        <w:t xml:space="preserve"> </w:t>
      </w:r>
      <w:r>
        <w:t xml:space="preserve">utilisation </w:t>
      </w:r>
      <w:r>
        <w:t xml:space="preserve">(Hagström, Marjanović,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3"/>
    <w:bookmarkEnd w:id="54"/>
    <w:bookmarkStart w:id="66"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6"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5" w:name="rem:notlecam"/>
    <w:p>
      <w:pPr>
        <w:pStyle w:val="BodyText"/>
      </w:pPr>
      <w:r>
        <w:rPr>
          <w:i/>
          <w:iCs/>
        </w:rPr>
        <w:t xml:space="preserve">Remark 6</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(5)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(5)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5"/>
    <w:bookmarkEnd w:id="56"/>
    <w:bookmarkStart w:id="59" w:name="subsec:certificate"/>
    <w:p>
      <w:pPr>
        <w:pStyle w:val="Heading2"/>
      </w:pPr>
      <w:r>
        <w:t xml:space="preserve">The uniform verification</w:t>
      </w:r>
    </w:p>
    <w:p>
      <w:pPr>
        <w:pStyle w:val="FirstParagraph"/>
      </w:pPr>
      <w:r>
        <w:t xml:space="preserve">The surrogate (5)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7"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and so are valid on the same coverage event. Consequently,</w:t>
      </w:r>
      <w:r>
        <w:rPr>
          <w:i/>
          <w:iCs/>
        </w:rPr>
        <w:t xml:space="preserve"> </w:t>
      </w:r>
      <w:r>
        <w:rPr>
          <w:i/>
          <w:i/>
          <w:iCs/>
          <w:iCs/>
        </w:rPr>
        <w:t xml:space="preserve">if both observed bounds</w:t>
      </w:r>
      <w:r>
        <w:rPr>
          <w:i/>
          <w:i/>
          <w:iCs/>
          <w:iCs/>
        </w:rPr>
        <w:t xml:space="preserve"> </w:t>
      </w:r>
      <w:r>
        <w:rPr>
          <w:i/>
          <w:i/>
          <w:iCs/>
          <w:iCs/>
        </w:rPr>
        <w:t xml:space="preserve">are positive</w:t>
      </w:r>
      <w:r>
        <w:rPr>
          <w:i/>
          <w:iCs/>
        </w:rPr>
        <w:t xml:space="preserve">, the 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w:t>
      </w:r>
      <w:r>
        <w:rPr>
          <w:i/>
          <w:iCs/>
        </w:rPr>
        <w:t xml:space="preserve"> </w:t>
      </w:r>
      <w:r>
        <w:rPr>
          <w:i/>
          <w:iCs/>
        </w:rPr>
        <w:t xml:space="preserve">additional correction. The condition is not decoration: coverage alone implies nothing about the</w:t>
      </w:r>
      <w:r>
        <w:rPr>
          <w:i/>
          <w:iCs/>
        </w:rPr>
        <w:t xml:space="preserve"> </w:t>
      </w:r>
      <w:r>
        <w:rPr>
          <w:i/>
          <w:iCs/>
        </w:rPr>
        <w:t xml:space="preserve">population gaps, which are identically</w:t>
      </w:r>
      <w:r>
        <w:rPr>
          <w:i/>
          <w:iCs/>
        </w:rPr>
        <w:t xml:space="preserve"> </w:t>
      </w:r>
      <m:oMath>
        <m:r>
          <m:t>0</m:t>
        </m:r>
      </m:oMath>
      <w:r>
        <w:rPr>
          <w:i/>
          <w:iCs/>
        </w:rPr>
        <w:t xml:space="preserve"> </w:t>
      </w:r>
      <w:r>
        <w:rPr>
          <w:i/>
          <w:iCs/>
        </w:rPr>
        <w:t xml:space="preserve">when</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 the same source. The</w:t>
      </w:r>
      <w:r>
        <w:rPr>
          <w:i/>
          <w:iCs/>
        </w:rPr>
        <w:t xml:space="preserve"> </w:t>
      </w:r>
      <w:r>
        <w:rPr>
          <w:i/>
          <w:iCs/>
        </w:rPr>
        <w:t xml:space="preserve">verification is one-sided, asserting nothing when the two bounds are not both positive, and the</w:t>
      </w:r>
      <w:r>
        <w:rPr>
          <w:i/>
          <w:iCs/>
        </w:rPr>
        <w:t xml:space="preserve"> </w:t>
      </w:r>
      <w:r>
        <w:rPr>
          <w:i/>
          <w:iCs/>
        </w:rPr>
        <w:t xml:space="preserve">guarantee is frequentist: the probability of declaring incomparability when it does not hold is at</w:t>
      </w:r>
      <w:r>
        <w:rPr>
          <w:i/>
          <w:iCs/>
        </w:rPr>
        <w:t xml:space="preserve"> </w:t>
      </w:r>
      <w:r>
        <w:rPr>
          <w:i/>
          <w:iCs/>
        </w:rPr>
        <w:t xml:space="preserve">most</w:t>
      </w:r>
      <w:r>
        <w:rPr>
          <w:i/>
          <w:iCs/>
        </w:rPr>
        <w:t xml:space="preserve"> </w:t>
      </w:r>
      <m:oMath>
        <m:r>
          <m:t>η</m:t>
        </m:r>
      </m:oMath>
      <w:r>
        <w:rPr>
          <w:i/>
          <w:iCs/>
        </w:rPr>
        <w:t xml:space="preserve">, which is not a posterior probability that the fixed sources satisfy the inequality.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7"/>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8"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8"/>
    <w:bookmarkEnd w:id="59"/>
    <w:bookmarkStart w:id="62"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7).</w:t>
      </w:r>
    </w:p>
    <w:bookmarkStart w:id="60"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carrying</w:t>
      </w:r>
      <w:r>
        <w:rPr>
          <w:i/>
          <w:iCs/>
        </w:rPr>
        <w:t xml:space="preserve"> </w:t>
      </w:r>
      <w:r>
        <w:rPr>
          <w:i/>
          <w:iCs/>
        </w:rPr>
        <w:t xml:space="preserve">noncoverage at most</w:t>
      </w:r>
      <w:r>
        <w:rPr>
          <w:i/>
          <w:iCs/>
        </w:rPr>
        <w:t xml:space="preserve"> </w:t>
      </w:r>
      <m:oMath>
        <m:r>
          <m:t>α</m:t>
        </m:r>
        <m:r>
          <m:rPr>
            <m:sty m:val="p"/>
          </m:rPr>
          <m:t>=</m:t>
        </m:r>
        <m:r>
          <m:t>η</m:t>
        </m:r>
        <m:r>
          <m:rPr>
            <m:sty m:val="p"/>
          </m:rPr>
          <m:t>/</m:t>
        </m:r>
        <m:r>
          <m:t>2</m:t>
        </m:r>
      </m:oMath>
      <w:r>
        <w:rPr>
          <w:i/>
          <w:iCs/>
        </w:rPr>
        <w:t xml:space="preserve"> </w:t>
      </w:r>
      <w:r>
        <w:rPr>
          <w:i/>
          <w:i/>
          <w:iCs/>
          <w:iCs/>
        </w:rPr>
        <w:t xml:space="preserve">per endpoint</w:t>
      </w:r>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 </w:t>
      </w:r>
      <w:r>
        <w:rPr>
          <w:i/>
          <w:iCs/>
        </w:rPr>
        <w:t xml:space="preserve">(two</w:t>
      </w:r>
      <w:r>
        <w:rPr>
          <w:i/>
          <w:iCs/>
        </w:rPr>
        <w:t xml:space="preserve"> </w:t>
      </w:r>
      <w:r>
        <w:rPr>
          <w:i/>
          <w:iCs/>
        </w:rPr>
        <w:t xml:space="preserve">endpoints, union-bounding to</w:t>
      </w:r>
      <w:r>
        <w:rPr>
          <w:i/>
          <w:iCs/>
        </w:rPr>
        <w:t xml:space="preserve"> </w:t>
      </w:r>
      <m:oMath>
        <m:r>
          <m:t>η</m:t>
        </m:r>
      </m:oMath>
      <w:r>
        <w:rPr>
          <w:i/>
          <w:iCs/>
        </w:rPr>
        <w:t xml:space="preserve">; the two unused endpoints of a two-sided interval are not</w:t>
      </w:r>
      <w:r>
        <w:rPr>
          <w:i/>
          <w:iCs/>
        </w:rPr>
        <w:t xml:space="preserve"> </w:t>
      </w:r>
      <w:r>
        <w:rPr>
          <w:i/>
          <w:iCs/>
        </w:rPr>
        <w:t xml:space="preserve">paid for),</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(the multiplicity is real: the selected cell is an argmax over</w:t>
      </w:r>
      <w:r>
        <w:rPr>
          <w:i/>
          <w:iCs/>
        </w:rPr>
        <w:t xml:space="preserve"> </w:t>
      </w:r>
      <m:oMath>
        <m:r>
          <m:rPr>
            <m:sty m:val="p"/>
          </m:rPr>
          <m:t>|</m:t>
        </m:r>
        <m:r>
          <m:rPr>
            <m:scr m:val="script"/>
            <m:sty m:val="p"/>
          </m:rPr>
          <m:t>D</m:t>
        </m:r>
        <m:r>
          <m:rPr>
            <m:sty m:val="p"/>
          </m:rPr>
          <m:t>|</m:t>
        </m:r>
      </m:oMath>
      <w:r>
        <w:rPr>
          <w:i/>
          <w:iCs/>
        </w:rPr>
        <w:t xml:space="preserve"> </w:t>
      </w:r>
      <w:r>
        <w:rPr>
          <w:i/>
          <w:iCs/>
        </w:rPr>
        <w:t xml:space="preserve">noisy gaps, so a</w:t>
      </w:r>
      <w:r>
        <w:rPr>
          <w:i/>
          <w:iCs/>
        </w:rPr>
        <w:t xml:space="preserve"> </w:t>
      </w:r>
      <w:r>
        <w:rPr>
          <w:i/>
          <w:iCs/>
        </w:rPr>
        <w:t xml:space="preserve">single-sample sup inequality does not cover it), and omitting it would repeat the error we</w:t>
      </w:r>
      <w:r>
        <w:rPr>
          <w:i/>
          <w:iCs/>
        </w:rPr>
        <w:t xml:space="preserve"> </w:t>
      </w:r>
      <w:r>
        <w:rPr>
          <w:i/>
          <w:iCs/>
        </w:rPr>
        <w:t xml:space="preserve">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60"/>
    <w:bookmarkStart w:id="61" w:name="rem:psinotharm"/>
    <w:p>
      <w:pPr>
        <w:pStyle w:val="FirstParagraph"/>
      </w:pPr>
      <w:r>
        <w:rPr>
          <w:i/>
          <w:iCs/>
        </w:rPr>
        <w:t xml:space="preserve">Remark 7</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1"/>
    <w:bookmarkEnd w:id="62"/>
    <w:bookmarkStart w:id="64"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3"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1,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3"/>
    <w:p>
      <w:pPr>
        <w:pStyle w:val="BodyText"/>
      </w:pPr>
      <w:r>
        <w:t xml:space="preserve">Theorem 3 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2(b)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4"/>
    <w:bookmarkStart w:id="65"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The unit of accounting is the</w:t>
      </w:r>
      <w:r>
        <w:t xml:space="preserve"> </w:t>
      </w:r>
      <w:r>
        <w:rPr>
          <w:i/>
          <w:iCs/>
        </w:rPr>
        <w:t xml:space="preserve">coverage event</w:t>
      </w:r>
      <w:r>
        <w:t xml:space="preserve">, not the</w:t>
      </w:r>
      <w:r>
        <w:t xml:space="preserve"> </w:t>
      </w:r>
      <w:r>
        <w:t xml:space="preserve">claim. Every statement that is a deterministic consequence of the same</w:t>
      </w:r>
      <w:r>
        <w:t xml:space="preserve"> </w:t>
      </w:r>
      <m:oMath>
        <m:r>
          <m:t>2</m:t>
        </m:r>
        <m:r>
          <m:rPr>
            <m:sty m:val="p"/>
          </m:rPr>
          <m:t>|</m:t>
        </m:r>
        <m:r>
          <m:rPr>
            <m:scr m:val="script"/>
            <m:sty m:val="p"/>
          </m:rPr>
          <m:t>D</m:t>
        </m:r>
        <m:r>
          <m:rPr>
            <m:sty m:val="p"/>
          </m:rPr>
          <m:t>|</m:t>
        </m:r>
      </m:oMath>
      <w:r>
        <w:t xml:space="preserve"> </w:t>
      </w:r>
      <w:r>
        <w:t xml:space="preserve">Clopper–Pearson intervals holds simultaneously on the event</w:t>
      </w:r>
      <w:r>
        <w:t xml:space="preserve"> </w:t>
      </w:r>
      <m:oMath>
        <m:r>
          <m:t>E</m:t>
        </m:r>
      </m:oMath>
      <w:r>
        <w:t xml:space="preserve"> </w:t>
      </w:r>
      <w:r>
        <w:t xml:space="preserve">of</w:t>
      </w:r>
      <w:r>
        <w:t xml:space="preserve"> </w:t>
      </w:r>
      <w:r>
        <w:t xml:space="preserve">Proposition 3, and therefore</w:t>
      </w:r>
      <w:r>
        <w:t xml:space="preserve"> </w:t>
      </w:r>
      <w:r>
        <w:rPr>
          <w:i/>
          <w:iCs/>
        </w:rPr>
        <w:t xml:space="preserve">jointly</w:t>
      </w:r>
      <w:r>
        <w:t xml:space="preserve"> </w:t>
      </w:r>
      <w:r>
        <w:t xml:space="preserve">at</w:t>
      </w:r>
      <w:r>
        <w:t xml:space="preserve"> </w:t>
      </w:r>
      <m:oMath>
        <m:r>
          <m:rPr>
            <m:sty m:val="p"/>
          </m:rPr>
          <m:t>≥</m:t>
        </m:r>
        <m:r>
          <m:t>1</m:t>
        </m:r>
        <m:r>
          <m:rPr>
            <m:sty m:val="p"/>
          </m:rPr>
          <m:t>−</m:t>
        </m:r>
        <m:r>
          <m:t>η</m:t>
        </m:r>
      </m:oMath>
      <w:r>
        <w:t xml:space="preserve"> </w:t>
      </w:r>
      <w:r>
        <w:t xml:space="preserve">with no further</w:t>
      </w:r>
      <w:r>
        <w:t xml:space="preserve"> </w:t>
      </w:r>
      <w:r>
        <w:t xml:space="preserve">correction: this covers both incomparability directions, the dominance control</w:t>
      </w:r>
      <w:r>
        <w:t xml:space="preserve"> </w:t>
      </w:r>
      <m:oMath>
        <m:sSub>
          <m:e>
            <m:r>
              <m:t>U</m:t>
            </m:r>
          </m:e>
          <m:sub>
            <m:r>
              <m:rPr>
                <m:scr m:val="script"/>
                <m:sty m:val="p"/>
              </m:rPr>
              <m:t>D</m:t>
            </m:r>
          </m:sub>
        </m:sSub>
        <m:r>
          <m:rPr>
            <m:sty m:val="p"/>
          </m:rPr>
          <m:t>(</m:t>
        </m:r>
        <m:r>
          <m:rPr>
            <m:sty m:val="p"/>
          </m:rPr>
          <m:t>⋅</m:t>
        </m:r>
        <m:r>
          <m:rPr>
            <m:sty m:val="p"/>
          </m:rPr>
          <m:t>,</m:t>
        </m:r>
        <m:r>
          <m:rPr>
            <m:sty m:val="p"/>
          </m:rPr>
          <m:t>⋅</m:t>
        </m:r>
        <m:r>
          <m:rPr>
            <m:sty m:val="p"/>
          </m:rPr>
          <m:t>)</m:t>
        </m:r>
      </m:oMath>
      <w:r>
        <w:t xml:space="preserve">, whose endpoints are endpoints of those very intervals, and any per-task</w:t>
      </w:r>
      <w:r>
        <w:t xml:space="preserve"> </w:t>
      </w:r>
      <w:r>
        <w:t xml:space="preserve">strict win read off them. Adding a conclusion drawn from intervals already covered does not by</w:t>
      </w:r>
      <w:r>
        <w:t xml:space="preserve"> </w:t>
      </w:r>
      <w:r>
        <w:t xml:space="preserve">itself cost another Bonferroni factor. What does require fresh allocation is a conjunction</w:t>
      </w:r>
      <w:r>
        <w:t xml:space="preserve"> </w:t>
      </w:r>
      <w:r>
        <w:t xml:space="preserve">spanning</w:t>
      </w:r>
      <w:r>
        <w:t xml:space="preserve"> </w:t>
      </w:r>
      <w:r>
        <w:rPr>
          <w:i/>
          <w:iCs/>
        </w:rPr>
        <w:t xml:space="preserve">different</w:t>
      </w:r>
      <w:r>
        <w:t xml:space="preserve"> </w:t>
      </w:r>
      <w:r>
        <w:t xml:space="preserve">events, that is, claims reading cells outside</w:t>
      </w:r>
      <w:r>
        <w:t xml:space="preserve"> </w:t>
      </w:r>
      <m:oMath>
        <m:r>
          <m:t>E</m:t>
        </m:r>
      </m:oMath>
      <w:r>
        <w:t xml:space="preserve"> </w:t>
      </w:r>
      <w:r>
        <w:t xml:space="preserve">or intervals built at a</w:t>
      </w:r>
      <w:r>
        <w:t xml:space="preserve"> </w:t>
      </w:r>
      <w:r>
        <w:t xml:space="preserve">different level. The interference verification is of that kind, since it reads the</w:t>
      </w:r>
      <w:r>
        <w:t xml:space="preserve"> </w:t>
      </w:r>
      <m:oMath>
        <m:sSub>
          <m:e>
            <m:r>
              <m:t>W</m:t>
            </m:r>
          </m:e>
          <m:sub>
            <m:r>
              <m:t>1</m:t>
            </m:r>
            <m:r>
              <m:rPr>
                <m:sty m:val="p"/>
              </m:rPr>
              <m:t>+</m:t>
            </m:r>
          </m:sub>
        </m:sSub>
      </m:oMath>
      <w:r>
        <w:t xml:space="preserve"> </w:t>
      </w:r>
      <w:r>
        <w:t xml:space="preserve">and</w:t>
      </w:r>
      <w:r>
        <w:t xml:space="preserve"> </w:t>
      </w:r>
      <w:r>
        <w:rPr>
          <w:rStyle w:val="VerbatimChar"/>
        </w:rPr>
        <w:t xml:space="preserve">none</w:t>
      </w:r>
      <w:r>
        <w:t xml:space="preserve"> </w:t>
      </w:r>
      <w:r>
        <w:t xml:space="preserve">arms at</w:t>
      </w:r>
      <w:r>
        <w:t xml:space="preserve"> </w:t>
      </w:r>
      <m:oMath>
        <m:r>
          <m:t>α</m:t>
        </m:r>
        <m:r>
          <m:rPr>
            <m:sty m:val="p"/>
          </m:rPr>
          <m:t>=</m:t>
        </m:r>
        <m:r>
          <m:t>η</m:t>
        </m:r>
        <m:r>
          <m:rPr>
            <m:sty m:val="p"/>
          </m:rPr>
          <m:t>/</m:t>
        </m:r>
        <m:r>
          <m:t>2</m:t>
        </m:r>
      </m:oMath>
      <w:r>
        <w:t xml:space="preserve">; conjunctions joining it to the incomparability family are</w:t>
      </w:r>
      <w:r>
        <w:t xml:space="preserve"> </w:t>
      </w:r>
      <w:r>
        <w:t xml:space="preserve">therefore reported as marginal per claim, and where a joint statement is wanted we allocate</w:t>
      </w:r>
      <w:r>
        <w:t xml:space="preserve"> </w:t>
      </w:r>
      <m:oMath>
        <m:r>
          <m:t>η</m:t>
        </m:r>
      </m:oMath>
      <w:r>
        <w:t xml:space="preserve"> </w:t>
      </w:r>
      <w:r>
        <w:t xml:space="preserve">across the</w:t>
      </w:r>
      <w:r>
        <w:t xml:space="preserve"> </w:t>
      </w:r>
      <m:oMath>
        <m:r>
          <m:t>C</m:t>
        </m:r>
      </m:oMath>
      <w:r>
        <w:t xml:space="preserve"> </w:t>
      </w:r>
      <w:r>
        <w:t xml:space="preserve">events involved.</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5"/>
    <w:bookmarkEnd w:id="66"/>
    <w:bookmarkStart w:id="109"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69"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7"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7"/>
    <w:bookmarkStart w:id="68"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 model’s guessing cap,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8), we report that leakage explicitly and</w:t>
      </w:r>
      <w:r>
        <w:t xml:space="preserve"> </w:t>
      </w:r>
      <w:r>
        <w:t xml:space="preserve">do not use those cells for claims that require a near-zero baseline.</w:t>
      </w:r>
    </w:p>
    <w:bookmarkEnd w:id="68"/>
    <w:bookmarkEnd w:id="69"/>
    <w:bookmarkStart w:id="72"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0"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0"/>
    <w:bookmarkStart w:id="71"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1"/>
    <w:bookmarkEnd w:id="72"/>
    <w:bookmarkStart w:id="82" w:name="sec:methodology"/>
    <w:p>
      <w:pPr>
        <w:pStyle w:val="Heading2"/>
      </w:pPr>
      <w:r>
        <w:t xml:space="preserve">Methodology</w:t>
      </w:r>
    </w:p>
    <w:bookmarkStart w:id="73"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3"/>
    <w:bookmarkStart w:id="75"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4">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5"/>
    <w:bookmarkStart w:id="76"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6"/>
    <w:bookmarkStart w:id="77"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each family of claims is corrected by a 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7"/>
    <w:bookmarkStart w:id="78"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7).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w:t>
      </w:r>
      <w:r>
        <w:t xml:space="preserve"> </w:t>
      </w:r>
      <w:r>
        <w:t xml:space="preserve">intermediate proportions need a larger</w:t>
      </w:r>
      <w:r>
        <w:t xml:space="preserve"> </w:t>
      </w:r>
      <m:oMath>
        <m:r>
          <m:t>n</m:t>
        </m:r>
      </m:oMath>
      <w:r>
        <w:t xml:space="preserve"> </w:t>
      </w:r>
      <w:r>
        <w:t xml:space="preserve">for the same margin.</w:t>
      </w:r>
    </w:p>
    <w:bookmarkEnd w:id="78"/>
    <w:bookmarkStart w:id="79"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The verified collapses clear it with upper confidence bounds from</w:t>
      </w:r>
      <w:r>
        <w:t xml:space="preserve"> </w:t>
      </w:r>
      <m:oMath>
        <m:r>
          <m:rPr>
            <m:sty m:val="p"/>
          </m:rPr>
          <m:t>−</m:t>
        </m:r>
        <m:r>
          <m:t>0.39</m:t>
        </m:r>
      </m:oMath>
      <w:r>
        <w:t xml:space="preserve"> </w:t>
      </w:r>
      <w:r>
        <w:t xml:space="preserve">to</w:t>
      </w:r>
      <w:r>
        <w:t xml:space="preserve"> </w:t>
      </w:r>
      <m:oMath>
        <m:r>
          <m:rPr>
            <m:sty m:val="p"/>
          </m:rPr>
          <m:t>−</m:t>
        </m:r>
        <m:r>
          <m:t>0.86</m:t>
        </m:r>
      </m:oMath>
      <w:r>
        <w:t xml:space="preserve"> </w:t>
      </w:r>
      <w:r>
        <w:t xml:space="preserve">(Table 5), and the length-matched padding control clears it at</w:t>
      </w:r>
      <w:r>
        <w:t xml:space="preserve"> </w:t>
      </w:r>
      <m:oMath>
        <m:r>
          <m:rPr>
            <m:sty m:val="p"/>
          </m:rPr>
          <m:t>−</m:t>
        </m:r>
        <m:r>
          <m:t>0.67</m:t>
        </m:r>
      </m:oMath>
      <w:r>
        <w:t xml:space="preserve">. One</w:t>
      </w:r>
      <w:r>
        <w:t xml:space="preserve"> </w:t>
      </w:r>
      <w:r>
        <w:t xml:space="preserve">real effect fails it and is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0.11</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0.27</m:t>
        </m:r>
      </m:oMath>
      <w:r>
        <w:t xml:space="preserve"> </w:t>
      </w:r>
      <w:r>
        <w:t xml:space="preserve">once the import is neutralized. A threshold that a genuine effect fails is evidence it was not</w:t>
      </w:r>
      <w:r>
        <w:t xml:space="preserve"> </w:t>
      </w:r>
      <w:r>
        <w:t xml:space="preserve">tuned to pass the data. We note that the second-pair contrast, reported in an earlier version as</w:t>
      </w:r>
      <w:r>
        <w:t xml:space="preserve"> </w:t>
      </w:r>
      <w:r>
        <w:t xml:space="preserve">sign-only, clears the margin at</w:t>
      </w:r>
      <w:r>
        <w:t xml:space="preserve"> </w:t>
      </w:r>
      <m:oMath>
        <m:r>
          <m:rPr>
            <m:sty m:val="p"/>
          </m:rPr>
          <m:t>−</m:t>
        </m:r>
        <m:r>
          <m:t>0.33</m:t>
        </m:r>
      </m:oMath>
      <w:r>
        <w:t xml:space="preserve"> </w:t>
      </w:r>
      <w:r>
        <w:t xml:space="preserve">once the confidence budget is allocated correctly</w:t>
      </w:r>
      <w:r>
        <w:t xml:space="preserve"> </w:t>
      </w:r>
      <w:r>
        <w:t xml:space="preserve">(§7.5); the earlier shortfall was an artifact of spending two-sided</w:t>
      </w:r>
      <w:r>
        <w:t xml:space="preserve"> </w:t>
      </w:r>
      <w:r>
        <w:t xml:space="preserve">intervals on a one-sided bound, not a property of that effect.</w:t>
      </w:r>
    </w:p>
    <w:bookmarkEnd w:id="79"/>
    <w:bookmarkStart w:id="80" w:name="what-the-intervals-do-not-cover."/>
    <w:p>
      <w:pPr>
        <w:pStyle w:val="Heading4"/>
      </w:pPr>
      <w:r>
        <w:t xml:space="preserve">What the intervals do not cover.</w:t>
      </w:r>
    </w:p>
    <w:p>
      <w:pPr>
        <w:pStyle w:val="FirstParagraph"/>
      </w:pPr>
      <w:r>
        <w:t xml:space="preserve">The Clopper–Pearson intervals carry sampling error under Assumption 2, a fixed</w:t>
      </w:r>
      <w:r>
        <w:t xml:space="preserve"> </w:t>
      </w:r>
      <w:r>
        <w:t xml:space="preserve">success probability per cell. They carry nothing else, and two components outside them are larger</w:t>
      </w:r>
      <w:r>
        <w:t xml:space="preserve"> </w:t>
      </w:r>
      <w:r>
        <w:t xml:space="preserve">than they are.</w:t>
      </w:r>
      <w:r>
        <w:t xml:space="preserve"> </w:t>
      </w:r>
      <w:r>
        <w:rPr>
          <w:i/>
          <w:iCs/>
        </w:rPr>
        <w:t xml:space="preserve">Model drift</w:t>
      </w:r>
      <w:r>
        <w:t xml:space="preserve">: the re-measurement of §7.5.2 moved Opus’s</w:t>
      </w:r>
      <w:r>
        <w:t xml:space="preserve"> </w:t>
      </w:r>
      <w:r>
        <w:rPr>
          <w:rStyle w:val="VerbatimChar"/>
        </w:rPr>
        <w:t xml:space="preserve">api_post_ok</w:t>
      </w:r>
      <w:r>
        <w:t xml:space="preserve"> </w:t>
      </w:r>
      <w:r>
        <w:t xml:space="preserve">superset arm from</w:t>
      </w:r>
      <w:r>
        <w:t xml:space="preserve"> </w:t>
      </w:r>
      <m:oMath>
        <m:r>
          <m:t>38</m:t>
        </m:r>
        <m:r>
          <m:rPr>
            <m:sty m:val="p"/>
          </m:rPr>
          <m:t>%</m:t>
        </m:r>
      </m:oMath>
      <w:r>
        <w:t xml:space="preserve"> </w:t>
      </w:r>
      <w:r>
        <w:t xml:space="preserve">to</w:t>
      </w:r>
      <w:r>
        <w:t xml:space="preserve"> </w:t>
      </w:r>
      <m:oMath>
        <m:r>
          <m:t>3</m:t>
        </m:r>
        <m:r>
          <m:rPr>
            <m:sty m:val="p"/>
          </m:rPr>
          <m:t>%</m:t>
        </m:r>
      </m:oMath>
      <w:r>
        <w:t xml:space="preserve"> </w:t>
      </w:r>
      <w:r>
        <w:t xml:space="preserve">and DeepSeek’s</w:t>
      </w:r>
      <w:r>
        <w:t xml:space="preserve"> </w:t>
      </w:r>
      <m:oMath>
        <m:sSub>
          <m:e>
            <m:r>
              <m:t>W</m:t>
            </m:r>
          </m:e>
          <m:sub>
            <m:r>
              <m:t>1</m:t>
            </m:r>
          </m:sub>
        </m:sSub>
      </m:oMath>
      <w:r>
        <w:t xml:space="preserve"> </w:t>
      </w:r>
      <w:r>
        <w:t xml:space="preserve">arm from</w:t>
      </w:r>
      <w:r>
        <w:t xml:space="preserve"> </w:t>
      </w:r>
      <m:oMath>
        <m:r>
          <m:t>75</m:t>
        </m:r>
        <m:r>
          <m:rPr>
            <m:sty m:val="p"/>
          </m:rPr>
          <m:t>%</m:t>
        </m:r>
      </m:oMath>
      <w:r>
        <w:t xml:space="preserve"> </w:t>
      </w:r>
      <w:r>
        <w:t xml:space="preserve">to</w:t>
      </w:r>
      <w:r>
        <w:t xml:space="preserve"> </w:t>
      </w:r>
      <m:oMath>
        <m:r>
          <m:t>43</m:t>
        </m:r>
        <m:r>
          <m:rPr>
            <m:sty m:val="p"/>
          </m:rPr>
          <m:t>%</m:t>
        </m:r>
      </m:oMath>
      <w:r>
        <w:t xml:space="preserve">, both far outside the nominal intervals for those cells, and Sonnet’s failure mode changed</w:t>
      </w:r>
      <w:r>
        <w:t xml:space="preserve"> </w:t>
      </w:r>
      <w:r>
        <w:t xml:space="preserve">category entirely.</w:t>
      </w:r>
      <w:r>
        <w:t xml:space="preserve"> </w:t>
      </w:r>
      <w:r>
        <w:rPr>
          <w:i/>
          <w:iCs/>
        </w:rPr>
        <w:t xml:space="preserve">Prompt wording</w:t>
      </w:r>
      <w:r>
        <w:t xml:space="preserve">: the raw-failure audit traces a</w:t>
      </w:r>
      <w:r>
        <w:t xml:space="preserve"> </w:t>
      </w:r>
      <m:oMath>
        <m:r>
          <m:t>100</m:t>
        </m:r>
        <m:r>
          <m:rPr>
            <m:sty m:val="p"/>
          </m:rPr>
          <m:t>%</m:t>
        </m:r>
        <m:r>
          <m:rPr>
            <m:sty m:val="p"/>
          </m:rPr>
          <m:t>→</m:t>
        </m:r>
        <m:r>
          <m:t>52</m:t>
        </m:r>
        <m:r>
          <m:rPr>
            <m:sty m:val="p"/>
          </m:rPr>
          <m:t>%</m:t>
        </m:r>
      </m:oMath>
      <w:r>
        <w:t xml:space="preserve"> </w:t>
      </w:r>
      <w:r>
        <w:t xml:space="preserve">swing on</w:t>
      </w:r>
      <w:r>
        <w:t xml:space="preserve"> </w:t>
      </w:r>
      <w:r>
        <w:t xml:space="preserve">one cell to the prompt naming the call as</w:t>
      </w:r>
      <w:r>
        <w:t xml:space="preserve"> </w:t>
      </w:r>
      <w:r>
        <w:rPr>
          <w:rStyle w:val="VerbatimChar"/>
        </w:rPr>
        <w:t xml:space="preserve">ledger.post</w:t>
      </w:r>
      <w:r>
        <w:t xml:space="preserve">, an effect an order of magnitude</w:t>
      </w:r>
      <w:r>
        <w:t xml:space="preserve"> </w:t>
      </w:r>
      <w:r>
        <w:t xml:space="preserve">wider than any interval here, and each cell has exactly one prompt, so this component is not</w:t>
      </w:r>
      <w:r>
        <w:t xml:space="preserve"> </w:t>
      </w:r>
      <w:r>
        <w:t xml:space="preserve">modelled at all. Every verified quantity is therefore an inference about a</w:t>
      </w:r>
      <w:r>
        <w:t xml:space="preserve"> </w:t>
      </w:r>
      <w:r>
        <w:t xml:space="preserve">(model snapshot, prompt, default decoder) triple, indexed by</w:t>
      </w:r>
      <w:r>
        <w:t xml:space="preserve"> </w:t>
      </w:r>
      <m:oMath>
        <m:r>
          <m:t>θ</m:t>
        </m:r>
      </m:oMath>
      <w:r>
        <w:t xml:space="preserve"> </w:t>
      </w:r>
      <w:r>
        <w:t xml:space="preserve">(§3.3), and</w:t>
      </w:r>
      <w:r>
        <w:t xml:space="preserve"> </w:t>
      </w:r>
      <w:r>
        <w:t xml:space="preserve">not a property of a vendor’s model line. We regard this as the honest reading rather than a</w:t>
      </w:r>
      <w:r>
        <w:t xml:space="preserve"> </w:t>
      </w:r>
      <w:r>
        <w:t xml:space="preserve">weakness: the re-measurement bounds the drift component empirically, and the direction of every</w:t>
      </w:r>
      <w:r>
        <w:t xml:space="preserve"> </w:t>
      </w:r>
      <w:r>
        <w:t xml:space="preserve">verdict survived it.</w:t>
      </w:r>
    </w:p>
    <w:bookmarkEnd w:id="80"/>
    <w:bookmarkStart w:id="81"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1"/>
    <w:bookmarkEnd w:id="82"/>
    <w:bookmarkStart w:id="99"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8 give the</w:t>
      </w:r>
      <w:r>
        <w:t xml:space="preserve"> </w:t>
      </w:r>
      <w:r>
        <w:t xml:space="preserve">underlying quantities.</w:t>
      </w:r>
    </w:p>
    <w:bookmarkStart w:id="83"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 of the two</w:t>
      </w:r>
      <w:r>
        <w:t xml:space="preserve"> </w:t>
      </w:r>
      <w:r>
        <w:t xml:space="preserve">API cells tested per model, those on which the harm contrast’s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of the two API cells tested per model, those on which the harm contrast’s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0.35</m:t>
              </m:r>
            </m:oMath>
            <w:r>
              <w:t xml:space="preserve">​</w:t>
            </w:r>
          </w:p>
        </w:tc>
        <w:tc>
          <w:tcPr/>
          <w:p>
            <w:pPr>
              <w:pStyle w:val="Compact"/>
              <w:jc w:val="center"/>
            </w:pPr>
            <m:oMath>
              <m:r>
                <m:rPr>
                  <m:sty m:val="p"/>
                </m:rPr>
                <m:t>+</m:t>
              </m:r>
              <m:r>
                <m:t>0.68</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 of 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3"/>
    <w:bookmarkStart w:id="85"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bookmarkStart w:id="84" w:name="the-six-model-claim-made-jointly."/>
    <w:p>
      <w:pPr>
        <w:pStyle w:val="Heading4"/>
      </w:pPr>
      <w:r>
        <w:t xml:space="preserve">The six-model claim, made jointly.</w:t>
      </w:r>
    </w:p>
    <w:p>
      <w:pPr>
        <w:pStyle w:val="FirstParagraph"/>
      </w:pPr>
      <w:r>
        <w:t xml:space="preserve">Proposition 3 controls the</w:t>
      </w:r>
      <w:r>
        <w:t xml:space="preserve"> </w:t>
      </w:r>
      <m:oMath>
        <m:r>
          <m:t>2</m:t>
        </m:r>
        <m:r>
          <m:rPr>
            <m:sty m:val="p"/>
          </m:rPr>
          <m:t>|</m:t>
        </m:r>
        <m:r>
          <m:rPr>
            <m:scr m:val="script"/>
            <m:sty m:val="p"/>
          </m:rPr>
          <m:t>D</m:t>
        </m:r>
        <m:r>
          <m:rPr>
            <m:sty m:val="p"/>
          </m:rPr>
          <m:t>|</m:t>
        </m:r>
      </m:oMath>
      <w:r>
        <w:t xml:space="preserve"> </w:t>
      </w:r>
      <w:r>
        <w:t xml:space="preserve">intervals of</w:t>
      </w:r>
      <w:r>
        <w:t xml:space="preserve"> </w:t>
      </w:r>
      <w:r>
        <w:rPr>
          <w:i/>
          <w:iCs/>
        </w:rPr>
        <w:t xml:space="preserve">one</w:t>
      </w:r>
      <w:r>
        <w:t xml:space="preserve"> </w:t>
      </w:r>
      <w:r>
        <w:t xml:space="preserve">model’s run, so the per-model verifications above are each at</w:t>
      </w:r>
      <w:r>
        <w:t xml:space="preserve"> </w:t>
      </w:r>
      <m:oMath>
        <m:r>
          <m:rPr>
            <m:sty m:val="p"/>
          </m:rPr>
          <m:t>≥</m:t>
        </m:r>
        <m:r>
          <m:t>1</m:t>
        </m:r>
        <m:r>
          <m:rPr>
            <m:sty m:val="p"/>
          </m:rPr>
          <m:t>−</m:t>
        </m:r>
        <m:r>
          <m:t>η</m:t>
        </m:r>
      </m:oMath>
      <w:r>
        <w:t xml:space="preserve"> </w:t>
      </w:r>
      <w:r>
        <w:t xml:space="preserve">and their conjunction across the roster is not. Rather than leave the six-model</w:t>
      </w:r>
      <w:r>
        <w:t xml:space="preserve"> </w:t>
      </w:r>
      <w:r>
        <w:t xml:space="preserve">statement marginal we pay for it: allocating</w:t>
      </w:r>
      <w:r>
        <w:t xml:space="preserve"> </w:t>
      </w:r>
      <m:oMath>
        <m:r>
          <m:t>η</m:t>
        </m:r>
      </m:oMath>
      <w:r>
        <w:t xml:space="preserve"> </w:t>
      </w:r>
      <w:r>
        <w:t xml:space="preserve">across the six runs, i.e. per-endpoint level</w:t>
      </w:r>
      <w:r>
        <w:t xml:space="preserve"> </w:t>
      </w:r>
      <m:oMath>
        <m:r>
          <m:t>η</m:t>
        </m:r>
        <m:r>
          <m:rPr>
            <m:sty m:val="p"/>
          </m:rPr>
          <m:t>/</m:t>
        </m:r>
        <m:r>
          <m:rPr>
            <m:sty m:val="p"/>
          </m:rPr>
          <m:t>(</m:t>
        </m:r>
        <m:r>
          <m:t>2</m:t>
        </m:r>
        <m:r>
          <m:rPr>
            <m:sty m:val="p"/>
          </m:rPr>
          <m:t>|</m:t>
        </m:r>
        <m:r>
          <m:rPr>
            <m:scr m:val="script"/>
            <m:sty m:val="p"/>
          </m:rPr>
          <m:t>D</m:t>
        </m:r>
        <m:r>
          <m:rPr>
            <m:sty m:val="p"/>
          </m:rPr>
          <m:t>|</m:t>
        </m:r>
        <m:r>
          <m:rPr>
            <m:sty m:val="p"/>
          </m:rPr>
          <m:t>⋅</m:t>
        </m:r>
        <m:r>
          <m:t>6</m:t>
        </m:r>
        <m:r>
          <m:rPr>
            <m:sty m:val="p"/>
          </m:rPr>
          <m:t>)</m:t>
        </m:r>
        <m:r>
          <m:rPr>
            <m:sty m:val="p"/>
          </m:rPr>
          <m:t>=</m:t>
        </m:r>
        <m:r>
          <m:t>η</m:t>
        </m:r>
        <m:r>
          <m:rPr>
            <m:sty m:val="p"/>
          </m:rPr>
          <m:t>/</m:t>
        </m:r>
        <m:r>
          <m:t>48</m:t>
        </m:r>
      </m:oMath>
      <w:r>
        <w:t xml:space="preserve">, every one of the twelve directions remains strictly positive,</w:t>
      </w:r>
      <w:r>
        <w:t xml:space="preserve"> </w:t>
      </w:r>
      <w:r>
        <w:t xml:space="preserve">binding at DeepSeek-V4-Pro’s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0.263</m:t>
        </m:r>
      </m:oMath>
      <w:r>
        <w:t xml:space="preserve"> </w:t>
      </w:r>
      <w:r>
        <w:t xml:space="preserve">and reaching</w:t>
      </w:r>
      <w:r>
        <w:t xml:space="preserve"> </w:t>
      </w:r>
      <m:oMath>
        <m:r>
          <m:rPr>
            <m:sty m:val="p"/>
          </m:rPr>
          <m:t>+</m:t>
        </m:r>
        <m:r>
          <m:t>0.685</m:t>
        </m:r>
      </m:oMath>
      <w:r>
        <w:t xml:space="preserve"> </w:t>
      </w:r>
      <w:r>
        <w:t xml:space="preserve">on the stark cells.</w:t>
      </w:r>
      <w:r>
        <w:t xml:space="preserve"> </w:t>
      </w:r>
      <w:r>
        <w:t xml:space="preserve">The claim</w:t>
      </w:r>
      <w:r>
        <w:t xml:space="preserve"> </w:t>
      </w:r>
      <w:r>
        <w:t xml:space="preserve">“all six models are empirically incomparable”</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Table 3 reports the per-model bounds;</w:t>
      </w:r>
      <w:r>
        <w:t xml:space="preserve"> </w:t>
      </w:r>
      <w:r>
        <w:t xml:space="preserve">the simultaneous ones are uniformly smaller by</w:t>
      </w:r>
      <w:r>
        <w:t xml:space="preserve"> </w:t>
      </w:r>
      <m:oMath>
        <m:r>
          <m:t>0.08</m:t>
        </m:r>
      </m:oMath>
      <w:r>
        <w:t xml:space="preserve"> </w:t>
      </w:r>
      <w:r>
        <w:t xml:space="preserve">to</w:t>
      </w:r>
      <w:r>
        <w:t xml:space="preserve"> </w:t>
      </w:r>
      <m:oMath>
        <m:r>
          <m:t>0.09</m:t>
        </m:r>
      </m:oMath>
      <w:r>
        <w:t xml:space="preserve"> </w:t>
      </w:r>
      <w:r>
        <w:t xml:space="preserve">and change no verdict.</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Two cells carry each model’s verification, and which two</w:t>
      </w:r>
      <w:r>
        <w:t xml:space="preserve"> </w:t>
      </w:r>
      <w:r>
        <w:t xml:space="preserve">is model-specific: on five models they are one API cell and the encoding cell, while on</w:t>
      </w:r>
      <w:r>
        <w:t xml:space="preserve"> </w:t>
      </w:r>
      <w:r>
        <w:t xml:space="preserve">DeepSeek-V4-Pro the</w:t>
      </w:r>
      <w:r>
        <w:t xml:space="preserve"> </w:t>
      </w:r>
      <m:oMath>
        <m:sSub>
          <m:e>
            <m:r>
              <m:t>W</m:t>
            </m:r>
          </m:e>
          <m:sub>
            <m:r>
              <m:t>1</m:t>
            </m:r>
          </m:sub>
        </m:sSub>
      </m:oMath>
      <w:r>
        <w:t xml:space="preserve">-over-</w:t>
      </w:r>
      <m:oMath>
        <m:sSub>
          <m:e>
            <m:r>
              <m:t>W</m:t>
            </m:r>
          </m:e>
          <m:sub>
            <m:r>
              <m:t>2</m:t>
            </m:r>
          </m:sub>
        </m:sSub>
      </m:oMath>
      <w:r>
        <w:t xml:space="preserve"> </w:t>
      </w:r>
      <w:r>
        <w:t xml:space="preserve">direction is carried by the</w:t>
      </w:r>
      <w:r>
        <w:t xml:space="preserve"> </w:t>
      </w:r>
      <w:r>
        <w:rPr>
          <w:i/>
          <w:iCs/>
        </w:rPr>
        <w:t xml:space="preserve">trap</w:t>
      </w:r>
      <w:r>
        <w:t xml:space="preserve"> </w:t>
      </w:r>
      <w:r>
        <w:t xml:space="preserve">cell rather than an</w:t>
      </w:r>
      <w:r>
        <w:t xml:space="preserve"> </w:t>
      </w:r>
      <w:r>
        <w:t xml:space="preserve">API cell (its API margins being smaller). The effective support of the surrogate is therefore two</w:t>
      </w:r>
      <w:r>
        <w:t xml:space="preserve"> </w:t>
      </w:r>
      <w:r>
        <w:t xml:space="preserve">cells per model, drawn from a battery of four.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4"/>
    <w:bookmarkEnd w:id="85"/>
    <w:bookmarkStart w:id="88"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7"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2 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86"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6"/>
    <w:bookmarkEnd w:id="87"/>
    <w:bookmarkEnd w:id="88"/>
    <w:bookmarkStart w:id="96"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eleven of the twelve API cells, two per</w:t>
      </w:r>
      <w:r>
        <w:t xml:space="preserve"> </w:t>
      </w:r>
      <w:r>
        <w:t xml:space="preserve">model, and so on at least one cell for all six models (Table 5); the mildest</w:t>
      </w:r>
      <w:r>
        <w:t xml:space="preserve"> </w:t>
      </w:r>
      <w:r>
        <w:t xml:space="preserve">verified collapse is Opus at</w:t>
      </w:r>
      <w:r>
        <w:t xml:space="preserve"> </w:t>
      </w:r>
      <m:oMath>
        <m:r>
          <m:t>100</m:t>
        </m:r>
        <m:r>
          <m:rPr>
            <m:sty m:val="p"/>
          </m:rPr>
          <m:t>%</m:t>
        </m:r>
        <m:r>
          <m:rPr>
            <m:sty m:val="p"/>
          </m:rPr>
          <m:t>→</m:t>
        </m:r>
        <m:r>
          <m:t>38</m:t>
        </m:r>
        <m:r>
          <m:rPr>
            <m:sty m:val="p"/>
          </m:rPr>
          <m:t>%</m:t>
        </m:r>
      </m:oMath>
      <w:r>
        <w:t xml:space="preserve"> </w:t>
      </w:r>
      <w:r>
        <w:t xml:space="preserve">with upper bound</w:t>
      </w:r>
      <w:r>
        <w:t xml:space="preserve"> </w:t>
      </w:r>
      <m:oMath>
        <m:r>
          <m:rPr>
            <m:sty m:val="p"/>
          </m:rPr>
          <m:t>−</m:t>
        </m:r>
        <m:r>
          <m:t>0.41</m:t>
        </m:r>
      </m:oMath>
      <w:r>
        <w:t xml:space="preserve">, and the one cell that does</w:t>
      </w:r>
      <w:r>
        <w:t xml:space="preserve"> </w:t>
      </w:r>
      <w:r>
        <w:t xml:space="preserve">not clear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unrelated import</w:t>
      </w:r>
      <w:r>
        <w:t xml:space="preserve"> </w:t>
      </w:r>
      <w:r>
        <w:t xml:space="preserve">slip (§7.5.1). All eleven survive a Bonferroni correction across the two cells</w:t>
      </w:r>
      <w:r>
        <w:t xml:space="preserve"> </w:t>
      </w:r>
      <w:r>
        <w:t xml:space="preserve">within each model, the tightest being DeepSeek’s</w:t>
      </w:r>
      <w:r>
        <w:t xml:space="preserve"> </w:t>
      </w:r>
      <w:r>
        <w:rPr>
          <w:rStyle w:val="VerbatimChar"/>
        </w:rPr>
        <w:t xml:space="preserve">api_argorder</w:t>
      </w:r>
      <w:r>
        <w:t xml:space="preserve"> </w:t>
      </w:r>
      <w:r>
        <w:t xml:space="preserve">at</w:t>
      </w:r>
      <w:r>
        <w:t xml:space="preserve"> </w:t>
      </w:r>
      <m:oMath>
        <m:r>
          <m:rPr>
            <m:sty m:val="p"/>
          </m:rPr>
          <m:t>−</m:t>
        </m:r>
        <m:r>
          <m:t>0.34</m:t>
        </m:r>
      </m:oMath>
      <w:r>
        <w:t xml:space="preserve">.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8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91"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1).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follows directly.</w:t>
      </w:r>
    </w:p>
    <w:bookmarkStart w:id="89"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89"/>
    <w:bookmarkStart w:id="90" w:name="tab:interference"/>
    <w:p>
      <w:pPr>
        <w:pStyle w:val="TableCaption"/>
      </w:pPr>
      <w:r>
        <w:t xml:space="preserve">Anti-monotonicity verification on the carrying cell per model.</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 the harm contrast;</w:t>
      </w:r>
      <w:r>
        <w:t xml:space="preserve"> </w:t>
      </w:r>
      <m:oMath>
        <m:sSub>
          <m:e>
            <m:bar>
              <m:barPr>
                <m:pos m:val="top"/>
              </m:barPr>
              <m:e>
                <m:r>
                  <m:rPr>
                    <m:sty m:val="p"/>
                  </m:rPr>
                  <m:t>Δ</m:t>
                </m:r>
              </m:e>
            </m:bar>
          </m:e>
          <m:sub>
            <m:r>
              <m:t>T</m:t>
            </m:r>
          </m:sub>
        </m:sSub>
      </m:oMath>
      <w:r>
        <w:t xml:space="preserve"> </w:t>
      </w:r>
      <w:r>
        <w:t xml:space="preserve">is its</w:t>
      </w:r>
      <w:r>
        <w:t xml:space="preserve"> </w:t>
      </w:r>
      <m:oMath>
        <m:r>
          <m:t>η</m:t>
        </m:r>
        <m:r>
          <m:rPr>
            <m:sty m:val="p"/>
          </m:rPr>
          <m:t>/</m:t>
        </m:r>
        <m:r>
          <m:t>2</m:t>
        </m:r>
      </m:oMath>
      <w:r>
        <w:t xml:space="preserve"> </w:t>
      </w:r>
      <w:r>
        <w:t xml:space="preserve">Clopper–Pearson upper bound over the two arms, and the cell is verified harmful when</w:t>
      </w:r>
      <w:r>
        <w:t xml:space="preserve"> </w:t>
      </w:r>
      <m:oMath>
        <m:sSub>
          <m:e>
            <m:bar>
              <m:barPr>
                <m:pos m:val="top"/>
              </m:barPr>
              <m:e>
                <m:r>
                  <m:rPr>
                    <m:sty m:val="p"/>
                  </m:rPr>
                  <m:t>Δ</m:t>
                </m:r>
              </m:e>
            </m:bar>
          </m:e>
          <m:sub>
            <m:r>
              <m:t>T</m:t>
            </m:r>
          </m:sub>
        </m:sSub>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Unlike the</w:t>
      </w:r>
      <w:r>
        <w:t xml:space="preserve"> </w:t>
      </w:r>
      <w:r>
        <w:t xml:space="preserve">four-term interaction</w:t>
      </w:r>
      <w:r>
        <w:t xml:space="preserve"> </w:t>
      </w:r>
      <m:oMath>
        <m:sSub>
          <m:e>
            <m:r>
              <m:rPr>
                <m:sty m:val="p"/>
              </m:rPr>
              <m:t>Ψ</m:t>
            </m:r>
          </m:e>
          <m:sub>
            <m:r>
              <m:t>T</m:t>
            </m:r>
          </m:sub>
        </m:sSub>
      </m:oMath>
      <w:r>
        <w:t xml:space="preserve">, the contrast does not read the</w:t>
      </w:r>
      <w:r>
        <w:t xml:space="preserve"> </w:t>
      </w:r>
      <w:r>
        <w:rPr>
          <w:rStyle w:val="VerbatimChar"/>
        </w:rPr>
        <w:t xml:space="preserve">none</w:t>
      </w:r>
      <w:r>
        <w:t xml:space="preserve"> </w:t>
      </w:r>
      <w:r>
        <w:t xml:space="preserve">arm, so a leaky</w:t>
      </w:r>
      <w:r>
        <w:t xml:space="preserve"> </w:t>
      </w:r>
      <w:r>
        <w:t xml:space="preserve">baseline cannot slacken it.</w:t>
      </w:r>
      <w:r>
        <w:t xml:space="preserve"> </w:t>
      </w:r>
      <m:oMath>
        <m:sSup>
          <m:e>
            <m:r>
              <m:t>​</m:t>
            </m:r>
          </m:e>
          <m:sup>
            <m:r>
              <m:rPr>
                <m:sty m:val="p"/>
              </m:rPr>
              <m:t>†</m:t>
            </m:r>
          </m:sup>
        </m:sSup>
      </m:oMath>
      <w:r>
        <w:t xml:space="preserve">Control row: the same cell with the omitted-</w:t>
      </w:r>
      <w:r>
        <w:rPr>
          <w:rStyle w:val="VerbatimChar"/>
        </w:rPr>
        <w:t xml:space="preserve">import</w:t>
      </w:r>
      <w:r>
        <w:t xml:space="preserve"> </w:t>
      </w:r>
      <w:r>
        <w:t xml:space="preserve">slip neutralized in the verifier (§7.5.1); its interference is verified in sign but not at the</w:t>
      </w:r>
      <w:r>
        <w:t xml:space="preserve"> </w:t>
      </w:r>
      <m:oMath>
        <m:r>
          <m:t>τ</m:t>
        </m:r>
        <m:r>
          <m:rPr>
            <m:sty m:val="p"/>
          </m:rPr>
          <m:t>=</m:t>
        </m:r>
        <m:r>
          <m:t>0.30</m:t>
        </m:r>
      </m:oMath>
      <w:r>
        <w:t xml:space="preserve"> </w:t>
      </w:r>
      <w:r>
        <w:t xml:space="preserve">margin.</w:t>
      </w:r>
    </w:p>
    <w:tbl>
      <w:tblPr>
        <w:tblStyle w:val="Table"/>
        <w:tblW w:type="auto" w:w="0"/>
        <w:tblLook w:firstRow="1" w:lastRow="0" w:firstColumn="0" w:lastColumn="0" w:noHBand="0" w:noVBand="0" w:val="0020"/>
        <w:tblCaption w:val="Anti-monotonicity verification on the carrying cell per model. \Delta_T =     \mathrm{PASS}(W_{1+},T) - \mathrm{PASS}(W_1,T) is the harm contrast; \overline\Delta_T is its \eta/2 Clopper–Pearson upper bound over the two arms, and the cell is verified harmful when \overline\Delta_T \le -0.30. The W_1 \to W_{1+} column reports the PASS collapse. Unlike the four-term interaction \Psi_T, the contrast does not read the none arm, so a leaky baseline cannot slacken it. ^{\dagger}Control row: the same cell with the omitted-import slip neutralized in the verifier (§7.5.1); its interference is verified in sign but not at the \tau=0.30 margi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Δ</m:t>
                  </m:r>
                </m:e>
                <m:sub>
                  <m:r>
                    <m:t>T</m:t>
                  </m:r>
                </m:sub>
              </m:sSub>
            </m:oMath>
            <w:r>
              <w:t xml:space="preserve">​</w:t>
            </w:r>
          </w:p>
        </w:tc>
        <w:tc>
          <w:tcPr/>
          <w:p>
            <w:pPr>
              <w:pStyle w:val="Compact"/>
              <w:jc w:val="center"/>
            </w:pPr>
            <m:oMath>
              <m:sSub>
                <m:e>
                  <m:bar>
                    <m:barPr>
                      <m:pos m:val="top"/>
                    </m:barPr>
                    <m:e>
                      <m:r>
                        <m:rPr>
                          <m:sty m:val="p"/>
                        </m:rPr>
                        <m:t>Δ</m:t>
                      </m:r>
                    </m:e>
                  </m:bar>
                </m:e>
                <m:sub>
                  <m:r>
                    <m:t>T</m:t>
                  </m:r>
                </m:sub>
              </m:sSub>
            </m:oMath>
            <w:r>
              <w:t xml:space="preserve">​</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0.78</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0.11</m:t>
              </m:r>
            </m:oMath>
            <w:r>
              <w:t xml:space="preserve">​</w:t>
            </w:r>
          </w:p>
        </w:tc>
        <w:tc>
          <w:tcPr/>
          <w:p>
            <w:pPr>
              <w:pStyle w:val="Compact"/>
              <w:jc w:val="center"/>
            </w:pPr>
            <w:r>
              <w:t xml:space="preserve">sign only (import omission)</w:t>
            </w:r>
          </w:p>
        </w:tc>
      </w:tr>
      <w:tr>
        <w:tc>
          <w:tcPr/>
          <w:p>
            <w:pPr>
              <w:pStyle w:val="Compact"/>
              <w:jc w:val="left"/>
            </w:pPr>
            <w:r>
              <w:t xml:space="preserve">Haiku-4.5</w:t>
            </w:r>
          </w:p>
        </w:tc>
        <w:tc>
          <w:tcPr/>
          <w:p>
            <w:pPr>
              <w:pStyle w:val="Compact"/>
              <w:jc w:val="left"/>
            </w:pPr>
            <w:r>
              <w:rPr>
                <w:rStyle w:val="VerbatimChar"/>
              </w:rPr>
              <w:t xml:space="preserve">api_post_ok</w:t>
            </w:r>
            <w:r>
              <w:t xml:space="preserve">, import-neutralized</w:t>
            </w:r>
            <m:oMath>
              <m:sSup>
                <m:e>
                  <m:r>
                    <m:t>​</m:t>
                  </m:r>
                </m:e>
                <m:sup>
                  <m:r>
                    <m:rPr>
                      <m:sty m:val="p"/>
                    </m:rPr>
                    <m:t>†</m:t>
                  </m:r>
                </m:sup>
              </m:sSup>
            </m:oMath>
          </w:p>
        </w:tc>
        <w:tc>
          <w:tcPr/>
          <w:p>
            <w:pPr>
              <w:pStyle w:val="Compact"/>
              <w:jc w:val="center"/>
            </w:pPr>
            <m:oMath>
              <m:r>
                <m:t>100</m:t>
              </m:r>
              <m:r>
                <m:rPr>
                  <m:sty m:val="p"/>
                </m:rPr>
                <m:t>%</m:t>
              </m:r>
              <m:r>
                <m:rPr>
                  <m:sty m:val="p"/>
                </m:rPr>
                <m:t>→</m:t>
              </m:r>
              <m:r>
                <m:t>52</m:t>
              </m:r>
              <m:r>
                <m:rPr>
                  <m:sty m:val="p"/>
                </m:rPr>
                <m:t>%</m:t>
              </m:r>
            </m:oMath>
            <w:r>
              <w:t xml:space="preserve">​</w:t>
            </w:r>
          </w:p>
        </w:tc>
        <w:tc>
          <w:tcPr/>
          <w:p>
            <w:pPr>
              <w:pStyle w:val="Compact"/>
              <w:jc w:val="center"/>
            </w:pPr>
            <m:oMath>
              <m:r>
                <m:rPr>
                  <m:sty m:val="p"/>
                </m:rPr>
                <m:t>−</m:t>
              </m:r>
              <m:r>
                <m:t>0.47</m:t>
              </m:r>
            </m:oMath>
            <w:r>
              <w:t xml:space="preserve">​</w:t>
            </w:r>
          </w:p>
        </w:tc>
        <w:tc>
          <w:tcPr/>
          <w:p>
            <w:pPr>
              <w:pStyle w:val="Compact"/>
              <w:jc w:val="center"/>
            </w:pPr>
            <m:oMath>
              <m:r>
                <m:rPr>
                  <m:sty m:val="p"/>
                </m:rPr>
                <m:t>−</m:t>
              </m:r>
              <m:r>
                <m:t>0.27</m:t>
              </m:r>
            </m:oMath>
            <w:r>
              <w:t xml:space="preserve">​</w:t>
            </w:r>
          </w:p>
        </w:tc>
        <w:tc>
          <w:tcPr/>
          <w:p>
            <w:pPr>
              <w:pStyle w:val="Compact"/>
              <w:jc w:val="center"/>
            </w:pPr>
            <w:r>
              <w:t xml:space="preserve">sign only</w:t>
            </w:r>
            <m:oMath>
              <m:sSup>
                <m:e>
                  <m:r>
                    <m:t>​</m:t>
                  </m:r>
                </m:e>
                <m:sup>
                  <m:r>
                    <m:rPr>
                      <m:sty m:val="p"/>
                    </m:rPr>
                    <m:t>†</m:t>
                  </m:r>
                </m:sup>
              </m:sSup>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0.86</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0.86</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0.86</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0.54</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0.39</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0.86</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0.86</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0.41</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15</m:t>
              </m:r>
              <m:r>
                <m:rPr>
                  <m:sty m:val="p"/>
                </m:rPr>
                <m:t>%</m:t>
              </m:r>
            </m:oMath>
            <w:r>
              <w:t xml:space="preserve">​</w:t>
            </w:r>
          </w:p>
        </w:tc>
        <w:tc>
          <w:tcPr/>
          <w:p>
            <w:pPr>
              <w:pStyle w:val="Compact"/>
              <w:jc w:val="center"/>
            </w:pPr>
            <m:oMath>
              <m:r>
                <m:rPr>
                  <m:sty m:val="p"/>
                </m:rPr>
                <m:t>−</m:t>
              </m:r>
              <m:r>
                <m:t>0.85</m:t>
              </m:r>
            </m:oMath>
            <w:r>
              <w:t xml:space="preserve">​</w:t>
            </w:r>
          </w:p>
        </w:tc>
        <w:tc>
          <w:tcPr/>
          <w:p>
            <w:pPr>
              <w:pStyle w:val="Compact"/>
              <w:jc w:val="center"/>
            </w:pPr>
            <m:oMath>
              <m:r>
                <m:rPr>
                  <m:sty m:val="p"/>
                </m:rPr>
                <m:t>−</m:t>
              </m:r>
              <m:r>
                <m:t>0.65</m:t>
              </m:r>
            </m:oMath>
            <w:r>
              <w:t xml:space="preserve">​</w:t>
            </w:r>
          </w:p>
        </w:tc>
        <w:tc>
          <w:tcPr/>
          <w:p>
            <w:pPr>
              <w:pStyle w:val="Compact"/>
            </w:pPr>
          </w:p>
        </w:tc>
      </w:tr>
    </w:tbl>
    <w:bookmarkEnd w:id="90"/>
    <w:bookmarkEnd w:id="91"/>
    <w:bookmarkStart w:id="92" w:name="X1e234f5e1e9995ce35785c5c48c55e0ca9fb143"/>
    <w:p>
      <w:pPr>
        <w:pStyle w:val="Heading4"/>
      </w:pPr>
      <w:r>
        <w:t xml:space="preserve">Ceilings differ, so magnitudes are not directly comparable.</w:t>
      </w:r>
    </w:p>
    <w:p>
      <w:pPr>
        <w:pStyle w:val="FirstParagraph"/>
      </w:pPr>
      <w:r>
        <w:t xml:space="preserve">Table 5 reports, per model, which cell carried the verification and its</w:t>
      </w:r>
      <w:r>
        <w:t xml:space="preserve"> </w:t>
      </w:r>
      <w:r>
        <w:t xml:space="preserve">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Δ</m:t>
            </m:r>
          </m:e>
          <m:sub>
            <m:r>
              <m:t>T</m:t>
            </m:r>
          </m:sub>
        </m:sSub>
        <m:r>
          <m:rPr>
            <m:sty m:val="p"/>
          </m:rPr>
          <m:t>=</m:t>
        </m:r>
        <m:r>
          <m:rPr>
            <m:sty m:val="p"/>
          </m:rPr>
          <m:t>−</m:t>
        </m:r>
        <m:r>
          <m:t>0.75</m:t>
        </m:r>
      </m:oMath>
      <w:r>
        <w:t xml:space="preserve"> </w:t>
      </w:r>
      <w:r>
        <w:t xml:space="preserve">starts from a</w:t>
      </w:r>
      <w:r>
        <w:t xml:space="preserve"> </w:t>
      </w:r>
      <w:r>
        <w:t xml:space="preserve">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2"/>
    <w:bookmarkStart w:id="93"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3"/>
    <w:bookmarkStart w:id="94"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4"/>
    <w:bookmarkStart w:id="95"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 The re-measurement of</w:t>
      </w:r>
      <w:r>
        <w:t xml:space="preserve"> </w:t>
      </w:r>
      <w:r>
        <w:t xml:space="preserve">§7.5.2 sharpens this: on fresh draws all three Anthropic models collapse to</w:t>
      </w:r>
      <w:r>
        <w:t xml:space="preserve"> </w:t>
      </w:r>
      <m:oMath>
        <m:r>
          <m:t>0</m:t>
        </m:r>
      </m:oMath>
      <w:r>
        <w:t xml:space="preserve">–</w:t>
      </w:r>
      <m:oMath>
        <m:r>
          <m:t>3</m:t>
        </m:r>
        <m:r>
          <m:rPr>
            <m:sty m:val="p"/>
          </m:rPr>
          <m:t>%</m:t>
        </m:r>
      </m:oMath>
      <w:r>
        <w:t xml:space="preserve">, so the spread that made Opus look mildest does not persist, and the ladder is flat</w:t>
      </w:r>
      <w:r>
        <w:t xml:space="preserve"> </w:t>
      </w:r>
      <w:r>
        <w:t xml:space="preserve">rather than ordered. What survives is the negative claim, not the ranking that motivated it.</w:t>
      </w:r>
    </w:p>
    <w:bookmarkEnd w:id="95"/>
    <w:bookmarkEnd w:id="96"/>
    <w:bookmarkStart w:id="98"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§3.3,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7" w:name="auditable-per-cell-record."/>
    <w:p>
      <w:pPr>
        <w:pStyle w:val="Heading4"/>
      </w:pPr>
      <w:r>
        <w:t xml:space="preserve">Auditable per-cell record.</w:t>
      </w:r>
    </w:p>
    <w:p>
      <w:pPr>
        <w:pStyle w:val="FirstParagraph"/>
      </w:pPr>
      <w:r>
        <w:t xml:space="preserve">The full per-arm PASS record for every carrying cell is Table 8 in Appendix B, so each verification can be reconstructed from the reported counts.</w:t>
      </w:r>
    </w:p>
    <w:bookmarkEnd w:id="97"/>
    <w:bookmarkEnd w:id="98"/>
    <w:bookmarkEnd w:id="99"/>
    <w:bookmarkStart w:id="105"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harm contrast is verified at the</w:t>
      </w:r>
      <w:r>
        <w:t xml:space="preserve"> </w:t>
      </w:r>
      <m:oMath>
        <m:r>
          <m:t>τ</m:t>
        </m:r>
        <m:r>
          <m:rPr>
            <m:sty m:val="p"/>
          </m:rPr>
          <m:t>=</m:t>
        </m:r>
        <m:r>
          <m:t>0.30</m:t>
        </m:r>
      </m:oMath>
      <w:r>
        <w:t xml:space="preserve"> </w:t>
      </w:r>
      <w:r>
        <w:t xml:space="preserve">margin (</w:t>
      </w:r>
      <m:oMath>
        <m:sSub>
          <m:e>
            <m:r>
              <m:rPr>
                <m:sty m:val="p"/>
              </m:rPr>
              <m:t>Δ</m:t>
            </m:r>
          </m:e>
          <m:sub>
            <m:r>
              <m:t>T</m:t>
            </m:r>
          </m:sub>
        </m:sSub>
        <m:r>
          <m:rPr>
            <m:sty m:val="p"/>
          </m:rPr>
          <m:t>=</m:t>
        </m:r>
        <m:r>
          <m:rPr>
            <m:sty m:val="p"/>
          </m:rPr>
          <m:t>−</m:t>
        </m:r>
        <m:r>
          <m:t>0.51</m:t>
        </m:r>
      </m:oMath>
      <w:r>
        <w:t xml:space="preserve">, upper bound</w:t>
      </w:r>
      <w:r>
        <w:t xml:space="preserve"> </w:t>
      </w:r>
      <m:oMath>
        <m:r>
          <m:rPr>
            <m:sty m:val="p"/>
          </m:rPr>
          <m:t>−</m:t>
        </m:r>
        <m:r>
          <m:t>0.33</m:t>
        </m:r>
      </m:oMath>
      <w:r>
        <w:t xml:space="preserve">),</w:t>
      </w:r>
      <w:r>
        <w:t xml:space="preserve"> </w:t>
      </w:r>
      <w:r>
        <w:t xml:space="preserve">so the second pair carries both incomparability and harm.</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0.67</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101"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8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five independent Haiku runs (</w:t>
      </w:r>
      <m:oMath>
        <m:r>
          <m:t>45</m:t>
        </m:r>
      </m:oMath>
      <w:r>
        <w:t xml:space="preserve">–</w:t>
      </w:r>
      <m:oMath>
        <m:r>
          <m:t>57</m:t>
        </m:r>
        <m:r>
          <m:rPr>
            <m:sty m:val="p"/>
          </m:rPr>
          <m:t>%</m:t>
        </m:r>
      </m:oMath>
      <w:r>
        <w:t xml:space="preserv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0.27</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Start w:id="100" w:name="packaging-is-not-the-confound."/>
    <w:p>
      <w:pPr>
        <w:pStyle w:val="Heading4"/>
      </w:pPr>
      <w:r>
        <w:t xml:space="preserve">Packaging is not the confound.</w:t>
      </w:r>
    </w:p>
    <w:p>
      <w:pPr>
        <w:pStyle w:val="FirstParagraph"/>
      </w:pPr>
      <w:r>
        <w:t xml:space="preserve">The same retained draws answer a second question, and</w:t>
      </w:r>
      <w:r>
        <w:t xml:space="preserve"> </w:t>
      </w:r>
      <w:r>
        <w:t xml:space="preserve">it is the one a reader should ask of any executable-verifier result: did the harness ever fail a</w:t>
      </w:r>
      <w:r>
        <w:t xml:space="preserve"> </w:t>
      </w:r>
      <w:r>
        <w:t xml:space="preserve">reply that in fact contained the right call? On this cell it did not. Across the</w:t>
      </w:r>
      <w:r>
        <w:t xml:space="preserve"> </w:t>
      </w:r>
      <m:oMath>
        <m:r>
          <m:t>32</m:t>
        </m:r>
      </m:oMath>
      <w:r>
        <w:t xml:space="preserve"> </w:t>
      </w:r>
      <w:r>
        <w:t xml:space="preserve">failing</w:t>
      </w:r>
      <w:r>
        <w:t xml:space="preserve"> </w:t>
      </w:r>
      <m:oMath>
        <m:sSub>
          <m:e>
            <m:r>
              <m:t>W</m:t>
            </m:r>
          </m:e>
          <m:sub>
            <m:r>
              <m:t>1</m:t>
            </m:r>
            <m:r>
              <m:rPr>
                <m:sty m:val="p"/>
              </m:rPr>
              <m:t>+</m:t>
            </m:r>
          </m:sub>
        </m:sSub>
      </m:oMath>
      <w:r>
        <w:t xml:space="preserve"> </w:t>
      </w:r>
      <w:r>
        <w:t xml:space="preserve">draws the extractor returned code every time (zero empty extractions), all</w:t>
      </w:r>
      <w:r>
        <w:t xml:space="preserve"> </w:t>
      </w:r>
      <m:oMath>
        <m:r>
          <m:t>32</m:t>
        </m:r>
      </m:oMath>
      <w:r>
        <w:t xml:space="preserve"> </w:t>
      </w:r>
      <w:r>
        <w:t xml:space="preserve">contain</w:t>
      </w:r>
      <w:r>
        <w:t xml:space="preserve"> </w:t>
      </w:r>
      <w:r>
        <w:rPr>
          <w:rStyle w:val="VerbatimChar"/>
        </w:rPr>
        <w:t xml:space="preserve">ledger.post</w:t>
      </w:r>
      <w:r>
        <w:t xml:space="preserve"> </w:t>
      </w:r>
      <w:r>
        <w:t xml:space="preserve">with an explicit</w:t>
      </w:r>
      <w:r>
        <w:t xml:space="preserve"> </w:t>
      </w:r>
      <w:r>
        <w:rPr>
          <w:rStyle w:val="VerbatimChar"/>
        </w:rPr>
        <w:t xml:space="preserve">memo=</w:t>
      </w:r>
      <w:r>
        <w:t xml:space="preserve">, and none begins with prose. Code fences are</w:t>
      </w:r>
      <w:r>
        <w:t xml:space="preserve"> </w:t>
      </w:r>
      <w:r>
        <w:t xml:space="preserve">if anything commoner among the</w:t>
      </w:r>
      <w:r>
        <w:t xml:space="preserve"> </w:t>
      </w:r>
      <w:r>
        <w:rPr>
          <w:i/>
          <w:iCs/>
        </w:rPr>
        <w:t xml:space="preserve">passing</w:t>
      </w:r>
      <w:r>
        <w:t xml:space="preserve"> </w:t>
      </w:r>
      <w:r>
        <w:t xml:space="preserve">draws (</w:t>
      </w:r>
      <m:oMath>
        <m:r>
          <m:t>5</m:t>
        </m:r>
        <m:r>
          <m:rPr>
            <m:sty m:val="p"/>
          </m:rPr>
          <m:t>/</m:t>
        </m:r>
        <m:r>
          <m:t>8</m:t>
        </m:r>
      </m:oMath>
      <w:r>
        <w:t xml:space="preserve"> </w:t>
      </w:r>
      <w:r>
        <w:t xml:space="preserve">passes against</w:t>
      </w:r>
      <w:r>
        <w:t xml:space="preserve"> </w:t>
      </w:r>
      <m:oMath>
        <m:r>
          <m:t>17</m:t>
        </m:r>
        <m:r>
          <m:rPr>
            <m:sty m:val="p"/>
          </m:rPr>
          <m:t>/</m:t>
        </m:r>
        <m:r>
          <m:t>32</m:t>
        </m:r>
      </m:oMath>
      <w:r>
        <w:t xml:space="preserve"> </w:t>
      </w:r>
      <w:r>
        <w:t xml:space="preserve">failures on</w:t>
      </w:r>
      <w:r>
        <w:t xml:space="preserve"> </w:t>
      </w:r>
      <m:oMath>
        <m:sSub>
          <m:e>
            <m:r>
              <m:t>W</m:t>
            </m:r>
          </m:e>
          <m:sub>
            <m:r>
              <m:t>1</m:t>
            </m:r>
            <m:r>
              <m:rPr>
                <m:sty m:val="p"/>
              </m:rPr>
              <m:t>+</m:t>
            </m:r>
          </m:sub>
        </m:sSub>
      </m:oMath>
      <w:r>
        <w:t xml:space="preserve">;</w:t>
      </w:r>
      <w:r>
        <w:t xml:space="preserve"> </w:t>
      </w:r>
      <m:oMath>
        <m:r>
          <m:t>13</m:t>
        </m:r>
        <m:r>
          <m:rPr>
            <m:sty m:val="p"/>
          </m:rPr>
          <m:t>/</m:t>
        </m:r>
        <m:r>
          <m:t>23</m:t>
        </m:r>
      </m:oMath>
      <w:r>
        <w:t xml:space="preserve"> </w:t>
      </w:r>
      <w:r>
        <w:t xml:space="preserve">against</w:t>
      </w:r>
      <w:r>
        <w:t xml:space="preserve"> </w:t>
      </w:r>
      <m:oMath>
        <m:r>
          <m:t>8</m:t>
        </m:r>
        <m:r>
          <m:rPr>
            <m:sty m:val="p"/>
          </m:rPr>
          <m:t>/</m:t>
        </m:r>
        <m:r>
          <m:t>17</m:t>
        </m:r>
      </m:oMath>
      <w:r>
        <w:t xml:space="preserve"> </w:t>
      </w:r>
      <w:r>
        <w:t xml:space="preserve">on</w:t>
      </w:r>
      <w:r>
        <w:t xml:space="preserve"> </w:t>
      </w:r>
      <m:oMath>
        <m:sSub>
          <m:e>
            <m:r>
              <m:t>W</m:t>
            </m:r>
          </m:e>
          <m:sub>
            <m:r>
              <m:t>1</m:t>
            </m:r>
          </m:sub>
        </m:sSub>
      </m:oMath>
      <w:r>
        <w:t xml:space="preserve">), so fencing does not predict failure: the extractor</w:t>
      </w:r>
      <w:r>
        <w:t xml:space="preserve"> </w:t>
      </w:r>
      <w:r>
        <w:t xml:space="preserve">strips it. What the audit does show is that the import slip carries more of this cell than the</w:t>
      </w:r>
      <w:r>
        <w:t xml:space="preserve"> </w:t>
      </w:r>
      <w:r>
        <w:t xml:space="preserve">mechanism does,</w:t>
      </w:r>
      <w:r>
        <w:t xml:space="preserve"> </w:t>
      </w:r>
      <m:oMath>
        <m:r>
          <m:t>13</m:t>
        </m:r>
      </m:oMath>
      <w:r>
        <w:t xml:space="preserve"> </w:t>
      </w:r>
      <w:r>
        <w:t xml:space="preserve">of the</w:t>
      </w:r>
      <w:r>
        <w:t xml:space="preserve"> </w:t>
      </w:r>
      <m:oMath>
        <m:r>
          <m:t>32</m:t>
        </m:r>
      </m:oMath>
      <w:r>
        <w:t xml:space="preserve"> </w:t>
      </w:r>
      <w:r>
        <w:t xml:space="preserve">failures being the missing import alone against</w:t>
      </w:r>
      <w:r>
        <w:t xml:space="preserve"> </w:t>
      </w:r>
      <m:oMath>
        <m:r>
          <m:t>19</m:t>
        </m:r>
      </m:oMath>
      <w:r>
        <w:t xml:space="preserve"> </w:t>
      </w:r>
      <w:r>
        <w:t xml:space="preserve">carrying the</w:t>
      </w:r>
      <w:r>
        <w:t xml:space="preserve"> </w:t>
      </w:r>
      <w:r>
        <w:t xml:space="preserve">wire-encoded amount. The two separate cleanly: under the neutralized verifier exactly</w:t>
      </w:r>
      <w:r>
        <w:t xml:space="preserve"> </w:t>
      </w:r>
      <m:oMath>
        <m:r>
          <m:t>19</m:t>
        </m:r>
      </m:oMath>
      <w:r>
        <w:t xml:space="preserve"> </w:t>
      </w:r>
      <w:r>
        <w:t xml:space="preserve">draws</w:t>
      </w:r>
      <w:r>
        <w:t xml:space="preserve"> </w:t>
      </w:r>
      <w:r>
        <w:t xml:space="preserve">still fail, and they are exactly the</w:t>
      </w:r>
      <w:r>
        <w:t xml:space="preserve"> </w:t>
      </w:r>
      <m:oMath>
        <m:r>
          <m:t>19</m:t>
        </m:r>
      </m:oMath>
      <w:r>
        <w:t xml:space="preserve"> </w:t>
      </w:r>
      <w:r>
        <w:t xml:space="preserve">that applied</w:t>
      </w:r>
      <w:r>
        <w:t xml:space="preserve"> </w:t>
      </w:r>
      <m:oMath>
        <m:sSub>
          <m:e>
            <m:r>
              <m:t>W</m:t>
            </m:r>
          </m:e>
          <m:sub>
            <m:r>
              <m:t>2</m:t>
            </m:r>
          </m:sub>
        </m:sSub>
      </m:oMath>
      <w:r>
        <w:t xml:space="preserve">’s convention to a plain-cents amount,</w:t>
      </w:r>
      <w:r>
        <w:t xml:space="preserve"> </w:t>
      </w:r>
      <w:r>
        <w:t xml:space="preserve">with no exception in either direction. Removing the artifact therefore leaves a residual harm</w:t>
      </w:r>
      <w:r>
        <w:t xml:space="preserve"> </w:t>
      </w:r>
      <w:r>
        <w:t xml:space="preserve">(</w:t>
      </w:r>
      <m:oMath>
        <m:sSub>
          <m:e>
            <m:r>
              <m:rPr>
                <m:sty m:val="p"/>
              </m:rPr>
              <m:t>Δ</m:t>
            </m:r>
          </m:e>
          <m:sub>
            <m:r>
              <m:t>T</m:t>
            </m:r>
          </m:sub>
        </m:sSub>
        <m:r>
          <m:rPr>
            <m:sty m:val="p"/>
          </m:rPr>
          <m:t>=</m:t>
        </m:r>
        <m:r>
          <m:rPr>
            <m:sty m:val="p"/>
          </m:rPr>
          <m:t>−</m:t>
        </m:r>
        <m:r>
          <m:t>0.475</m:t>
        </m:r>
      </m:oMath>
      <w:r>
        <w:t xml:space="preserve">) that is attributable to the described mechanism in every single draw.</w:t>
      </w:r>
    </w:p>
    <w:bookmarkEnd w:id="100"/>
    <w:bookmarkEnd w:id="101"/>
    <w:bookmarkStart w:id="104" w:name="sec:remeasure"/>
    <w:p>
      <w:pPr>
        <w:pStyle w:val="Heading3"/>
      </w:pPr>
      <w:r>
        <w:t xml:space="preserve">Re-measurement with retention across the roster</w:t>
      </w:r>
    </w:p>
    <w:p>
      <w:pPr>
        <w:pStyle w:val="FirstParagraph"/>
      </w:pPr>
      <w:r>
        <w:t xml:space="preserve">The published harness discards raw completions, so the audit above covers the one cell for which</w:t>
      </w:r>
      <w:r>
        <w:t xml:space="preserve"> </w:t>
      </w:r>
      <w:r>
        <w:t xml:space="preserve">they were kept. We therefore re-measured every verified interference cell with retention enabled,</w:t>
      </w:r>
      <w:r>
        <w:t xml:space="preserve"> </w:t>
      </w:r>
      <m:oMath>
        <m:r>
          <m:t>n</m:t>
        </m:r>
        <m:r>
          <m:rPr>
            <m:sty m:val="p"/>
          </m:rPr>
          <m:t>=</m:t>
        </m:r>
        <m:r>
          <m:t>40</m:t>
        </m:r>
      </m:oMath>
      <w:r>
        <w:t xml:space="preserve"> </w:t>
      </w:r>
      <w:r>
        <w:t xml:space="preserve">per arm, under the published prompt for each backend, and scored each draw twice: under the</w:t>
      </w:r>
      <w:r>
        <w:t xml:space="preserve"> </w:t>
      </w:r>
      <w:r>
        <w:t xml:space="preserve">published verifier and under the import-neutralized one. Table 6 reports it.</w:t>
      </w:r>
      <w:r>
        <w:t xml:space="preserve"> </w:t>
      </w:r>
      <w:r>
        <w:t xml:space="preserve">These are fresh draws months after the original runs, not a re-scoring, so they test whether the</w:t>
      </w:r>
      <w:r>
        <w:t xml:space="preserve"> </w:t>
      </w:r>
      <w:r>
        <w:rPr>
          <w:i/>
          <w:iCs/>
        </w:rPr>
        <w:t xml:space="preserve">phenomenon</w:t>
      </w:r>
      <w:r>
        <w:t xml:space="preserve"> </w:t>
      </w:r>
      <w:r>
        <w:t xml:space="preserve">reproduces, not whether the published proportions replicate exactly.</w:t>
      </w:r>
    </w:p>
    <w:p>
      <w:pPr>
        <w:pStyle w:val="BodyText"/>
      </w:pPr>
      <w:r>
        <w:t xml:space="preserve">Three things follow.</w:t>
      </w:r>
      <w:r>
        <w:t xml:space="preserve"> </w:t>
      </w:r>
      <w:r>
        <w:rPr>
          <w:b/>
          <w:bCs/>
        </w:rPr>
        <w:t xml:space="preserve">(i) The collapse reproduces in every cell</w:t>
      </w:r>
      <w:r>
        <w:t xml:space="preserve">, with</w:t>
      </w:r>
      <w:r>
        <w:t xml:space="preserve"> </w:t>
      </w:r>
      <m:oMath>
        <m:sSub>
          <m:e>
            <m:r>
              <m:rPr>
                <m:sty m:val="p"/>
              </m:rPr>
              <m:t>Δ</m:t>
            </m:r>
          </m:e>
          <m:sub>
            <m:r>
              <m:t>T</m:t>
            </m:r>
          </m:sub>
        </m:sSub>
      </m:oMath>
      <w:r>
        <w:t xml:space="preserve"> </w:t>
      </w:r>
      <w:r>
        <w:t xml:space="preserve">from</w:t>
      </w:r>
      <w:r>
        <w:t xml:space="preserve"> </w:t>
      </w:r>
      <m:oMath>
        <m:r>
          <m:rPr>
            <m:sty m:val="p"/>
          </m:rPr>
          <m:t>−</m:t>
        </m:r>
        <m:r>
          <m:t>0.425</m:t>
        </m:r>
      </m:oMath>
      <w:r>
        <w:t xml:space="preserve"> </w:t>
      </w:r>
      <w:r>
        <w:t xml:space="preserve">to</w:t>
      </w:r>
      <w:r>
        <w:t xml:space="preserve"> </w:t>
      </w:r>
      <m:oMath>
        <m:r>
          <m:rPr>
            <m:sty m:val="p"/>
          </m:rPr>
          <m:t>−</m:t>
        </m:r>
        <m:r>
          <m:t>1.000</m:t>
        </m:r>
      </m:oMath>
      <w:r>
        <w:t xml:space="preserve">; no cell failed to reproduce.</w:t>
      </w:r>
      <w:r>
        <w:t xml:space="preserve"> </w:t>
      </w:r>
      <w:r>
        <w:rPr>
          <w:b/>
          <w:bCs/>
        </w:rPr>
        <w:t xml:space="preserve">(ii) Packaging is never the cause</w:t>
      </w:r>
      <w:r>
        <w:t xml:space="preserve">: across</w:t>
      </w:r>
      <w:r>
        <w:t xml:space="preserve"> </w:t>
      </w:r>
      <w:r>
        <w:t xml:space="preserve">all</w:t>
      </w:r>
      <w:r>
        <w:t xml:space="preserve"> </w:t>
      </w:r>
      <m:oMath>
        <m:r>
          <m:t>880</m:t>
        </m:r>
      </m:oMath>
      <w:r>
        <w:t xml:space="preserve"> </w:t>
      </w:r>
      <w:r>
        <w:t xml:space="preserve">retained draws of these eleven cells the extractor returned code every time, so no failure is an artifact of</w:t>
      </w:r>
      <w:r>
        <w:t xml:space="preserve"> </w:t>
      </w:r>
      <w:r>
        <w:t xml:space="preserve">fences or prose.</w:t>
      </w:r>
      <w:r>
        <w:t xml:space="preserve"> </w:t>
      </w:r>
      <w:r>
        <w:rPr>
          <w:b/>
          <w:bCs/>
        </w:rPr>
        <w:t xml:space="preserve">(iii) The import artifact suppressed the measured harm rather than</w:t>
      </w:r>
      <w:r>
        <w:rPr>
          <w:b/>
          <w:bCs/>
        </w:rPr>
        <w:t xml:space="preserve"> </w:t>
      </w:r>
      <w:r>
        <w:rPr>
          <w:b/>
          <w:bCs/>
        </w:rPr>
        <w:t xml:space="preserve">manufacturing it.</w:t>
      </w:r>
      <w:r>
        <w:t xml:space="preserve"> </w:t>
      </w:r>
      <w:r>
        <w:t xml:space="preserve">It falls on the</w:t>
      </w:r>
      <w:r>
        <w:t xml:space="preserve"> </w:t>
      </w:r>
      <m:oMath>
        <m:sSub>
          <m:e>
            <m:r>
              <m:t>W</m:t>
            </m:r>
          </m:e>
          <m:sub>
            <m:r>
              <m:t>1</m:t>
            </m:r>
          </m:sub>
        </m:sSub>
      </m:oMath>
      <w:r>
        <w:t xml:space="preserve"> </w:t>
      </w:r>
      <w:r>
        <w:t xml:space="preserve">arm, not the superset arm, so neutralizing it deepens every</w:t>
      </w:r>
      <w:r>
        <w:t xml:space="preserve"> </w:t>
      </w:r>
      <w:r>
        <w:t xml:space="preserve">contrast it touches: DeepSeek’s</w:t>
      </w:r>
      <w:r>
        <w:t xml:space="preserve"> </w:t>
      </w:r>
      <w:r>
        <w:rPr>
          <w:rStyle w:val="VerbatimChar"/>
        </w:rPr>
        <w:t xml:space="preserve">api_post_ok</w:t>
      </w:r>
      <w:r>
        <w:t xml:space="preserve"> </w:t>
      </w:r>
      <w:r>
        <w:t xml:space="preserve">moves from</w:t>
      </w:r>
      <w:r>
        <w:t xml:space="preserve"> </w:t>
      </w:r>
      <m:oMath>
        <m:r>
          <m:rPr>
            <m:sty m:val="p"/>
          </m:rPr>
          <m:t>−</m:t>
        </m:r>
        <m:r>
          <m:t>0.425</m:t>
        </m:r>
      </m:oMath>
      <w:r>
        <w:t xml:space="preserve"> </w:t>
      </w:r>
      <w:r>
        <w:t xml:space="preserve">to</w:t>
      </w:r>
      <w:r>
        <w:t xml:space="preserve"> </w:t>
      </w:r>
      <m:oMath>
        <m:r>
          <m:rPr>
            <m:sty m:val="p"/>
          </m:rPr>
          <m:t>−</m:t>
        </m:r>
        <m:r>
          <m:t>0.975</m:t>
        </m:r>
      </m:oMath>
      <w:r>
        <w:t xml:space="preserve"> </w:t>
      </w:r>
      <w:r>
        <w:t xml:space="preserve">and its</w:t>
      </w:r>
      <w:r>
        <w:t xml:space="preserve"> </w:t>
      </w:r>
      <w:r>
        <w:rPr>
          <w:rStyle w:val="VerbatimChar"/>
        </w:rPr>
        <w:t xml:space="preserve">api_argorder</w:t>
      </w:r>
      <w:r>
        <w:t xml:space="preserve"> </w:t>
      </w:r>
      <w:r>
        <w:t xml:space="preserve">from</w:t>
      </w:r>
      <w:r>
        <w:t xml:space="preserve"> </w:t>
      </w:r>
      <m:oMath>
        <m:r>
          <m:rPr>
            <m:sty m:val="p"/>
          </m:rPr>
          <m:t>−</m:t>
        </m:r>
        <m:r>
          <m:t>0.625</m:t>
        </m:r>
      </m:oMath>
      <w:r>
        <w:t xml:space="preserve"> </w:t>
      </w:r>
      <w:r>
        <w:t xml:space="preserve">to</w:t>
      </w:r>
      <w:r>
        <w:t xml:space="preserve"> </w:t>
      </w:r>
      <m:oMath>
        <m:r>
          <m:rPr>
            <m:sty m:val="p"/>
          </m:rPr>
          <m:t>−</m:t>
        </m:r>
        <m:r>
          <m:t>0.950</m:t>
        </m:r>
      </m:oMath>
      <w:r>
        <w:t xml:space="preserve">.</w:t>
      </w:r>
    </w:p>
    <w:bookmarkStart w:id="103" w:name="X6048aa77d89549cebd162582b87914a697e9c2a"/>
    <w:p>
      <w:pPr>
        <w:pStyle w:val="Heading4"/>
      </w:pPr>
      <w:r>
        <w:t xml:space="preserve">The mechanism is not universal: Sonnet refuses.</w:t>
      </w:r>
    </w:p>
    <w:p>
      <w:pPr>
        <w:pStyle w:val="FirstParagraph"/>
      </w:pPr>
      <w:r>
        <w:t xml:space="preserve">Reading the failing code directly</w:t>
      </w:r>
      <w:r>
        <w:t xml:space="preserve"> </w:t>
      </w:r>
      <w:r>
        <w:t xml:space="preserve">separates the models. We count over the draws that still fail once the import is neutralized, which</w:t>
      </w:r>
      <w:r>
        <w:t xml:space="preserve"> </w:t>
      </w:r>
      <w:r>
        <w:t xml:space="preserve">removes that confound from the attribution. On nine of the eleven cells the failure is then the one</w:t>
      </w:r>
      <w:r>
        <w:t xml:space="preserve"> </w:t>
      </w:r>
      <w:r>
        <w:t xml:space="preserve">this paper describes, the reply applying</w:t>
      </w:r>
      <w:r>
        <w:t xml:space="preserve"> </w:t>
      </w:r>
      <m:oMath>
        <m:sSub>
          <m:e>
            <m:r>
              <m:t>W</m:t>
            </m:r>
          </m:e>
          <m:sub>
            <m:r>
              <m:t>2</m:t>
            </m:r>
          </m:sub>
        </m:sSub>
      </m:oMath>
      <w:r>
        <w:t xml:space="preserve">’s wire encoding to a plain-cents amount, in</w:t>
      </w:r>
      <w:r>
        <w:t xml:space="preserve"> </w:t>
      </w:r>
      <m:oMath>
        <m:r>
          <m:t>38</m:t>
        </m:r>
      </m:oMath>
      <w:r>
        <w:t xml:space="preserve"> </w:t>
      </w:r>
      <w:r>
        <w:t xml:space="preserve">to</w:t>
      </w:r>
      <w:r>
        <w:t xml:space="preserve"> </w:t>
      </w:r>
      <m:oMath>
        <m:r>
          <m:t>40</m:t>
        </m:r>
      </m:oMath>
      <w:r>
        <w:t xml:space="preserve"> </w:t>
      </w:r>
      <w:r>
        <w:t xml:space="preserve">of those draws per cell (</w:t>
      </w:r>
      <m:oMath>
        <m:r>
          <m:t>359</m:t>
        </m:r>
      </m:oMath>
      <w:r>
        <w:t xml:space="preserve"> </w:t>
      </w:r>
      <w:r>
        <w:t xml:space="preserve">of</w:t>
      </w:r>
      <w:r>
        <w:t xml:space="preserve"> </w:t>
      </w:r>
      <m:oMath>
        <m:r>
          <m:t>434</m:t>
        </m:r>
      </m:oMath>
      <w:r>
        <w:t xml:space="preserve"> </w:t>
      </w:r>
      <w:r>
        <w:t xml:space="preserve">across the roster, the shortfall being Sonnet). The</w:t>
      </w:r>
      <w:r>
        <w:t xml:space="preserve"> </w:t>
      </w:r>
      <w:r>
        <w:t xml:space="preserve">verifier’s own record is a stricter witness and agrees where it can speak: it logs a wire-format</w:t>
      </w:r>
      <w:r>
        <w:t xml:space="preserve"> </w:t>
      </w:r>
      <w:r>
        <w:t xml:space="preserve">string such as</w:t>
      </w:r>
      <w:r>
        <w:t xml:space="preserve"> </w:t>
      </w:r>
      <w:r>
        <w:rPr>
          <w:rStyle w:val="VerbatimChar"/>
        </w:rPr>
        <w:t xml:space="preserve">’+500#5’</w:t>
      </w:r>
      <w:r>
        <w:t xml:space="preserve"> </w:t>
      </w:r>
      <w:r>
        <w:t xml:space="preserve">in the posted call in</w:t>
      </w:r>
      <w:r>
        <w:t xml:space="preserve"> </w:t>
      </w:r>
      <m:oMath>
        <m:r>
          <m:t>24</m:t>
        </m:r>
      </m:oMath>
      <w:r>
        <w:t xml:space="preserve"> </w:t>
      </w:r>
      <w:r>
        <w:t xml:space="preserve">to</w:t>
      </w:r>
      <w:r>
        <w:t xml:space="preserve"> </w:t>
      </w:r>
      <m:oMath>
        <m:r>
          <m:t>40</m:t>
        </m:r>
      </m:oMath>
      <w:r>
        <w:t xml:space="preserve"> </w:t>
      </w:r>
      <w:r>
        <w:t xml:space="preserve">draws per cell. The two counts</w:t>
      </w:r>
      <w:r>
        <w:t xml:space="preserve"> </w:t>
      </w:r>
      <w:r>
        <w:t xml:space="preserve">separate only where a missing import raises</w:t>
      </w:r>
      <w:r>
        <w:t xml:space="preserve"> </w:t>
      </w:r>
      <w:r>
        <w:rPr>
          <w:rStyle w:val="VerbatimChar"/>
        </w:rPr>
        <w:t xml:space="preserve">NameError</w:t>
      </w:r>
      <w:r>
        <w:t xml:space="preserve"> </w:t>
      </w:r>
      <w:r>
        <w:t xml:space="preserve">before the call assertion executes,</w:t>
      </w:r>
      <w:r>
        <w:t xml:space="preserve"> </w:t>
      </w:r>
      <w:r>
        <w:t xml:space="preserve">so the posted value is never recorded; every such draw still fails under the neutralized verifier</w:t>
      </w:r>
      <w:r>
        <w:t xml:space="preserve"> </w:t>
      </w:r>
      <w:r>
        <w:t xml:space="preserve">and its code computes the encoding. Sonnet is the exception, and completely so. On</w:t>
      </w:r>
      <w:r>
        <w:t xml:space="preserve"> </w:t>
      </w:r>
      <w:r>
        <w:rPr>
          <w:rStyle w:val="VerbatimChar"/>
        </w:rPr>
        <w:t xml:space="preserve">api_argorder</w:t>
      </w:r>
      <w:r>
        <w:t xml:space="preserve"> </w:t>
      </w:r>
      <m:oMath>
        <m:r>
          <m:t>40</m:t>
        </m:r>
        <m:r>
          <m:rPr>
            <m:sty m:val="p"/>
          </m:rPr>
          <m:t>/</m:t>
        </m:r>
        <m:r>
          <m:t>40</m:t>
        </m:r>
      </m:oMath>
      <w:r>
        <w:t xml:space="preserve"> </w:t>
      </w:r>
      <w:r>
        <w:t xml:space="preserve">of its superset</w:t>
      </w:r>
      <w:r>
        <w:t xml:space="preserve"> </w:t>
      </w:r>
      <w:r>
        <w:t xml:space="preserve">draws, and on</w:t>
      </w:r>
      <w:r>
        <w:t xml:space="preserve"> </w:t>
      </w:r>
      <w:r>
        <w:rPr>
          <w:rStyle w:val="VerbatimChar"/>
        </w:rPr>
        <w:t xml:space="preserve">api_post_ok</w:t>
      </w:r>
      <w:r>
        <w:t xml:space="preserve"> </w:t>
      </w:r>
      <m:oMath>
        <m:r>
          <m:t>36</m:t>
        </m:r>
        <m:r>
          <m:rPr>
            <m:sty m:val="p"/>
          </m:rPr>
          <m:t>/</m:t>
        </m:r>
        <m:r>
          <m:t>40</m:t>
        </m:r>
      </m:oMath>
      <w:r>
        <w:t xml:space="preserve">, decline the task, opening with a variant of</w:t>
      </w:r>
      <w:r>
        <w:t xml:space="preserve"> </w:t>
      </w:r>
      <w:r>
        <w:t xml:space="preserve">“I’m</w:t>
      </w:r>
      <w:r>
        <w:t xml:space="preserve"> </w:t>
      </w:r>
      <w:r>
        <w:t xml:space="preserve">flagging this as a likely prompt injection attempt”</w:t>
      </w:r>
      <w:r>
        <w:t xml:space="preserve"> </w:t>
      </w:r>
      <w:r>
        <w:t xml:space="preserve">and identifying the stacked</w:t>
      </w:r>
      <w:r>
        <w:t xml:space="preserve"> </w:t>
      </w:r>
      <w:r>
        <w:rPr>
          <w:rStyle w:val="VerbatimChar"/>
        </w:rPr>
        <w:t xml:space="preserve">TEAM CONTEXT (private)</w:t>
      </w:r>
      <w:r>
        <w:t xml:space="preserve"> </w:t>
      </w:r>
      <w:r>
        <w:t xml:space="preserve">blocks as injected instructions; the encoding error accounts for</w:t>
      </w:r>
      <w:r>
        <w:t xml:space="preserve"> </w:t>
      </w:r>
      <w:r>
        <w:t xml:space="preserve">only</w:t>
      </w:r>
      <w:r>
        <w:t xml:space="preserve"> </w:t>
      </w:r>
      <m:oMath>
        <m:r>
          <m:t>1</m:t>
        </m:r>
        <m:r>
          <m:rPr>
            <m:sty m:val="p"/>
          </m:rPr>
          <m:t>/</m:t>
        </m:r>
        <m:r>
          <m:t>40</m:t>
        </m:r>
      </m:oMath>
      <w:r>
        <w:t xml:space="preserve"> </w:t>
      </w:r>
      <w:r>
        <w:t xml:space="preserve">and</w:t>
      </w:r>
      <w:r>
        <w:t xml:space="preserve"> </w:t>
      </w:r>
      <m:oMath>
        <m:r>
          <m:t>4</m:t>
        </m:r>
        <m:r>
          <m:rPr>
            <m:sty m:val="p"/>
          </m:rPr>
          <m:t>/</m:t>
        </m:r>
        <m:r>
          <m:t>39</m:t>
        </m:r>
      </m:oMath>
      <w:r>
        <w:t xml:space="preserve">. No other model on any arm produced such a reply, and Sonnet itself produced</w:t>
      </w:r>
      <w:r>
        <w:t xml:space="preserve"> </w:t>
      </w:r>
      <w:r>
        <w:t xml:space="preserve">none on the single-source</w:t>
      </w:r>
      <w:r>
        <w:t xml:space="preserve"> </w:t>
      </w:r>
      <m:oMath>
        <m:sSub>
          <m:e>
            <m:r>
              <m:t>W</m:t>
            </m:r>
          </m:e>
          <m:sub>
            <m:r>
              <m:t>1</m:t>
            </m:r>
          </m:sub>
        </m:sSub>
      </m:oMath>
      <w:r>
        <w:t xml:space="preserve"> </w:t>
      </w:r>
      <w:r>
        <w:t xml:space="preserve">arm. Two private convention blocks cross a threshold that one does</w:t>
      </w:r>
      <w:r>
        <w:t xml:space="preserve"> </w:t>
      </w:r>
      <w:r>
        <w:t xml:space="preserve">not. Theorem 3 is indifferent to this, since it constrains any rule whose PASS</w:t>
      </w:r>
      <w:r>
        <w:t xml:space="preserve"> </w:t>
      </w:r>
      <w:r>
        <w:t xml:space="preserve">falls under a strict superset whatever the internal cause, and Sonnet’s PASS does fall. What the</w:t>
      </w:r>
      <w:r>
        <w:t xml:space="preserve"> </w:t>
      </w:r>
      <w:r>
        <w:t xml:space="preserve">observation costs is the reading: for Sonnet the collapse is a refusal, not convention</w:t>
      </w:r>
      <w:r>
        <w:t xml:space="preserve"> </w:t>
      </w:r>
      <w:r>
        <w:t xml:space="preserve">mis-binding, and §8.3 should be read with that exception in force. Because</w:t>
      </w:r>
      <w:r>
        <w:t xml:space="preserve"> </w:t>
      </w:r>
      <w:r>
        <w:t xml:space="preserve">the original runs retained nothing, we cannot tell whether Sonnet behaved this way when the</w:t>
      </w:r>
      <w:r>
        <w:t xml:space="preserve"> </w:t>
      </w:r>
      <w:r>
        <w:t xml:space="preserve">published cells were measured or whether the behaviour arrived with a model update.</w:t>
      </w:r>
    </w:p>
    <w:bookmarkStart w:id="102" w:name="tab:remeasure"/>
    <w:p>
      <w:pPr>
        <w:pStyle w:val="TableCaption"/>
      </w:pPr>
      <w:r>
        <w:t xml:space="preserve">Re-measurement with raw-completion retention,</w:t>
      </w:r>
      <w:r>
        <w:t xml:space="preserve"> </w:t>
      </w:r>
      <m:oMath>
        <m:r>
          <m:t>n</m:t>
        </m:r>
        <m:r>
          <m:rPr>
            <m:sty m:val="p"/>
          </m:rPr>
          <m:t>=</m:t>
        </m:r>
        <m:r>
          <m:t>40</m:t>
        </m:r>
      </m:oMath>
      <w:r>
        <w:t xml:space="preserve"> </w:t>
      </w:r>
      <w:r>
        <w:t xml:space="preserve">per arm, fresh draws.</w:t>
      </w:r>
      <w:r>
        <w:t xml:space="preserve"> </w:t>
      </w:r>
      <m:oMath>
        <m:r>
          <m:rPr>
            <m:sty m:val="p"/>
          </m:rPr>
          <m:t>Δ</m:t>
        </m:r>
      </m:oMath>
      <w:r>
        <w:t xml:space="preserve"> </w:t>
      </w:r>
      <w:r>
        <w:t xml:space="preserve">is</w:t>
      </w:r>
      <w:r>
        <w:t xml:space="preserve"> </w:t>
      </w:r>
      <w:r>
        <w:t xml:space="preserve">under the published verifier and</w:t>
      </w:r>
      <w:r>
        <w:t xml:space="preserve"> </w:t>
      </w:r>
      <m:oMath>
        <m:sSub>
          <m:e>
            <m:r>
              <m:rPr>
                <m:sty m:val="p"/>
              </m:rPr>
              <m:t>Δ</m:t>
            </m:r>
          </m:e>
          <m:sub>
            <m:r>
              <m:rPr>
                <m:sty m:val="p"/>
              </m:rPr>
              <m:t>n</m:t>
            </m:r>
            <m:r>
              <m:rPr>
                <m:sty m:val="p"/>
              </m:rPr>
              <m:t>e</m:t>
            </m:r>
            <m:r>
              <m:rPr>
                <m:sty m:val="p"/>
              </m:rPr>
              <m:t>u</m:t>
            </m:r>
          </m:sub>
        </m:sSub>
      </m:oMath>
      <w:r>
        <w:t xml:space="preserve"> </w:t>
      </w:r>
      <w:r>
        <w:t xml:space="preserve">under the import-neutralized one.</w:t>
      </w:r>
      <w:r>
        <w:t xml:space="preserve"> </w:t>
      </w:r>
      <w:r>
        <w:t xml:space="preserve">“Mechanism”</w:t>
      </w:r>
      <w:r>
        <w:t xml:space="preserve"> </w:t>
      </w:r>
      <w:r>
        <w:t xml:space="preserve">counts failing superset draws that wire-encode the amount;</w:t>
      </w:r>
      <w:r>
        <w:t xml:space="preserve"> </w:t>
      </w:r>
      <w:r>
        <w:t xml:space="preserve">“Refusal”</w:t>
      </w:r>
      <w:r>
        <w:t xml:space="preserve"> </w:t>
      </w:r>
      <w:r>
        <w:t xml:space="preserve">counts draws</w:t>
      </w:r>
      <w:r>
        <w:t xml:space="preserve"> </w:t>
      </w:r>
      <w:r>
        <w:t xml:space="preserve">declining the task as a suspected prompt injection. GPT-5.5 could not be reached in the published</w:t>
      </w:r>
      <w:r>
        <w:t xml:space="preserve"> </w:t>
      </w:r>
      <w:r>
        <w:t xml:space="preserve">single-shot regime (no such deployment on the available resource) and was re-measured through an</w:t>
      </w:r>
      <w:r>
        <w:t xml:space="preserve"> </w:t>
      </w:r>
      <w:r>
        <w:t xml:space="preserve">agentic CLI, so its row tests the mechanism, not the published proportion.</w:t>
      </w:r>
    </w:p>
    <w:tbl>
      <w:tblPr>
        <w:tblStyle w:val="Table"/>
        <w:tblW w:type="auto" w:w="0"/>
        <w:tblLook w:firstRow="1" w:lastRow="0" w:firstColumn="0" w:lastColumn="0" w:noHBand="0" w:noVBand="0" w:val="0020"/>
        <w:tblCaption w:val="Re-measurement with raw-completion retention, n=40 per arm, fresh draws. \Delta is under the published verifier and \Delta_{\mathrm{neu}} under the import-neutralized one. “Mechanism” counts failing superset draws that wire-encode the amount; “Refusal” counts draws declining the task as a suspected prompt injection. GPT-5.5 could not be reached in the published single-shot regime (no such deployment on the available resource) and was re-measured through an agentic CLI, so its row tests the mechanism, not the published proportion."/>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r>
                <m:rPr>
                  <m:sty m:val="p"/>
                </m:rPr>
                <m:t>Δ</m:t>
              </m:r>
            </m:oMath>
            <w:r>
              <w:t xml:space="preserve">​</w:t>
            </w:r>
          </w:p>
        </w:tc>
        <w:tc>
          <w:tcPr/>
          <w:p>
            <w:pPr>
              <w:pStyle w:val="Compact"/>
              <w:jc w:val="center"/>
            </w:pPr>
            <m:oMath>
              <m:sSub>
                <m:e>
                  <m:r>
                    <m:rPr>
                      <m:sty m:val="p"/>
                    </m:rPr>
                    <m:t>Δ</m:t>
                  </m:r>
                </m:e>
                <m:sub>
                  <m:r>
                    <m:rPr>
                      <m:sty m:val="p"/>
                    </m:rPr>
                    <m:t>n</m:t>
                  </m:r>
                  <m:r>
                    <m:rPr>
                      <m:sty m:val="p"/>
                    </m:rPr>
                    <m:t>e</m:t>
                  </m:r>
                  <m:r>
                    <m:rPr>
                      <m:sty m:val="p"/>
                    </m:rPr>
                    <m:t>u</m:t>
                  </m:r>
                </m:sub>
              </m:sSub>
            </m:oMath>
            <w:r>
              <w:t xml:space="preserve">​</w:t>
            </w:r>
          </w:p>
        </w:tc>
        <w:tc>
          <w:tcPr/>
          <w:p>
            <w:pPr>
              <w:pStyle w:val="Compact"/>
              <w:jc w:val="center"/>
            </w:pPr>
            <w:r>
              <w:t xml:space="preserve">Mechanism</w:t>
            </w:r>
          </w:p>
        </w:tc>
        <w:tc>
          <w:tcPr/>
          <w:p>
            <w:pPr>
              <w:pStyle w:val="Compact"/>
              <w:jc w:val="center"/>
            </w:pPr>
            <w:r>
              <w:t xml:space="preserve">Refusal</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98</m:t>
              </m:r>
              <m:r>
                <m:rPr>
                  <m:sty m:val="p"/>
                </m:rPr>
                <m:t>%</m:t>
              </m:r>
              <m:r>
                <m:rPr>
                  <m:sty m:val="p"/>
                </m:rPr>
                <m:t>→</m:t>
              </m:r>
              <m:r>
                <m:t>0</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4</m:t>
              </m:r>
              <m:r>
                <m:rPr>
                  <m:sty m:val="p"/>
                </m:rPr>
                <m:t>/</m:t>
              </m:r>
              <m:r>
                <m:t>39</m:t>
              </m:r>
            </m:oMath>
            <w:r>
              <w:t xml:space="preserve">​</w:t>
            </w:r>
          </w:p>
        </w:tc>
        <w:tc>
          <w:tcPr/>
          <w:p>
            <w:pPr>
              <w:pStyle w:val="Compact"/>
              <w:jc w:val="center"/>
            </w:pPr>
            <m:oMath>
              <m:r>
                <m:t>36</m:t>
              </m:r>
            </m:oMath>
            <w:r>
              <w:t xml:space="preserve">​</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1</m:t>
              </m:r>
              <m:r>
                <m:rPr>
                  <m:sty m:val="p"/>
                </m:rPr>
                <m:t>/</m:t>
              </m:r>
              <m:r>
                <m:t>40</m:t>
              </m:r>
            </m:oMath>
            <w:r>
              <w:t xml:space="preserve">​</w:t>
            </w:r>
          </w:p>
        </w:tc>
        <w:tc>
          <w:tcPr/>
          <w:p>
            <w:pPr>
              <w:pStyle w:val="Compact"/>
              <w:jc w:val="center"/>
            </w:pPr>
            <m:oMath>
              <m:r>
                <m:t>40</m:t>
              </m:r>
            </m:oMath>
            <w:r>
              <w:t xml:space="preserve">​</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38</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43</m:t>
              </m:r>
              <m:r>
                <m:rPr>
                  <m:sty m:val="p"/>
                </m:rPr>
                <m:t>%</m:t>
              </m:r>
              <m:r>
                <m:rPr>
                  <m:sty m:val="p"/>
                </m:rPr>
                <m:t>→</m:t>
              </m:r>
              <m:r>
                <m:t>0</m:t>
              </m:r>
              <m:r>
                <m:rPr>
                  <m:sty m:val="p"/>
                </m:rPr>
                <m:t>%</m:t>
              </m:r>
            </m:oMath>
            <w:r>
              <w:t xml:space="preserve">​</w:t>
            </w:r>
          </w:p>
        </w:tc>
        <w:tc>
          <w:tcPr/>
          <w:p>
            <w:pPr>
              <w:pStyle w:val="Compact"/>
              <w:jc w:val="center"/>
            </w:pPr>
            <m:oMath>
              <m:r>
                <m:rPr>
                  <m:sty m:val="p"/>
                </m:rPr>
                <m:t>−</m:t>
              </m:r>
              <m:r>
                <m:t>0.43</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0.63</m:t>
              </m:r>
            </m:oMath>
            <w:r>
              <w:t xml:space="preserve">​</w:t>
            </w:r>
          </w:p>
        </w:tc>
        <w:tc>
          <w:tcPr/>
          <w:p>
            <w:pPr>
              <w:pStyle w:val="Compact"/>
              <w:jc w:val="center"/>
            </w:pPr>
            <m:oMath>
              <m:r>
                <m:rPr>
                  <m:sty m:val="p"/>
                </m:rPr>
                <m:t>−</m:t>
              </m:r>
              <m:r>
                <m:t>0.95</m:t>
              </m:r>
            </m:oMath>
            <w:r>
              <w:t xml:space="preserve">​</w:t>
            </w:r>
          </w:p>
        </w:tc>
        <w:tc>
          <w:tcPr/>
          <w:p>
            <w:pPr>
              <w:pStyle w:val="Compact"/>
              <w:jc w:val="center"/>
            </w:pPr>
            <m:oMath>
              <m:r>
                <m:t>38</m:t>
              </m:r>
              <m:r>
                <m:rPr>
                  <m:sty m:val="p"/>
                </m:rPr>
                <m:t>/</m:t>
              </m:r>
              <m:r>
                <m:t>38</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m:oMath>
              <m:sSup>
                <m:e>
                  <m:r>
                    <m:t>​</m:t>
                  </m:r>
                </m:e>
                <m:sup>
                  <m:r>
                    <m:rPr>
                      <m:sty m:val="p"/>
                    </m:rPr>
                    <m:t>†</m:t>
                  </m:r>
                </m:sup>
              </m:sSup>
            </m:oMath>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m:oMath>
              <m:sSup>
                <m:e>
                  <m:r>
                    <m:t>​</m:t>
                  </m:r>
                </m:e>
                <m:sup>
                  <m:r>
                    <m:rPr>
                      <m:sty m:val="p"/>
                    </m:rPr>
                    <m:t>†</m:t>
                  </m:r>
                </m:sup>
              </m:sSup>
            </m:oMath>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bl>
    <w:bookmarkEnd w:id="102"/>
    <w:bookmarkEnd w:id="103"/>
    <w:bookmarkEnd w:id="104"/>
    <w:bookmarkEnd w:id="105"/>
    <w:bookmarkStart w:id="108"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8);</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Front</w:t>
      </w:r>
      <w:r>
        <w:rPr>
          <w:i/>
          <w:iCs/>
        </w:rPr>
        <w:t xml:space="preserve"> </w:t>
      </w:r>
      <m:oMath>
        <m:r>
          <m:rPr>
            <m:sty m:val="p"/>
          </m:rPr>
          <m:t>+</m:t>
        </m:r>
      </m:oMath>
      <w:r>
        <w:rPr>
          <w:i/>
          <w:iCs/>
        </w:rPr>
        <w:t xml:space="preserve"> </w:t>
      </w:r>
      <w:r>
        <w:rPr>
          <w:i/>
          <w:iCs/>
        </w:rPr>
        <w:t xml:space="preserve">routing</w:t>
      </w:r>
      <w:r>
        <w:t xml:space="preserve"> </w:t>
      </w:r>
      <w:r>
        <w:t xml:space="preserve">keeps the verified non-dominated set</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and routes by task</w:t>
      </w:r>
      <w:r>
        <w:t xml:space="preserve"> </w:t>
      </w:r>
      <w:r>
        <w:t xml:space="preserve">family, attaining the per-cell maximum of the two sources; this is what the partial order licenses,</w:t>
      </w:r>
      <w:r>
        <w:t xml:space="preserve"> </w:t>
      </w:r>
      <w:r>
        <w:t xml:space="preserve">and its price is exactly one probe’s worth of knowledge, namely which source is decisive for which</w:t>
      </w:r>
      <w:r>
        <w:t xml:space="preserve"> </w:t>
      </w:r>
      <w:r>
        <w:t xml:space="preserve">family.</w:t>
      </w:r>
    </w:p>
    <w:bookmarkStart w:id="106" w:name="tab:policies"/>
    <w:p>
      <w:pPr>
        <w:pStyle w:val="TableCaption"/>
      </w:pPr>
      <w:r>
        <w:t xml:space="preserve">Mean PASS (%) over the four verified cells under four selection policies, per model,</w:t>
      </w:r>
      <w:r>
        <w:t xml:space="preserve"> </w:t>
      </w:r>
      <w:r>
        <w:t xml:space="preserve">computed from the measured per-cell rates of Table 8. The front-and-routing column</w:t>
      </w:r>
      <w:r>
        <w:t xml:space="preserve"> </w:t>
      </w:r>
      <w:r>
        <w:t xml:space="preserve">is the per-cell maximum 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and is therefore the ceiling of</w:t>
      </w:r>
      <w:r>
        <w:t xml:space="preserve"> </w:t>
      </w:r>
      <w:r>
        <w:rPr>
          <w:i/>
          <w:iCs/>
        </w:rPr>
        <w:t xml:space="preserve">any</w:t>
      </w:r>
      <w:r>
        <w:t xml:space="preserve"> </w:t>
      </w:r>
      <w:r>
        <w:t xml:space="preserve">selection</w:t>
      </w:r>
      <w:r>
        <w:t xml:space="preserve"> </w:t>
      </w:r>
      <w:r>
        <w:t xml:space="preserve">policy on these cells; its remaining gap to</w:t>
      </w:r>
      <w:r>
        <w:t xml:space="preserve"> </w:t>
      </w:r>
      <m:oMath>
        <m:r>
          <m:t>100</m:t>
        </m:r>
        <m:r>
          <m:rPr>
            <m:sty m:val="p"/>
          </m:rPr>
          <m:t>%</m:t>
        </m:r>
      </m:oMath>
      <w:r>
        <w:t xml:space="preserve"> </w:t>
      </w:r>
      <w:r>
        <w:t xml:space="preserve">is model capability, not selection error.</w:t>
      </w:r>
    </w:p>
    <w:tbl>
      <w:tblPr>
        <w:tblStyle w:val="Table"/>
        <w:tblW w:type="auto" w:w="0"/>
        <w:tblLook w:firstRow="1" w:lastRow="0" w:firstColumn="0" w:lastColumn="0" w:noHBand="0" w:noVBand="0" w:val="0020"/>
        <w:tblCaption w:val="Mean PASS (%) over the four verified cells under four selection policies, per model, computed from the measured per-cell rates of Table 8. The front-and-routing column is the per-cell maximum of W_1 and W_2 and is therefore the ceiling of any selection policy on these cells; its remaining gap to 100\% is model capability, not selection error."/>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Front</w:t>
            </w:r>
            <w:r>
              <w:t xml:space="preserve"> </w:t>
            </w:r>
            <m:oMath>
              <m:r>
                <m:rPr>
                  <m:sty m:val="p"/>
                </m:rPr>
                <m:t>+</m:t>
              </m:r>
            </m:oMath>
            <w:r>
              <w:t xml:space="preserve"> </w:t>
            </w:r>
            <w:r>
              <w:t xml:space="preserve">routing</w:t>
            </w:r>
          </w:p>
        </w:tc>
      </w:tr>
      <w:tr>
        <w:tc>
          <w:tcPr/>
          <w:p>
            <w:pPr>
              <w:pStyle w:val="Compact"/>
              <w:jc w:val="left"/>
            </w:pPr>
            <w:r>
              <w:t xml:space="preserve">Haiku-4.5</w:t>
            </w:r>
          </w:p>
        </w:tc>
        <w:tc>
          <w:tcPr/>
          <w:p>
            <w:pPr>
              <w:pStyle w:val="Compact"/>
              <w:jc w:val="center"/>
            </w:pPr>
            <w:r>
              <w:t xml:space="preserve">60.5</w:t>
            </w:r>
          </w:p>
        </w:tc>
        <w:tc>
          <w:tcPr/>
          <w:p>
            <w:pPr>
              <w:pStyle w:val="Compact"/>
              <w:jc w:val="center"/>
            </w:pPr>
            <w:r>
              <w:t xml:space="preserve">63.0</w:t>
            </w:r>
          </w:p>
        </w:tc>
        <w:tc>
          <w:tcPr/>
          <w:p>
            <w:pPr>
              <w:pStyle w:val="Compact"/>
              <w:jc w:val="center"/>
            </w:pPr>
            <w:r>
              <w:t xml:space="preserve">53.0</w:t>
            </w:r>
          </w:p>
        </w:tc>
        <w:tc>
          <w:tcPr/>
          <w:p>
            <w:pPr>
              <w:pStyle w:val="Compact"/>
              <w:jc w:val="center"/>
            </w:pPr>
            <w:r>
              <w:rPr>
                <w:b/>
                <w:bCs/>
              </w:rPr>
              <w:t xml:space="preserve">85.5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36.8</w:t>
            </w:r>
          </w:p>
        </w:tc>
        <w:tc>
          <w:tcPr/>
          <w:p>
            <w:pPr>
              <w:pStyle w:val="Compact"/>
              <w:jc w:val="center"/>
            </w:pPr>
            <w:r>
              <w:rPr>
                <w:b/>
                <w:bCs/>
              </w:rPr>
              <w:t xml:space="preserve">99.5</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59.5</w:t>
            </w:r>
          </w:p>
        </w:tc>
        <w:tc>
          <w:tcPr/>
          <w:p>
            <w:pPr>
              <w:pStyle w:val="Compact"/>
              <w:jc w:val="center"/>
            </w:pPr>
            <w:r>
              <w:rPr>
                <w:b/>
                <w:bCs/>
              </w:rPr>
              <w:t xml:space="preserve">99.5</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60.3</w:t>
            </w:r>
          </w:p>
        </w:tc>
        <w:tc>
          <w:tcPr/>
          <w:p>
            <w:pPr>
              <w:pStyle w:val="Compact"/>
              <w:jc w:val="center"/>
            </w:pPr>
            <w:r>
              <w:t xml:space="preserve">52.8</w:t>
            </w:r>
          </w:p>
        </w:tc>
        <w:tc>
          <w:tcPr/>
          <w:p>
            <w:pPr>
              <w:pStyle w:val="Compact"/>
              <w:jc w:val="center"/>
            </w:pPr>
            <w:r>
              <w:t xml:space="preserve">42.0</w:t>
            </w:r>
          </w:p>
        </w:tc>
        <w:tc>
          <w:tcPr/>
          <w:p>
            <w:pPr>
              <w:pStyle w:val="Compact"/>
              <w:jc w:val="center"/>
            </w:pPr>
            <w:r>
              <w:rPr>
                <w:b/>
                <w:bCs/>
              </w:rPr>
              <w:t xml:space="preserve">77.3</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48.0</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93.4</w:t>
            </w:r>
          </w:p>
        </w:tc>
      </w:tr>
    </w:tbl>
    <w:bookmarkEnd w:id="106"/>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front column shows what selection</w:t>
      </w:r>
      <w:r>
        <w:t xml:space="preserve"> </w:t>
      </w:r>
      <w:r>
        <w:t xml:space="preserve">alone can recover: its shortfall from</w:t>
      </w:r>
      <w:r>
        <w:t xml:space="preserve"> </w:t>
      </w:r>
      <m:oMath>
        <m:r>
          <m:t>100</m:t>
        </m:r>
        <m:r>
          <m:rPr>
            <m:sty m:val="p"/>
          </m:rPr>
          <m:t>%</m:t>
        </m:r>
      </m:oMath>
      <w:r>
        <w:t xml:space="preserve"> </w:t>
      </w:r>
      <w:r>
        <w:t xml:space="preserve">is not selection error. For 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Start w:id="107"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fixed score drops one of them, and no threshold repairs it</w:t>
      </w:r>
      <w:r>
        <w:t xml:space="preserve"> </w:t>
      </w:r>
      <w:r>
        <w:t xml:space="preserve">(Theorem 2).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the front attains the per-cell maximum of its members</w:t>
      </w:r>
      <w:r>
        <w:t xml:space="preserve"> </w:t>
      </w:r>
      <w:r>
        <w:t xml:space="preserve">(Table 7).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7"/>
    <w:bookmarkEnd w:id="108"/>
    <w:bookmarkEnd w:id="109"/>
    <w:bookmarkStart w:id="123"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12" w:name="sec:disc-bridge"/>
    <w:p>
      <w:pPr>
        <w:pStyle w:val="Heading2"/>
      </w:pPr>
      <w:r>
        <w:t xml:space="preserve">Scope of the claims</w:t>
      </w:r>
    </w:p>
    <w:p>
      <w:pPr>
        <w:pStyle w:val="FirstParagraph"/>
      </w:pPr>
      <w:bookmarkStart w:id="110" w:name="sec:disc-deficiency"/>
      <w:bookmarkEnd w:id="110"/>
      <w:bookmarkStart w:id="111" w:name="sec:disc-certificate"/>
      <w:bookmarkEnd w:id="111"/>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6).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12"/>
    <w:bookmarkStart w:id="113"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7).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0.86</m:t>
        </m:r>
      </m:oMath>
      <w:r>
        <w:t xml:space="preserve">) on Sonnet, GPT-5.5 and Kimi. This is a verified empirical falsification of superset-dominance for</w:t>
      </w:r>
      <w:r>
        <w:t xml:space="preserve"> </w:t>
      </w:r>
      <w:r>
        <w:t xml:space="preserve">these fixed rules (Theorem 3): a literal 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End w:id="113"/>
    <w:bookmarkStart w:id="114"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 On the two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93</m:t>
        </m:r>
        <m:r>
          <m:rPr>
            <m:sty m:val="p"/>
          </m:rPr>
          <m:t>%</m:t>
        </m:r>
      </m:oMath>
      <w:r>
        <w:t xml:space="preserve"> </w:t>
      </w:r>
      <w:r>
        <w:t xml:space="preserve">and</w:t>
      </w:r>
      <w:r>
        <w:t xml:space="preserve"> </w:t>
      </w:r>
      <m:oMath>
        <m:r>
          <m:rPr>
            <m:sty m:val="p"/>
          </m:rPr>
          <m:t>+</m:t>
        </m:r>
        <m:r>
          <m:t>520</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115</m:t>
        </m:r>
        <m:r>
          <m:rPr>
            <m:sty m:val="p"/>
          </m:rPr>
          <m:t>%</m:t>
        </m:r>
        <m:r>
          <m:rPr>
            <m:sty m:val="p"/>
          </m:rPr>
          <m:t>/</m:t>
        </m:r>
        <m:r>
          <m:rPr>
            <m:sty m:val="p"/>
          </m:rPr>
          <m:t>+</m:t>
        </m:r>
        <m:r>
          <m:t>163</m:t>
        </m:r>
        <m:r>
          <m:rPr>
            <m:sty m:val="p"/>
          </m:rPr>
          <m:t>%</m:t>
        </m:r>
      </m:oMath>
      <w:r>
        <w:t xml:space="preserve">; Sonnet</w:t>
      </w:r>
      <w:r>
        <w:t xml:space="preserve"> </w:t>
      </w:r>
      <m:oMath>
        <m:r>
          <m:rPr>
            <m:sty m:val="p"/>
          </m:rPr>
          <m:t>+</m:t>
        </m:r>
        <m:r>
          <m:t>520</m:t>
        </m:r>
        <m:r>
          <m:rPr>
            <m:sty m:val="p"/>
          </m:rPr>
          <m:t>%</m:t>
        </m:r>
        <m:r>
          <m:rPr>
            <m:sty m:val="p"/>
          </m:rPr>
          <m:t>/</m:t>
        </m:r>
        <m:r>
          <m:rPr>
            <m:sty m:val="p"/>
          </m:rPr>
          <m:t>+</m:t>
        </m:r>
        <m:r>
          <m:t>473</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the re-measured Opus</w:t>
      </w:r>
      <w:r>
        <w:t xml:space="preserve"> </w:t>
      </w:r>
      <m:oMath>
        <m:sSub>
          <m:e>
            <m:r>
              <m:t>W</m:t>
            </m:r>
          </m:e>
          <m:sub>
            <m:r>
              <m:t>1</m:t>
            </m:r>
            <m:r>
              <m:rPr>
                <m:sty m:val="p"/>
              </m:rPr>
              <m:t>+</m:t>
            </m:r>
          </m:sub>
        </m:sSub>
      </m:oMath>
      <w:r>
        <w:t xml:space="preserve"> </w:t>
      </w:r>
      <w:r>
        <w:t xml:space="preserve">arm carries no token record). One might read this</w:t>
      </w:r>
      <w:r>
        <w:t xml:space="preserve"> </w:t>
      </w:r>
      <w:r>
        <w:t xml:space="preserve">as</w:t>
      </w:r>
      <w:r>
        <w:t xml:space="preserve"> </w:t>
      </w:r>
      <w:r>
        <w:t xml:space="preserve">“verbose thrashing”</w:t>
      </w:r>
      <w:r>
        <w:t xml:space="preserve"> </w:t>
      </w:r>
      <w:r>
        <w:t xml:space="preserve">causing the failure, but the relationship is correlational and</w:t>
      </w:r>
      <w:r>
        <w:t xml:space="preserve"> </w:t>
      </w:r>
      <w:r>
        <w:t xml:space="preserve">uncontrolled: on the</w:t>
      </w:r>
      <w:r>
        <w:t xml:space="preserve"> </w:t>
      </w:r>
      <w:r>
        <w:rPr>
          <w:i/>
          <w:iCs/>
        </w:rPr>
        <w:t xml:space="preserve">still-passing</w:t>
      </w:r>
      <w:r>
        <w:t xml:space="preserve"> </w:t>
      </w:r>
      <w:r>
        <w:t xml:space="preserve">encoding cell the same 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114</m:t>
        </m:r>
        <m:r>
          <m:rPr>
            <m:sty m:val="p"/>
          </m:rPr>
          <m:t>%</m:t>
        </m:r>
      </m:oMath>
      <w:r>
        <w:t xml:space="preserve"> </w:t>
      </w:r>
      <w:r>
        <w:t xml:space="preserve">across the same models, with no consistent direction, which 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One qualification governs this whole subsection. Re-measuring the verified cells with raw</w:t>
      </w:r>
      <w:r>
        <w:t xml:space="preserve"> </w:t>
      </w:r>
      <w:r>
        <w:t xml:space="preserve">completions retained (§7.5.2) confirms the convention-misbinding account on nine of</w:t>
      </w:r>
      <w:r>
        <w:t xml:space="preserve"> </w:t>
      </w:r>
      <w:r>
        <w:t xml:space="preserve">eleven cells by direct inspection of the failing code, but not on Sonnet’s two, where the model</w:t>
      </w:r>
      <w:r>
        <w:t xml:space="preserve"> </w:t>
      </w:r>
      <w:r>
        <w:t xml:space="preserve">instead declines the superset prompt as a suspected injection. The mechanism discussion below</w:t>
      </w:r>
      <w:r>
        <w:t xml:space="preserve"> </w:t>
      </w:r>
      <w:r>
        <w:t xml:space="preserve">therefore describes nine cells, not all eleven.</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not token count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true and needed</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14"/>
    <w:bookmarkStart w:id="122"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5"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15"/>
    <w:bookmarkStart w:id="116"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at the margin</w:t>
      </w:r>
      <w:r>
        <w:t xml:space="preserve"> </w:t>
      </w:r>
      <w:r>
        <w:t xml:space="preserve">(</w:t>
      </w:r>
      <m:oMath>
        <m:sSub>
          <m:e>
            <m:bar>
              <m:barPr>
                <m:pos m:val="top"/>
              </m:barPr>
              <m:e>
                <m:r>
                  <m:rPr>
                    <m:sty m:val="p"/>
                  </m:rPr>
                  <m:t>Δ</m:t>
                </m:r>
              </m:e>
            </m:bar>
          </m:e>
          <m:sub>
            <m:r>
              <m:t>T</m:t>
            </m:r>
          </m:sub>
        </m:sSub>
        <m:r>
          <m:rPr>
            <m:sty m:val="p"/>
          </m:rPr>
          <m:t>=</m:t>
        </m:r>
        <m:r>
          <m:rPr>
            <m:sty m:val="p"/>
          </m:rPr>
          <m:t>−</m:t>
        </m:r>
        <m:r>
          <m:t>0.33</m:t>
        </m:r>
      </m:oMath>
      <w:r>
        <w:t xml:space="preserve"> </w:t>
      </w:r>
      <w:r>
        <w:t xml:space="preserve">at</w:t>
      </w:r>
      <w:r>
        <w:t xml:space="preserve"> </w:t>
      </w:r>
      <m:oMath>
        <m:r>
          <m:t>n</m:t>
        </m:r>
        <m:r>
          <m:rPr>
            <m:sty m:val="p"/>
          </m:rPr>
          <m:t>=</m:t>
        </m:r>
        <m:r>
          <m:t>80</m:t>
        </m:r>
      </m:oMath>
      <w:r>
        <w:t xml:space="preserv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6"/>
    <w:bookmarkStart w:id="117"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7"/>
    <w:bookmarkStart w:id="118"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18"/>
    <w:bookmarkStart w:id="119"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19"/>
    <w:bookmarkStart w:id="120"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marginal-versus-joint control is discussed</w:t>
      </w:r>
      <w:r>
        <w:t xml:space="preserve"> </w:t>
      </w:r>
      <w:r>
        <w:t xml:space="preserve">in §8.1.</w:t>
      </w:r>
    </w:p>
    <w:bookmarkEnd w:id="120"/>
    <w:bookmarkStart w:id="121"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21"/>
    <w:bookmarkEnd w:id="122"/>
    <w:bookmarkEnd w:id="123"/>
    <w:bookmarkStart w:id="124" w:name="sec:conclusion"/>
    <w:p>
      <w:pPr>
        <w:pStyle w:val="Heading1"/>
      </w:pPr>
      <w:r>
        <w:t xml:space="preserve">Conclusion</w:t>
      </w:r>
    </w:p>
    <w:p>
      <w:pPr>
        <w:pStyle w:val="FirstParagraph"/>
      </w:pPr>
      <w:r>
        <w:t xml:space="preserve">Bringing Blackwell and Le Cam to inference-time context is not ours to claim: concurrent work</w:t>
      </w:r>
      <w:r>
        <w:t xml:space="preserve"> </w:t>
      </w:r>
      <w:r>
        <w:t xml:space="preserve">reached the same apparatus from the admission side (§2.3). What we add</w:t>
      </w:r>
      <w:r>
        <w:t xml:space="preserve"> </w:t>
      </w:r>
      <w:r>
        <w:t xml:space="preserve">follows from taking</w:t>
      </w:r>
      <w:r>
        <w:t xml:space="preserve"> </w:t>
      </w:r>
      <w:r>
        <w:rPr>
          <w:i/>
          <w:iCs/>
        </w:rPr>
        <w:t xml:space="preserve">incomparability</w:t>
      </w:r>
      <w:r>
        <w:t xml:space="preserve">, not deficiency-minimization, as the object.</w:t>
      </w:r>
    </w:p>
    <w:p>
      <w:pPr>
        <w:pStyle w:val="BodyText"/>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4"/>
    <w:bookmarkStart w:id="125" w:name="author-contributions"/>
    <w:p>
      <w:pPr>
        <w:pStyle w:val="Heading1"/>
      </w:pPr>
      <w:r>
        <w:t xml:space="preserve">Author Contributions</w:t>
      </w:r>
    </w:p>
    <w:p>
      <w:pPr>
        <w:pStyle w:val="FirstParagraph"/>
      </w:pPr>
      <w:r>
        <w:t xml:space="preserve">Conceptualization, A.B. and V.L.; methodology, A.B. and P.P.; software, A.B.; validation, A.B.,</w:t>
      </w:r>
      <w:r>
        <w:t xml:space="preserve"> </w:t>
      </w:r>
      <w:r>
        <w:t xml:space="preserve">V.L. and Z.R.; formal analysis, A.B. and P.P.; investigation, A.B.; data curation, A.B.;</w:t>
      </w:r>
      <w:r>
        <w:t xml:space="preserve"> </w:t>
      </w:r>
      <w:r>
        <w:t xml:space="preserve">writing—original draft preparation, A.B.; writing—review and editing, A.B., P.P., V.L. and</w:t>
      </w:r>
      <w:r>
        <w:t xml:space="preserve"> </w:t>
      </w:r>
      <w:r>
        <w:t xml:space="preserve">Z.R.; visualization, A.B. and Z.R.; supervision, V.L. and P.P.; project administration, V.L. All</w:t>
      </w:r>
      <w:r>
        <w:t xml:space="preserve"> </w:t>
      </w:r>
      <w:r>
        <w:t xml:space="preserve">authors have read and agreed to the published version of the manuscript.</w:t>
      </w:r>
    </w:p>
    <w:bookmarkEnd w:id="125"/>
    <w:bookmarkStart w:id="126"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26"/>
    <w:bookmarkStart w:id="127"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27"/>
    <w:bookmarkStart w:id="128" w:name="informed-consent-statement"/>
    <w:p>
      <w:pPr>
        <w:pStyle w:val="Heading1"/>
      </w:pPr>
      <w:r>
        <w:t xml:space="preserve">Informed Consent Statement</w:t>
      </w:r>
    </w:p>
    <w:p>
      <w:pPr>
        <w:pStyle w:val="FirstParagraph"/>
      </w:pPr>
      <w:r>
        <w:t xml:space="preserve">Not applicable.</w:t>
      </w:r>
    </w:p>
    <w:bookmarkEnd w:id="128"/>
    <w:bookmarkStart w:id="129" w:name="data-availability-statement"/>
    <w:p>
      <w:pPr>
        <w:pStyle w:val="Heading1"/>
      </w:pPr>
      <w:r>
        <w:t xml:space="preserve">Data Availability Statement</w:t>
      </w:r>
    </w:p>
    <w:p>
      <w:pPr>
        <w:pStyle w:val="FirstParagraph"/>
      </w:pPr>
      <w:r>
        <w:t xml:space="preserve">All data and code supporting the reported results are openly available at</w:t>
      </w:r>
      <w:r>
        <w:t xml:space="preserve"> </w:t>
      </w:r>
      <w:hyperlink r:id="rId74">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and the raw-completion diagnostic records of</w:t>
      </w:r>
      <w:r>
        <w:t xml:space="preserve"> </w:t>
      </w:r>
      <w:r>
        <w:t xml:space="preserve">§7.5.1. No data were withheld; every reported figure is computed from those</w:t>
      </w:r>
      <w:r>
        <w:t xml:space="preserve"> </w:t>
      </w:r>
      <w:r>
        <w:t xml:space="preserve">files by the released scripts.</w:t>
      </w:r>
    </w:p>
    <w:bookmarkEnd w:id="129"/>
    <w:bookmarkStart w:id="130" w:name="conflicts-of-interest"/>
    <w:p>
      <w:pPr>
        <w:pStyle w:val="Heading1"/>
      </w:pPr>
      <w:r>
        <w:t xml:space="preserve">Conflicts of Interest</w:t>
      </w:r>
    </w:p>
    <w:p>
      <w:pPr>
        <w:pStyle w:val="FirstParagraph"/>
      </w:pPr>
      <w:r>
        <w:t xml:space="preserve">The authors declare no conflict of interest.</w:t>
      </w:r>
    </w:p>
    <w:bookmarkEnd w:id="130"/>
    <w:bookmarkStart w:id="131"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31"/>
    <w:bookmarkStart w:id="143" w:name="app:proofs"/>
    <w:p>
      <w:pPr>
        <w:pStyle w:val="Heading1"/>
      </w:pPr>
      <w:r>
        <w:t xml:space="preserve">Deferred proofs and technical material</w:t>
      </w:r>
    </w:p>
    <w:bookmarkStart w:id="132"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32"/>
    <w:bookmarkStart w:id="133"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By the</w:t>
      </w:r>
      <w:r>
        <w:t xml:space="preserve"> </w:t>
      </w:r>
      <w:r>
        <w:t xml:space="preserve">sufficiency hypothesis,</w:t>
      </w:r>
      <w:r>
        <w:t xml:space="preserve"> </w:t>
      </w:r>
      <m:oMath>
        <m:sSub>
          <m:e>
            <m:r>
              <m:t>T</m:t>
            </m:r>
          </m:e>
          <m:sub>
            <m:r>
              <m:t>a</m:t>
            </m:r>
          </m:sub>
        </m:sSub>
      </m:oMath>
      <w:r>
        <w:t xml:space="preserve">’s verifier is determined by its decisive coordinate, which lies in</w:t>
      </w:r>
      <w:r>
        <w:t xml:space="preserve"> </w:t>
      </w:r>
      <m:oMath>
        <m:sSub>
          <m:e>
            <m:r>
              <m:t>A</m:t>
            </m:r>
          </m:e>
          <m:sub>
            <m:r>
              <m:t>1</m:t>
            </m:r>
          </m:sub>
        </m:sSub>
        <m:r>
          <m:rPr>
            <m:sty m:val="p"/>
          </m:rPr>
          <m:t>\</m:t>
        </m:r>
        <m:sSub>
          <m:e>
            <m:r>
              <m:t>A</m:t>
            </m:r>
          </m:e>
          <m:sub>
            <m:r>
              <m:t>2</m:t>
            </m:r>
          </m:sub>
        </m:sSub>
      </m:oMath>
      <w:r>
        <w:t xml:space="preserve"> </w:t>
      </w:r>
      <w:r>
        <w:t xml:space="preserve">and is revealed exactly by</w:t>
      </w:r>
      <w:r>
        <w:t xml:space="preserve"> </w:t>
      </w:r>
      <m:oMath>
        <m:sSub>
          <m:e>
            <m:r>
              <m:t>W</m:t>
            </m:r>
          </m:e>
          <m:sub>
            <m:r>
              <m:t>1</m:t>
            </m:r>
          </m:sub>
        </m:sSub>
      </m:oMath>
      <w:r>
        <w:t xml:space="preserve"> </w:t>
      </w:r>
      <w:r>
        <w:t xml:space="preserve">(Definition 3); the rule</w:t>
      </w:r>
      <w:r>
        <w:t xml:space="preserve"> </w:t>
      </w:r>
      <w:r>
        <w:t xml:space="preserve">that reads that coordinate off and answers accordingly attains</w:t>
      </w:r>
      <w:r>
        <w:t xml:space="preserve"> </w:t>
      </w:r>
      <m:oMath>
        <m:sSub>
          <m:e>
            <m:r>
              <m:t>v</m:t>
            </m:r>
          </m:e>
          <m:sub>
            <m:sSub>
              <m:e>
                <m:r>
                  <m:t>T</m:t>
                </m:r>
              </m:e>
              <m:sub>
                <m:r>
                  <m:t>a</m:t>
                </m:r>
              </m:sub>
            </m:sSub>
          </m:sub>
        </m:sSub>
        <m:r>
          <m:rPr>
            <m:sty m:val="p"/>
          </m:rPr>
          <m:t>=</m:t>
        </m:r>
        <m:r>
          <m:t>1</m:t>
        </m:r>
      </m:oMath>
      <w:r>
        <w:t xml:space="preserve"> </w:t>
      </w:r>
      <w:r>
        <w:t xml:space="preserve">at</w:t>
      </w:r>
      <w:r>
        <w:t xml:space="preserve"> </w:t>
      </w:r>
      <m:oMath>
        <m:sSub>
          <m:e>
            <m:r>
              <m:t>μ</m:t>
            </m:r>
          </m:e>
          <m:sub>
            <m:sSub>
              <m:e>
                <m:r>
                  <m:t>T</m:t>
                </m:r>
              </m:e>
              <m:sub>
                <m:r>
                  <m:t>a</m:t>
                </m:r>
              </m:sub>
            </m:sSub>
          </m:sub>
        </m:sSub>
      </m:oMath>
      <w:r>
        <w:t xml:space="preserve">-almost</w:t>
      </w:r>
      <w:r>
        <w:t xml:space="preserve"> </w:t>
      </w:r>
      <w:r>
        <w:t xml:space="preserve">every state, so</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r>
          <m:t>1</m:t>
        </m:r>
      </m:oMath>
      <w:r>
        <w:t xml:space="preserve">. By hypothesis</w:t>
      </w:r>
      <w:r>
        <w:t xml:space="preserve"> </w:t>
      </w:r>
      <m:oMath>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r>
          <m:rPr>
            <m:sty m:val="p"/>
          </m:rPr>
          <m:t>&lt;</m:t>
        </m:r>
        <m:r>
          <m:t>1</m:t>
        </m:r>
      </m:oMath>
      <w:r>
        <w:t xml:space="preserve">, hence</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a contradiction. Therefore</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symmetrically</w:t>
      </w:r>
      <w:r>
        <w:t xml:space="preserve"> </w:t>
      </w:r>
      <m:oMath>
        <m:sSub>
          <m:e>
            <m:r>
              <m:t>g</m:t>
            </m:r>
          </m:e>
          <m:sub>
            <m:r>
              <m:t>b</m:t>
            </m:r>
          </m:sub>
        </m:sSub>
        <m:r>
          <m:rPr>
            <m:sty m:val="p"/>
          </m:rPr>
          <m:t>&lt;</m:t>
        </m:r>
        <m:r>
          <m:t>1</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so</w:t>
      </w:r>
      <w:r>
        <w:t xml:space="preserve"> </w:t>
      </w:r>
      <m:oMath>
        <m:sSub>
          <m:e>
            <m:r>
              <m:t>W</m:t>
            </m:r>
          </m:e>
          <m:sub>
            <m:r>
              <m:t>1</m:t>
            </m:r>
          </m:sub>
        </m:sSub>
        <m:r>
          <m:rPr>
            <m:sty m:val="p"/>
          </m:rPr>
          <m:t>,</m:t>
        </m:r>
        <m:sSub>
          <m:e>
            <m:r>
              <m:t>W</m:t>
            </m:r>
          </m:e>
          <m:sub>
            <m:r>
              <m:t>2</m:t>
            </m:r>
          </m:sub>
        </m:sSub>
      </m:oMath>
      <w:r>
        <w:t xml:space="preserve"> </w:t>
      </w:r>
      <w:r>
        <w:t xml:space="preserve">are Blackwell-incomparable.</w:t>
      </w:r>
    </w:p>
    <w:p>
      <w:pPr>
        <w:pStyle w:val="BodyText"/>
      </w:pPr>
      <w:r>
        <w:t xml:space="preserve">Two things this argument does</w:t>
      </w:r>
      <w:r>
        <w:t xml:space="preserve"> </w:t>
      </w:r>
      <w:r>
        <w:rPr>
          <w:i/>
          <w:iCs/>
        </w:rPr>
        <w:t xml:space="preserve">not</w:t>
      </w:r>
      <w:r>
        <w:t xml:space="preserve"> </w:t>
      </w:r>
      <w:r>
        <w:t xml:space="preserve">use are worth stating, because the natural shorter proof</w:t>
      </w:r>
      <w:r>
        <w:t xml:space="preserve"> </w:t>
      </w:r>
      <w:r>
        <w:t xml:space="preserve">uses both and is wrong. It never asserts</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oMath>
      <w:r>
        <w:t xml:space="preserve">: the left side is</w:t>
      </w:r>
      <w:r>
        <w:t xml:space="preserve"> </w:t>
      </w:r>
      <w:r>
        <w:t xml:space="preserve">a Bayes value under</w:t>
      </w:r>
      <w:r>
        <w:t xml:space="preserve"> </w:t>
      </w:r>
      <m:oMath>
        <m:sSub>
          <m:e>
            <m:r>
              <m:t>μ</m:t>
            </m:r>
          </m:e>
          <m:sub>
            <m:sSub>
              <m:e>
                <m:r>
                  <m:t>T</m:t>
                </m:r>
              </m:e>
              <m:sub>
                <m:r>
                  <m:t>a</m:t>
                </m:r>
              </m:sub>
            </m:sSub>
          </m:sub>
        </m:sSub>
      </m:oMath>
      <w:r>
        <w:t xml:space="preserve">, the right a pass rate at the single realized convention, and</w:t>
      </w:r>
      <w:r>
        <w:t xml:space="preserve"> </w:t>
      </w:r>
      <w:r>
        <w:t xml:space="preserve">optimality relates</w:t>
      </w:r>
      <w:r>
        <w:t xml:space="preserve"> </w:t>
      </w:r>
      <m:oMath>
        <m:sSup>
          <m:e>
            <m:r>
              <m:t>V</m:t>
            </m:r>
          </m:e>
          <m:sup>
            <m:r>
              <m:rPr>
                <m:sty m:val="p"/>
              </m:rPr>
              <m:t>⋆</m:t>
            </m:r>
          </m:sup>
        </m:sSup>
      </m:oMath>
      <w:r>
        <w:t xml:space="preserve"> </w:t>
      </w:r>
      <w:r>
        <w:t xml:space="preserve">only to the</w:t>
      </w:r>
      <w:r>
        <w:t xml:space="preserve"> </w:t>
      </w:r>
      <m:oMath>
        <m:sSub>
          <m:e>
            <m:r>
              <m:t>μ</m:t>
            </m:r>
          </m:e>
          <m:sub>
            <m:sSub>
              <m:e>
                <m:r>
                  <m:t>T</m:t>
                </m:r>
              </m:e>
              <m:sub>
                <m:r>
                  <m:t>a</m:t>
                </m:r>
              </m:sub>
            </m:sSub>
          </m:sub>
        </m:sSub>
      </m:oMath>
      <w:r>
        <w:t xml:space="preserve">-averaged</w:t>
      </w:r>
      <w:r>
        <w:t xml:space="preserve"> </w:t>
      </w:r>
      <m:oMath>
        <m:sSub>
          <m:e>
            <m:bar>
              <m:barPr>
                <m:pos m:val="top"/>
              </m:barPr>
              <m:e>
                <m:r>
                  <m:rPr>
                    <m:sty m:val="p"/>
                  </m:rPr>
                  <m:t>P</m:t>
                </m:r>
                <m:r>
                  <m:rPr>
                    <m:sty m:val="p"/>
                  </m:rPr>
                  <m:t>A</m:t>
                </m:r>
                <m:r>
                  <m:rPr>
                    <m:sty m:val="p"/>
                  </m:rPr>
                  <m:t>S</m:t>
                </m:r>
                <m:r>
                  <m:rPr>
                    <m:sty m:val="p"/>
                  </m:rPr>
                  <m:t>S</m:t>
                </m:r>
              </m:e>
            </m:bar>
          </m:e>
          <m:sub>
            <m:r>
              <m:t>M</m:t>
            </m:r>
          </m:sub>
        </m:sSub>
      </m:oMath>
      <w:r>
        <w:t xml:space="preserve"> </w:t>
      </w:r>
      <w:r>
        <w:t xml:space="preserve">(Remark 1). And it never treats the measured crossover as the hypothesis: the</w:t>
      </w:r>
      <w:r>
        <w:t xml:space="preserve"> </w:t>
      </w:r>
      <w:r>
        <w:t xml:space="preserve">crossover is the observable signature of</w:t>
      </w:r>
      <w:r>
        <w:t xml:space="preserve"> </w:t>
      </w:r>
      <m:oMath>
        <m:sSub>
          <m:e>
            <m:r>
              <m:t>g</m:t>
            </m:r>
          </m:e>
          <m:sub>
            <m:r>
              <m:t>a</m:t>
            </m:r>
          </m:sub>
        </m:sSub>
        <m:r>
          <m:rPr>
            <m:sty m:val="p"/>
          </m:rPr>
          <m:t>,</m:t>
        </m:r>
        <m:sSub>
          <m:e>
            <m:r>
              <m:t>g</m:t>
            </m:r>
          </m:e>
          <m:sub>
            <m:r>
              <m:t>b</m:t>
            </m:r>
          </m:sub>
        </m:sSub>
        <m:r>
          <m:rPr>
            <m:sty m:val="p"/>
          </m:rPr>
          <m:t>&lt;</m:t>
        </m:r>
        <m:r>
          <m:t>1</m:t>
        </m:r>
      </m:oMath>
      <w:r>
        <w:t xml:space="preserve">, not a substitute for it. The caps remain</w:t>
      </w:r>
      <w:r>
        <w:t xml:space="preserve"> </w:t>
      </w:r>
      <w:r>
        <w:t xml:space="preserve">essential in the converse direction: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w:t>
      </w:r>
      <w:r>
        <w:t xml:space="preserve"> </w:t>
      </w:r>
      <w:r>
        <w:t xml:space="preserve">Blackwell</w:t>
      </w:r>
      <w:r>
        <w:t xml:space="preserve"> </w:t>
      </w:r>
      <w:r>
        <w:rPr>
          <w:i/>
          <w:iCs/>
        </w:rPr>
        <w:t xml:space="preserve">equivalence</w:t>
      </w:r>
      <w:r>
        <w:t xml:space="preserve">, since a fixed rule keyed to one signal’s surface form can</w:t>
      </w:r>
      <w:r>
        <w:t xml:space="preserve"> </w:t>
      </w:r>
      <w:r>
        <w:t xml:space="preserve">under-perform on the other, exactly the non-coherence phenomenon Theorem 3</w:t>
      </w:r>
      <w:r>
        <w:t xml:space="preserve"> </w:t>
      </w:r>
      <w:r>
        <w:t xml:space="preserve">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3"/>
    <w:bookmarkStart w:id="134" w:name="proof-of-theorem-2"/>
    <w:p>
      <w:pPr>
        <w:pStyle w:val="Heading2"/>
      </w:pPr>
      <w:r>
        <w:t xml:space="preserve">Proof of Theorem 2</w:t>
      </w:r>
    </w:p>
    <w:p>
      <w:pPr>
        <w:pStyle w:val="FirstParagraph"/>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End w:id="134"/>
    <w:bookmarkStart w:id="135" w:name="proof-of-proposition-2"/>
    <w:p>
      <w:pPr>
        <w:pStyle w:val="Heading2"/>
      </w:pPr>
      <w:r>
        <w:t xml:space="preserve">Proof of Proposition 2</w:t>
      </w:r>
    </w:p>
    <w:p>
      <w:pPr>
        <w:pStyle w:val="FirstParagraph"/>
      </w:pPr>
      <w:r>
        <w:rPr>
          <w:i/>
          <w:iCs/>
        </w:rPr>
        <w:t xml:space="preserve">Proof.</w:t>
      </w:r>
      <w:r>
        <w:t xml:space="preserve"> </w:t>
      </w:r>
      <w:r>
        <w:t xml:space="preserve">For (a),</w:t>
      </w:r>
      <w:r>
        <w:t xml:space="preserve"> </w:t>
      </w:r>
      <m:oMath>
        <m:r>
          <m:t>φ</m:t>
        </m:r>
        <m:r>
          <m:rPr>
            <m:sty m:val="p"/>
          </m:rPr>
          <m:t>=</m:t>
        </m:r>
        <m:r>
          <m:t>g</m:t>
        </m:r>
        <m:r>
          <m:rPr>
            <m:sty m:val="p"/>
          </m:rPr>
          <m:t>∘</m:t>
        </m:r>
        <m:r>
          <m:t>ψ</m:t>
        </m:r>
      </m:oMath>
      <w:r>
        <w:t xml:space="preserve"> </w:t>
      </w:r>
      <w:r>
        <w:t xml:space="preserve">and</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t xml:space="preserve"> </w:t>
      </w:r>
      <w:r>
        <w:t xml:space="preserve">force equal scores, while</w:t>
      </w:r>
      <w:r>
        <w:t xml:space="preserve"> </w:t>
      </w:r>
      <w:r>
        <w:t xml:space="preserve">faithfulness on</w:t>
      </w:r>
      <w:r>
        <w:t xml:space="preserve"> </w:t>
      </w:r>
      <m:oMath>
        <m:sSub>
          <m:e>
            <m:r>
              <m:t>T</m:t>
            </m:r>
          </m:e>
          <m:sub>
            <m:r>
              <m:t>c</m:t>
            </m:r>
          </m:sub>
        </m:sSub>
      </m:oMath>
      <w:r>
        <w:t xml:space="preserve"> </w:t>
      </w:r>
      <w:r>
        <w:t xml:space="preserve">would require a strict gap. For (b),</w:t>
      </w:r>
      <w: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t xml:space="preserve"> </w:t>
      </w:r>
      <w:r>
        <w:t xml:space="preserve">with</w:t>
      </w:r>
      <w:r>
        <w:t xml:space="preserve"> </w:t>
      </w:r>
      <m:oMath>
        <m:r>
          <m:t>g</m:t>
        </m:r>
      </m:oMath>
      <w:r>
        <w:t xml:space="preserve"> </w:t>
      </w:r>
      <w:r>
        <w:t xml:space="preserve">strictly increasing gives</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w:t>
      </w:r>
      <w:r>
        <w:t xml:space="preserve"> </w:t>
      </w:r>
      <w:r>
        <w:t xml:space="preserve">while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the two orders</w:t>
      </w:r>
      <w:r>
        <w:t xml:space="preserve"> </w:t>
      </w:r>
      <w:r>
        <w:t xml:space="preserve">disagree. The hypotheses are incompatible by construction: under (a)’s feature equality the overlap</w:t>
      </w:r>
      <w:r>
        <w:t xml:space="preserve"> </w:t>
      </w:r>
      <w:r>
        <w:t xml:space="preserve">feature is equal too, so a score monotone in overlap returns a tie rather than (b)’s strict</w:t>
      </w:r>
      <w:r>
        <w:t xml:space="preserve"> </w:t>
      </w:r>
      <w:r>
        <w:t xml:space="preserve">inversion. Part (b) makes</w:t>
      </w:r>
      <w:r>
        <w:t xml:space="preserve"> </w:t>
      </w:r>
      <w:r>
        <w:t xml:space="preserve">explicit the two things the informal reading of</w:t>
      </w:r>
      <w:r>
        <w:t xml:space="preserve"> </w:t>
      </w:r>
      <w:r>
        <w:t xml:space="preserve">“saturated lexicon”</w:t>
      </w:r>
      <w:r>
        <w:t xml:space="preserve"> </w:t>
      </w:r>
      <w:r>
        <w:t xml:space="preserve">presumes, strict monotonicity</w:t>
      </w:r>
      <w:r>
        <w:t xml:space="preserve"> </w:t>
      </w:r>
      <w:r>
        <w:t xml:space="preserve">and overlap being the only feature read, without which no strict inequality follows. ◻</w:t>
      </w:r>
    </w:p>
    <w:bookmarkEnd w:id="135"/>
    <w:bookmarkStart w:id="136"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36"/>
    <w:bookmarkStart w:id="137"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7"/>
    <w:bookmarkStart w:id="138" w:name="proof-of-proposition-4"/>
    <w:p>
      <w:pPr>
        <w:pStyle w:val="Heading2"/>
      </w:pPr>
      <w:r>
        <w:t xml:space="preserve">Proof of Proposition 4</w:t>
      </w:r>
    </w:p>
    <w:p>
      <w:pPr>
        <w:pStyle w:val="FirstParagraph"/>
      </w:pPr>
      <w:r>
        <w:rPr>
          <w:i/>
          <w:iCs/>
        </w:rPr>
        <w:t xml:space="preserve">Proof.</w:t>
      </w:r>
      <w:r>
        <w:t xml:space="preserve"> </w:t>
      </w:r>
      <w:r>
        <w:t xml:space="preserve">Only two quantities enter</w:t>
      </w:r>
      <w:r>
        <w:t xml:space="preserve"> </w:t>
      </w:r>
      <m:oMath>
        <m:sSub>
          <m:e>
            <m:bar>
              <m:barPr>
                <m:pos m:val="top"/>
              </m:barPr>
              <m:e>
                <m:r>
                  <m:rPr>
                    <m:sty m:val="p"/>
                  </m:rPr>
                  <m:t>Δ</m:t>
                </m:r>
              </m:e>
            </m:bar>
          </m:e>
          <m:sub>
            <m:sSup>
              <m:e>
                <m:r>
                  <m:t>T</m:t>
                </m:r>
              </m:e>
              <m:sup>
                <m:r>
                  <m:rPr>
                    <m:sty m:val="p"/>
                  </m:rPr>
                  <m:t>⋆</m:t>
                </m:r>
              </m:sup>
            </m:sSup>
          </m:sub>
        </m:sSub>
      </m:oMath>
      <w:r>
        <w:t xml:space="preserve">: an upper endpoint on</w:t>
      </w:r>
      <w:r>
        <w:t xml:space="preserve"> </w:t>
      </w:r>
      <m:oMath>
        <m:sSub>
          <m:e>
            <m:r>
              <m:t>p</m:t>
            </m:r>
          </m:e>
          <m:sub>
            <m:sSub>
              <m:e>
                <m:r>
                  <m:t>W</m:t>
                </m:r>
              </m:e>
              <m:sub>
                <m:r>
                  <m:t>1</m:t>
                </m:r>
                <m:r>
                  <m:rPr>
                    <m:sty m:val="p"/>
                  </m:rPr>
                  <m:t>+</m:t>
                </m:r>
              </m:sub>
            </m:sSub>
            <m:r>
              <m:rPr>
                <m:sty m:val="p"/>
              </m:rPr>
              <m:t>,</m:t>
            </m:r>
            <m:sSup>
              <m:e>
                <m:r>
                  <m:t>T</m:t>
                </m:r>
              </m:e>
              <m:sup>
                <m:r>
                  <m:rPr>
                    <m:sty m:val="p"/>
                  </m:rPr>
                  <m:t>⋆</m:t>
                </m:r>
              </m:sup>
            </m:sSup>
          </m:sub>
        </m:sSub>
      </m:oMath>
      <w:r>
        <w:t xml:space="preserve"> </w:t>
      </w:r>
      <w:r>
        <w:t xml:space="preserve">and a lower endpoint on</w:t>
      </w:r>
      <w:r>
        <w:t xml:space="preserve"> </w:t>
      </w:r>
      <m:oMath>
        <m:sSub>
          <m:e>
            <m:r>
              <m:t>p</m:t>
            </m:r>
          </m:e>
          <m:sub>
            <m:sSub>
              <m:e>
                <m:r>
                  <m:t>W</m:t>
                </m:r>
              </m:e>
              <m:sub>
                <m:r>
                  <m:t>1</m:t>
                </m:r>
              </m:sub>
            </m:sSub>
            <m:r>
              <m:rPr>
                <m:sty m:val="p"/>
              </m:rPr>
              <m:t>,</m:t>
            </m:r>
            <m:sSup>
              <m:e>
                <m:r>
                  <m:t>T</m:t>
                </m:r>
              </m:e>
              <m:sup>
                <m:r>
                  <m:rPr>
                    <m:sty m:val="p"/>
                  </m:rPr>
                  <m:t>⋆</m:t>
                </m:r>
              </m:sup>
            </m:sSup>
          </m:sub>
        </m:sSub>
      </m:oMath>
      <w:r>
        <w:t xml:space="preserve">. The two arms are independent Bernoulli samples</w:t>
      </w:r>
      <w:r>
        <w:t xml:space="preserve"> </w:t>
      </w:r>
      <w:r>
        <w:t xml:space="preserve">(separate completions). Let</w:t>
      </w:r>
      <w:r>
        <w:t xml:space="preserve"> </w:t>
      </w:r>
      <m:oMath>
        <m:sSub>
          <m:e>
            <m:r>
              <m:t>E</m:t>
            </m:r>
          </m:e>
          <m:sub>
            <m:r>
              <m:rPr>
                <m:sty m:val="p"/>
              </m:rPr>
              <m:t>+</m:t>
            </m:r>
          </m:sub>
        </m:sSub>
      </m:oMath>
      <w:r>
        <w:t xml:space="preserve"> </w:t>
      </w:r>
      <w:r>
        <w:t xml:space="preserve">be the event</w:t>
      </w:r>
      <w:r>
        <w:t xml:space="preserve"> </w:t>
      </w:r>
      <m:oMath>
        <m:sSub>
          <m:e>
            <m:r>
              <m:t>p</m:t>
            </m:r>
          </m:e>
          <m:sub>
            <m:sSub>
              <m:e>
                <m:r>
                  <m:t>W</m:t>
                </m:r>
              </m:e>
              <m:sub>
                <m:r>
                  <m:t>1</m:t>
                </m:r>
                <m:r>
                  <m:rPr>
                    <m:sty m:val="p"/>
                  </m:rPr>
                  <m:t>+</m:t>
                </m:r>
              </m:sub>
            </m:sSub>
            <m:r>
              <m:rPr>
                <m:sty m:val="p"/>
              </m:rPr>
              <m:t>,</m:t>
            </m:r>
            <m:sSup>
              <m:e>
                <m:r>
                  <m:t>T</m:t>
                </m:r>
              </m:e>
              <m:sup>
                <m:r>
                  <m:rPr>
                    <m:sty m:val="p"/>
                  </m:rPr>
                  <m:t>⋆</m:t>
                </m:r>
              </m:sup>
            </m:sSup>
          </m:sub>
        </m:sSub>
        <m:r>
          <m:rPr>
            <m:sty m:val="p"/>
          </m:rPr>
          <m:t>≤</m:t>
        </m:r>
        <m:sSub>
          <m:e>
            <m:r>
              <m:t>U</m:t>
            </m:r>
          </m:e>
          <m:sub>
            <m:sSub>
              <m:e>
                <m:r>
                  <m:t>W</m:t>
                </m:r>
              </m:e>
              <m:sub>
                <m:r>
                  <m:t>1</m:t>
                </m:r>
                <m:r>
                  <m:rPr>
                    <m:sty m:val="p"/>
                  </m:rPr>
                  <m:t>+</m:t>
                </m:r>
              </m:sub>
            </m:sSub>
            <m:r>
              <m:rPr>
                <m:sty m:val="p"/>
              </m:rPr>
              <m:t>,</m:t>
            </m:r>
            <m:sSup>
              <m:e>
                <m:r>
                  <m:t>T</m:t>
                </m:r>
              </m:e>
              <m:sup>
                <m:r>
                  <m:rPr>
                    <m:sty m:val="p"/>
                  </m:rPr>
                  <m:t>⋆</m:t>
                </m:r>
              </m:sup>
            </m:sSup>
          </m:sub>
        </m:sSub>
      </m:oMath>
      <w:r>
        <w:t xml:space="preserve"> </w:t>
      </w:r>
      <w:r>
        <w:t xml:space="preserve">and</w:t>
      </w:r>
      <w:r>
        <w:t xml:space="preserve"> </w:t>
      </w:r>
      <m:oMath>
        <m:sSub>
          <m:e>
            <m:r>
              <m:t>E</m:t>
            </m:r>
          </m:e>
          <m:sub>
            <m:r>
              <m:rPr>
                <m:sty m:val="p"/>
              </m:rPr>
              <m:t>−</m:t>
            </m:r>
          </m:sub>
        </m:sSub>
      </m:oMath>
      <w:r>
        <w:t xml:space="preserve"> </w:t>
      </w:r>
      <w:r>
        <w:t xml:space="preserve">the event</w:t>
      </w:r>
      <w:r>
        <w:t xml:space="preserve"> </w:t>
      </w:r>
      <m:oMath>
        <m:sSub>
          <m:e>
            <m:r>
              <m:t>p</m:t>
            </m:r>
          </m:e>
          <m:sub>
            <m:sSub>
              <m:e>
                <m:r>
                  <m:t>W</m:t>
                </m:r>
              </m:e>
              <m:sub>
                <m:r>
                  <m:t>1</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oMath>
      <w:r>
        <w:t xml:space="preserve">. By the exact one-sided coverage of</w:t>
      </w:r>
      <w:r>
        <w:t xml:space="preserve"> </w:t>
      </w:r>
      <w:r>
        <w:t xml:space="preserve">Clopper–Pearson at noncoverage</w:t>
      </w:r>
      <w:r>
        <w:t xml:space="preserve"> </w:t>
      </w:r>
      <m:oMath>
        <m:r>
          <m:t>α</m:t>
        </m:r>
        <m:r>
          <m:rPr>
            <m:sty m:val="p"/>
          </m:rPr>
          <m:t>=</m:t>
        </m:r>
        <m:r>
          <m:t>η</m:t>
        </m:r>
        <m:r>
          <m:rPr>
            <m:sty m:val="p"/>
          </m:rPr>
          <m:t>/</m:t>
        </m:r>
        <m:r>
          <m:t>2</m:t>
        </m:r>
      </m:oMath>
      <w:r>
        <w:t xml:space="preserve"> </w:t>
      </w:r>
      <w:r>
        <w:t xml:space="preserve">per endpoint,</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w:t>
      </w:r>
      <w:r>
        <w:t xml:space="preserve">and</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so by the union bound</w:t>
      </w:r>
      <w:r>
        <w:t xml:space="preserve"> </w:t>
      </w:r>
      <m:oMath>
        <m:r>
          <m:rPr>
            <m:sty m:val="p"/>
          </m:rPr>
          <m:t>Pr</m:t>
        </m:r>
        <m:r>
          <m:rPr>
            <m:sty m:val="p"/>
          </m:rPr>
          <m:t>[</m:t>
        </m:r>
        <m:sSub>
          <m:e>
            <m:r>
              <m:t>E</m:t>
            </m:r>
          </m:e>
          <m:sub>
            <m:r>
              <m:rPr>
                <m:sty m:val="p"/>
              </m:rPr>
              <m:t>+</m:t>
            </m:r>
          </m:sub>
        </m:sSub>
        <m:r>
          <m:rPr>
            <m:sty m:val="p"/>
          </m:rPr>
          <m:t>∩</m:t>
        </m:r>
        <m:sSub>
          <m:e>
            <m:r>
              <m:t>E</m:t>
            </m:r>
          </m:e>
          <m:sub>
            <m:r>
              <m:rPr>
                <m:sty m:val="p"/>
              </m:rPr>
              <m:t>−</m:t>
            </m:r>
          </m:sub>
        </m:sSub>
        <m:r>
          <m:rPr>
            <m:sty m:val="p"/>
          </m:rPr>
          <m:t>]</m:t>
        </m:r>
        <m:r>
          <m:rPr>
            <m:sty m:val="p"/>
          </m:rPr>
          <m:t>≥</m:t>
        </m:r>
        <m:r>
          <m:t>1</m:t>
        </m:r>
        <m:r>
          <m:rPr>
            <m:sty m:val="p"/>
          </m:rPr>
          <m:t>−</m:t>
        </m:r>
        <m:r>
          <m:t>η</m:t>
        </m:r>
      </m:oMath>
      <w:r>
        <w:t xml:space="preserve">. On that event</w:t>
      </w:r>
    </w:p>
    <w:p>
      <w:pPr>
        <w:pStyle w:val="BodyText"/>
      </w:pPr>
      <m:oMathPara>
        <m:oMathParaPr>
          <m:jc m:val="center"/>
        </m:oMathParaPr>
        <m:oMath>
          <m:sSub>
            <m:e>
              <m:r>
                <m:rPr>
                  <m:sty m:val="p"/>
                </m:rPr>
                <m:t>Δ</m:t>
              </m:r>
            </m:e>
            <m:sub>
              <m:sSup>
                <m:e>
                  <m:r>
                    <m:t>T</m:t>
                  </m:r>
                </m:e>
                <m:sup>
                  <m:r>
                    <m:rPr>
                      <m:sty m:val="p"/>
                    </m:rPr>
                    <m:t>⋆</m:t>
                  </m:r>
                </m:sup>
              </m:sSup>
            </m:sub>
          </m:sSub>
          <m:r>
            <m:t> </m:t>
          </m:r>
          <m:r>
            <m:rPr>
              <m:sty m:val="p"/>
            </m:rPr>
            <m:t>=</m:t>
          </m:r>
          <m:r>
            <m:t> </m:t>
          </m:r>
          <m:sSub>
            <m:e>
              <m:r>
                <m:t>p</m:t>
              </m:r>
            </m:e>
            <m:sub>
              <m:sSub>
                <m:e>
                  <m:r>
                    <m:t>W</m:t>
                  </m:r>
                </m:e>
                <m:sub>
                  <m:r>
                    <m:t>1</m:t>
                  </m:r>
                  <m:r>
                    <m:rPr>
                      <m:sty m:val="p"/>
                    </m:rPr>
                    <m:t>+</m:t>
                  </m:r>
                </m:sub>
              </m:sSub>
              <m:r>
                <m:rPr>
                  <m:sty m:val="p"/>
                </m:rPr>
                <m:t>,</m:t>
              </m:r>
              <m:sSup>
                <m:e>
                  <m:r>
                    <m:t>T</m:t>
                  </m:r>
                </m:e>
                <m:sup>
                  <m:r>
                    <m:rPr>
                      <m:sty m:val="p"/>
                    </m:rPr>
                    <m:t>⋆</m:t>
                  </m:r>
                </m:sup>
              </m:sSup>
            </m:sub>
          </m:sSub>
          <m:r>
            <m:rPr>
              <m:sty m:val="p"/>
            </m:rPr>
            <m:t>−</m:t>
          </m:r>
          <m:sSub>
            <m:e>
              <m:r>
                <m:t>p</m:t>
              </m:r>
            </m:e>
            <m:sub>
              <m:sSub>
                <m:e>
                  <m:r>
                    <m:t>W</m:t>
                  </m:r>
                </m:e>
                <m:sub>
                  <m:r>
                    <m:t>1</m:t>
                  </m:r>
                </m:sub>
              </m:sSub>
              <m:r>
                <m:rPr>
                  <m:sty m:val="p"/>
                </m:rPr>
                <m:t>,</m:t>
              </m:r>
              <m:sSup>
                <m:e>
                  <m:r>
                    <m:t>T</m:t>
                  </m:r>
                </m:e>
                <m:sup>
                  <m:r>
                    <m:rPr>
                      <m:sty m:val="p"/>
                    </m:rPr>
                    <m:t>⋆</m:t>
                  </m:r>
                </m:sup>
              </m:sSup>
            </m:sub>
          </m:sSub>
          <m:r>
            <m:t> </m:t>
          </m:r>
          <m:r>
            <m:rPr>
              <m:sty m:val="p"/>
            </m:rPr>
            <m:t>≤</m:t>
          </m:r>
          <m:r>
            <m:t> </m:t>
          </m:r>
          <m:sSub>
            <m:e>
              <m:r>
                <m:t>U</m:t>
              </m:r>
            </m:e>
            <m:sub>
              <m:sSub>
                <m:e>
                  <m:r>
                    <m:t>W</m:t>
                  </m:r>
                </m:e>
                <m:sub>
                  <m:r>
                    <m:t>1</m:t>
                  </m:r>
                  <m:r>
                    <m:rPr>
                      <m:sty m:val="p"/>
                    </m:rPr>
                    <m:t>+</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r>
            <m:t> </m:t>
          </m:r>
          <m:r>
            <m:rPr>
              <m:sty m:val="p"/>
            </m:rPr>
            <m:t>=</m:t>
          </m:r>
          <m:r>
            <m:t> </m:t>
          </m:r>
          <m:sSub>
            <m:e>
              <m:bar>
                <m:barPr>
                  <m:pos m:val="top"/>
                </m:barPr>
                <m:e>
                  <m:r>
                    <m:rPr>
                      <m:sty m:val="p"/>
                    </m:rPr>
                    <m:t>Δ</m:t>
                  </m:r>
                </m:e>
              </m:bar>
            </m:e>
            <m:sub>
              <m:sSup>
                <m:e>
                  <m:r>
                    <m:t>T</m:t>
                  </m:r>
                </m:e>
                <m:sup>
                  <m:r>
                    <m:rPr>
                      <m:sty m:val="p"/>
                    </m:rPr>
                    <m:t>⋆</m:t>
                  </m:r>
                </m:sup>
              </m:sSup>
            </m:sub>
          </m:sSub>
          <m:r>
            <m:rPr>
              <m:sty m:val="p"/>
            </m:rPr>
            <m:t>,</m:t>
          </m:r>
        </m:oMath>
      </m:oMathPara>
    </w:p>
    <w:p>
      <w:pPr>
        <w:pStyle w:val="FirstParagraph"/>
      </w:pPr>
      <w:r>
        <w:t xml:space="preserve">which is the claim; if</w:t>
      </w:r>
      <w: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t xml:space="preserve"> </w:t>
      </w:r>
      <w:r>
        <w:t xml:space="preserve">then</w:t>
      </w:r>
      <w:r>
        <w:t xml:space="preserve"> </w:t>
      </w:r>
      <m:oMath>
        <m:sSub>
          <m:e>
            <m:r>
              <m:rPr>
                <m:sty m:val="p"/>
              </m:rPr>
              <m:t>Δ</m:t>
            </m:r>
          </m:e>
          <m:sub>
            <m:sSup>
              <m:e>
                <m:r>
                  <m:t>T</m:t>
                </m:r>
              </m:e>
              <m:sup>
                <m:r>
                  <m:rPr>
                    <m:sty m:val="p"/>
                  </m:rPr>
                  <m:t>⋆</m:t>
                </m:r>
              </m:sup>
            </m:sSup>
          </m:sub>
        </m:sSub>
        <m:r>
          <m:rPr>
            <m:sty m:val="p"/>
          </m:rPr>
          <m:t>≤</m:t>
        </m:r>
        <m:r>
          <m:rPr>
            <m:sty m:val="p"/>
          </m:rPr>
          <m:t>−</m:t>
        </m:r>
        <m:r>
          <m:t>τ</m:t>
        </m:r>
      </m:oMath>
      <w:r>
        <w:t xml:space="preserve"> </w:t>
      </w:r>
      <w:r>
        <w:t xml:space="preserve">at</w:t>
      </w:r>
      <w:r>
        <w:t xml:space="preserve"> </w:t>
      </w:r>
      <w:r>
        <w:t xml:space="preserve">confidence</w:t>
      </w:r>
      <w:r>
        <w:t xml:space="preserve"> </w:t>
      </w:r>
      <m:oMath>
        <m:r>
          <m:rPr>
            <m:sty m:val="p"/>
          </m:rPr>
          <m:t>≥</m:t>
        </m:r>
        <m:r>
          <m:t>1</m:t>
        </m:r>
        <m:r>
          <m:rPr>
            <m:sty m:val="p"/>
          </m:rPr>
          <m:t>−</m:t>
        </m:r>
        <m:r>
          <m:t>η</m:t>
        </m:r>
      </m:oMath>
      <w:r>
        <w:t xml:space="preserve">. Note that the budget is spent on exactly the two endpoints used: a</w:t>
      </w:r>
      <w:r>
        <w:t xml:space="preserve"> </w:t>
      </w:r>
      <w:r>
        <w:t xml:space="preserve">two-sided interval at level</w:t>
      </w:r>
      <w:r>
        <w:t xml:space="preserve"> </w:t>
      </w:r>
      <m:oMath>
        <m:r>
          <m:t>η</m:t>
        </m:r>
        <m:r>
          <m:rPr>
            <m:sty m:val="p"/>
          </m:rPr>
          <m:t>/</m:t>
        </m:r>
        <m:r>
          <m:t>2</m:t>
        </m:r>
      </m:oMath>
      <w:r>
        <w:t xml:space="preserve"> </w:t>
      </w:r>
      <w:r>
        <w:t xml:space="preserve">would place</w:t>
      </w:r>
      <w:r>
        <w:t xml:space="preserve"> </w:t>
      </w:r>
      <m:oMath>
        <m:r>
          <m:t>η</m:t>
        </m:r>
        <m:r>
          <m:rPr>
            <m:sty m:val="p"/>
          </m:rPr>
          <m:t>/</m:t>
        </m:r>
        <m:r>
          <m:t>4</m:t>
        </m:r>
      </m:oMath>
      <w:r>
        <w:t xml:space="preserve"> </w:t>
      </w:r>
      <w:r>
        <w:t xml:space="preserve">in each tail, leave two endpoints</w:t>
      </w:r>
      <w:r>
        <w:t xml:space="preserve"> </w:t>
      </w:r>
      <w:r>
        <w:t xml:space="preserve">unused, and deliver</w:t>
      </w:r>
      <w:r>
        <w:t xml:space="preserve"> </w:t>
      </w:r>
      <m:oMath>
        <m:r>
          <m:t>1</m:t>
        </m:r>
        <m:r>
          <m:rPr>
            <m:sty m:val="p"/>
          </m:rPr>
          <m:t>−</m:t>
        </m:r>
        <m:r>
          <m:t>η</m:t>
        </m:r>
        <m:r>
          <m:rPr>
            <m:sty m:val="p"/>
          </m:rPr>
          <m:t>/</m:t>
        </m:r>
        <m:r>
          <m:t>2</m:t>
        </m:r>
      </m:oMath>
      <w:r>
        <w:t xml:space="preserve"> </w:t>
      </w:r>
      <w:r>
        <w:t xml:space="preserve">while widening the bound, which is why the allocation is stated</w:t>
      </w:r>
      <w:r>
        <w:t xml:space="preserve"> </w:t>
      </w:r>
      <w:r>
        <w:t xml:space="preserve">per endpoint rather than per interval. For a post-hoc selected cell, replacing</w:t>
      </w:r>
      <w:r>
        <w:t xml:space="preserve"> </w:t>
      </w:r>
      <m:oMath>
        <m:r>
          <m:t>α</m:t>
        </m:r>
      </m:oMath>
      <w:r>
        <w:t xml:space="preserve"> </w:t>
      </w:r>
      <w:r>
        <w:t xml:space="preserve">by</w:t>
      </w:r>
      <w:r>
        <w:t xml:space="preserve"> </w:t>
      </w:r>
      <m:oMath>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2</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8"/>
    <w:bookmarkStart w:id="139"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By Theorem 1 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9"/>
    <w:bookmarkStart w:id="141" w:name="relation-to-llm-evaluation-statistics"/>
    <w:p>
      <w:pPr>
        <w:pStyle w:val="Heading2"/>
      </w:pPr>
      <w:r>
        <w:t xml:space="preserve">Relation to LLM-evaluation statistics</w:t>
      </w:r>
    </w:p>
    <w:bookmarkStart w:id="140" w:name="rem:evalstats"/>
    <w:p>
      <w:pPr>
        <w:pStyle w:val="FirstParagraph"/>
      </w:pPr>
      <w:r>
        <w:rPr>
          <w:i/>
          <w:iCs/>
        </w:rPr>
        <w:t xml:space="preserve">Remark 8</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40"/>
    <w:bookmarkEnd w:id="141"/>
    <w:bookmarkStart w:id="142"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w:t>
      </w:r>
      <w:r>
        <w:t xml:space="preserve"> </w:t>
      </w:r>
      <w:r>
        <w:t xml:space="preserve">a one-sided bound that clears</w:t>
      </w:r>
      <w:r>
        <w:t xml:space="preserve"> </w:t>
      </w:r>
      <m:oMath>
        <m:r>
          <m:t>0</m:t>
        </m:r>
      </m:oMath>
      <w:r>
        <w:t xml:space="preserve"> </w:t>
      </w:r>
      <w:r>
        <w:t xml:space="preserve">even at small</w:t>
      </w:r>
      <w:r>
        <w:t xml:space="preserve"> </w:t>
      </w:r>
      <m:oMath>
        <m:r>
          <m:t>n</m:t>
        </m:r>
      </m:oMath>
      <w:r>
        <w:t xml:space="preserve">, and the incomparability verification</w:t>
      </w:r>
      <w:r>
        <w:t xml:space="preserve"> </w:t>
      </w:r>
      <w:r>
        <w:t xml:space="preserve">(6)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(8)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42"/>
    <w:bookmarkEnd w:id="143"/>
    <w:bookmarkStart w:id="150" w:name="app:record"/>
    <w:p>
      <w:pPr>
        <w:pStyle w:val="Heading1"/>
      </w:pPr>
      <w:r>
        <w:t xml:space="preserve">Extended experimental record</w:t>
      </w:r>
    </w:p>
    <w:bookmarkStart w:id="144"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44"/>
    <w:bookmarkStart w:id="149"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5"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0.33</m:t>
        </m:r>
      </m:oMath>
      <w:r>
        <w:t xml:space="preserve">, which</w:t>
      </w:r>
      <w:r>
        <w:t xml:space="preserve"> </w:t>
      </w:r>
      <w:r>
        <w:t xml:space="preserve">clears the pre-registered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w:t>
      </w:r>
      <w:r>
        <w:t xml:space="preserve"> </w:t>
      </w:r>
      <w:r>
        <w:t xml:space="preserve">(</w:t>
      </w:r>
      <m:oMath>
        <m:r>
          <m:t>80</m:t>
        </m:r>
        <m:r>
          <m:rPr>
            <m:sty m:val="p"/>
          </m:rPr>
          <m:t>%</m:t>
        </m:r>
      </m:oMath>
      <w:r>
        <w:t xml:space="preserve">, versus pair-1’s</w:t>
      </w:r>
      <w:r>
        <w:t xml:space="preserve"> </w:t>
      </w:r>
      <m:oMath>
        <m:r>
          <m:rPr>
            <m:sty m:val="p"/>
          </m:rPr>
          <m:t>∼</m:t>
        </m:r>
        <m:r>
          <m:t>100</m:t>
        </m:r>
        <m:r>
          <m:rPr>
            <m:sty m:val="p"/>
          </m:rPr>
          <m:t>%</m:t>
        </m:r>
      </m:oMath>
      <w:r>
        <w:t xml:space="preserve">), so the margin is met with little to spare; at</w:t>
      </w:r>
      <w:r>
        <w:t xml:space="preserve"> </w:t>
      </w:r>
      <m:oMath>
        <m:r>
          <m:t>n</m:t>
        </m:r>
        <m:r>
          <m:rPr>
            <m:sty m:val="p"/>
          </m:rPr>
          <m:t>=</m:t>
        </m:r>
        <m:r>
          <m:t>40</m:t>
        </m:r>
      </m:oMath>
      <w:r>
        <w:t xml:space="preserve"> </w:t>
      </w:r>
      <w:r>
        <w:t xml:space="preserve">the</w:t>
      </w:r>
      <w:r>
        <w:t xml:space="preserve"> </w:t>
      </w:r>
      <w:r>
        <w:t xml:space="preserve">same collapse gives</w:t>
      </w:r>
      <w:r>
        <w:t xml:space="preserve"> </w:t>
      </w:r>
      <m:oMath>
        <m:r>
          <m:rPr>
            <m:sty m:val="p"/>
          </m:rPr>
          <m:t>−</m:t>
        </m:r>
        <m:r>
          <m:t>0.21</m:t>
        </m:r>
      </m:oMath>
      <w:r>
        <w:t xml:space="preserve"> </w:t>
      </w:r>
      <w:r>
        <w:t xml:space="preserve">and does not clear, which is why the cell was re-run at</w:t>
      </w:r>
      <w:r>
        <w:t xml:space="preserve"> </w:t>
      </w:r>
      <m:oMath>
        <m:r>
          <m:t>n</m:t>
        </m:r>
        <m:r>
          <m:rPr>
            <m:sty m:val="p"/>
          </m:rPr>
          <m:t>=</m:t>
        </m:r>
        <m:r>
          <m:t>80</m:t>
        </m:r>
      </m:oMath>
      <w:r>
        <w:t xml:space="preserv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5"/>
    <w:bookmarkStart w:id="146"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0.67</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6"/>
    <w:bookmarkStart w:id="147"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7"/>
    <w:bookmarkStart w:id="148" w:name="Xbb3bf0e6ff780408889ccfec61f731a5b2072ac"/>
    <w:p>
      <w:pPr>
        <w:pStyle w:val="Heading4"/>
      </w:pPr>
      <w:r>
        <w:t xml:space="preserve">A structured-context ablation: labeled XML segmentation mitigates only weakly.</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w:t>
      </w:r>
      <w:r>
        <w:t xml:space="preserve"> </w:t>
      </w:r>
      <w:r>
        <w:t xml:space="preserve">dominated signal, is consistent with the operative variable being convention-to-task routing</w:t>
      </w:r>
      <w:r>
        <w:t xml:space="preserve"> </w:t>
      </w:r>
      <w:r>
        <w:t xml:space="preserve">rather than segmentation alone; as in §8.3 this localization is an</w:t>
      </w:r>
      <w:r>
        <w:t xml:space="preserve"> </w:t>
      </w:r>
      <w:r>
        <w:t xml:space="preserve">interpretation of the behavioural contrasts, not a verified claim, and it rests on one model at</w:t>
      </w:r>
      <w:r>
        <w:t xml:space="preserve"> </w:t>
      </w:r>
      <m:oMath>
        <m:r>
          <m:t>n</m:t>
        </m:r>
        <m:r>
          <m:rPr>
            <m:sty m:val="p"/>
          </m:rPr>
          <m:t>=</m:t>
        </m:r>
        <m:r>
          <m:t>40</m:t>
        </m:r>
      </m:oMath>
      <w:r>
        <w:t xml:space="preserve"> </w:t>
      </w:r>
      <w:r>
        <w:t xml:space="preserve">with the structure arm scored in a separate run.</w:t>
      </w:r>
    </w:p>
    <w:bookmarkEnd w:id="148"/>
    <w:bookmarkEnd w:id="149"/>
    <w:bookmarkEnd w:id="150"/>
    <w:bookmarkStart w:id="292"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4">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51"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51"/>
    <w:bookmarkStart w:id="152"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could not be re-measured at revision time: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on an unknown number of draws and the Azure quota was unavailable, so its reported</w:t>
      </w:r>
      <w:r>
        <w:t xml:space="preserve"> </w:t>
      </w:r>
      <m:oMath>
        <m:r>
          <m:t>0</m:t>
        </m:r>
        <m:r>
          <m:rPr>
            <m:sty m:val="p"/>
          </m:rPr>
          <m:t>/</m:t>
        </m:r>
        <m:r>
          <m:t>40</m:t>
        </m:r>
      </m:oMath>
      <w:r>
        <w:t xml:space="preserve"> </w:t>
      </w:r>
      <w:r>
        <w:t xml:space="preserve">still contains outage-scored draws. It is an expected-zero cell (the arm lacks the decisive fact, and it is</w:t>
      </w:r>
      <w:r>
        <w:t xml:space="preserve"> </w:t>
      </w:r>
      <m:oMath>
        <m:r>
          <m:t>0</m:t>
        </m:r>
        <m:r>
          <m:rPr>
            <m:sty m:val="p"/>
          </m:rPr>
          <m:t>%</m:t>
        </m:r>
      </m:oMath>
      <w:r>
        <w:t xml:space="preserve"> </w:t>
      </w:r>
      <w:r>
        <w:t xml:space="preserve">on all five other</w:t>
      </w:r>
      <w:r>
        <w:t xml:space="preserve"> </w:t>
      </w:r>
      <w:r>
        <w:t xml:space="preserve">models) and lies on no binding bound, but for that one cell the reported</w:t>
      </w:r>
      <w:r>
        <w:t xml:space="preserve"> </w:t>
      </w:r>
      <m:oMath>
        <m:r>
          <m:t>n</m:t>
        </m:r>
      </m:oMath>
      <w:r>
        <w:t xml:space="preserve"> </w:t>
      </w:r>
      <w:r>
        <w:t xml:space="preserve">is an upper bound on</w:t>
      </w:r>
      <w:r>
        <w:t xml:space="preserve"> </w:t>
      </w:r>
      <w:r>
        <w:t xml:space="preserve">the number of real draws. Because a coverage family should contain only cells that are valid</w:t>
      </w:r>
      <w:r>
        <w:t xml:space="preserve"> </w:t>
      </w:r>
      <w:r>
        <w:t xml:space="preserve">binomial samples, we also report GPT-5.5’s certificate over the admissible three-cell set that</w:t>
      </w:r>
      <w:r>
        <w:t xml:space="preserve"> </w:t>
      </w:r>
      <w:r>
        <w:t xml:space="preserve">omits the trap: both directions then read</w:t>
      </w:r>
      <w:r>
        <w:t xml:space="preserve"> </w:t>
      </w:r>
      <m:oMath>
        <m:r>
          <m:rPr>
            <m:sty m:val="p"/>
          </m:rPr>
          <m:t>+</m:t>
        </m:r>
        <m:r>
          <m:t>0.774</m:t>
        </m:r>
      </m:oMath>
      <w:r>
        <w:t xml:space="preserve">, slightly</w:t>
      </w:r>
      <w:r>
        <w:t xml:space="preserve"> </w:t>
      </w:r>
      <w:r>
        <w:rPr>
          <w:i/>
          <w:iCs/>
        </w:rPr>
        <w:t xml:space="preserve">stronger</w:t>
      </w:r>
      <w:r>
        <w:t xml:space="preserve"> </w:t>
      </w:r>
      <w:r>
        <w:t xml:space="preserve">than the four-cell</w:t>
      </w:r>
      <w:r>
        <w:t xml:space="preserve"> </w:t>
      </w:r>
      <m:oMath>
        <m:r>
          <m:rPr>
            <m:sty m:val="p"/>
          </m:rPr>
          <m:t>+</m:t>
        </m:r>
        <m:r>
          <m:t>0.762</m:t>
        </m:r>
      </m:oMath>
      <w:r>
        <w:t xml:space="preserve">, since dropping a cell widens the per-interval level from</w:t>
      </w:r>
      <w:r>
        <w:t xml:space="preserve"> </w:t>
      </w:r>
      <m:oMath>
        <m:r>
          <m:t>η</m:t>
        </m:r>
        <m:r>
          <m:rPr>
            <m:sty m:val="p"/>
          </m:rPr>
          <m:t>/</m:t>
        </m:r>
        <m:r>
          <m:t>8</m:t>
        </m:r>
      </m:oMath>
      <w:r>
        <w:t xml:space="preserve"> </w:t>
      </w:r>
      <w:r>
        <w:t xml:space="preserve">to</w:t>
      </w:r>
      <w:r>
        <w:t xml:space="preserve"> </w:t>
      </w:r>
      <m:oMath>
        <m:r>
          <m:t>η</m:t>
        </m:r>
        <m:r>
          <m:rPr>
            <m:sty m:val="p"/>
          </m:rPr>
          <m:t>/</m:t>
        </m:r>
        <m:r>
          <m:t>6</m:t>
        </m:r>
      </m:oMath>
      <w:r>
        <w:t xml:space="preserve">. Excluding</w:t>
      </w:r>
      <w:r>
        <w:t xml:space="preserve"> </w:t>
      </w:r>
      <w:r>
        <w:t xml:space="preserve">the cell therefore repairs the coverage construction without weakening the reported crossing.</w:t>
      </w:r>
    </w:p>
    <w:bookmarkEnd w:id="152"/>
    <w:bookmarkStart w:id="153"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4">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 </w:t>
      </w:r>
      <w:r>
        <w:t xml:space="preserve">and the clean single-cell re-measurements</w:t>
      </w:r>
      <w:r>
        <w:t xml:space="preserve"> </w:t>
      </w:r>
      <w:r>
        <w:rPr>
          <w:rStyle w:val="VerbatimChar"/>
        </w:rPr>
        <w:t xml:space="preserve">blackwell_opus_ss_W2_trap_rerun</w:t>
      </w:r>
      <w:r>
        <w:t xml:space="preserve"> </w:t>
      </w:r>
      <w:r>
        <w:t xml:space="preserve">and</w:t>
      </w:r>
      <w:r>
        <w:t xml:space="preserve"> </w:t>
      </w:r>
      <w:r>
        <w:rPr>
          <w:rStyle w:val="VerbatimChar"/>
        </w:rPr>
        <w:t xml:space="preserve">blackwell_haiku_ss_W1_enc_rerun</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53"/>
    <w:bookmarkStart w:id="291"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Start w:id="290" w:name="refs"/>
    <w:bookmarkStart w:id="155"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4">
        <w:r>
          <w:rPr>
            <w:rStyle w:val="Hyperlink"/>
          </w:rPr>
          <w:t xml:space="preserve">https://arxiv.org/abs/2512.23617</w:t>
        </w:r>
      </w:hyperlink>
      <w:r>
        <w:t xml:space="preserve">.</w:t>
      </w:r>
    </w:p>
    <w:bookmarkEnd w:id="155"/>
    <w:bookmarkStart w:id="157"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6">
        <w:r>
          <w:rPr>
            <w:rStyle w:val="Hyperlink"/>
          </w:rPr>
          <w:t xml:space="preserve">https://doi.org/10.5281/zenodo.20800175</w:t>
        </w:r>
      </w:hyperlink>
      <w:r>
        <w:t xml:space="preserve">.</w:t>
      </w:r>
    </w:p>
    <w:bookmarkEnd w:id="157"/>
    <w:bookmarkStart w:id="159"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8">
        <w:r>
          <w:rPr>
            <w:rStyle w:val="Hyperlink"/>
          </w:rPr>
          <w:t xml:space="preserve">https://doi.org/10.5281/zenodo.20800031</w:t>
        </w:r>
      </w:hyperlink>
      <w:r>
        <w:t xml:space="preserve">.</w:t>
      </w:r>
    </w:p>
    <w:bookmarkEnd w:id="159"/>
    <w:bookmarkStart w:id="161" w:name="ref-alpila2026lmrecall"/>
    <w:p>
      <w:pPr>
        <w:pStyle w:val="Bibliography"/>
      </w:pPr>
      <w:r>
        <w:t xml:space="preserve">Alpila, Pia. 2026c.</w:t>
      </w:r>
      <w:r>
        <w:t xml:space="preserve"> </w:t>
      </w:r>
      <w:r>
        <w:rPr>
          <w:i/>
          <w:iCs/>
        </w:rPr>
        <w:t xml:space="preserve">LM Recall</w:t>
      </w:r>
      <w:r>
        <w:rPr>
          <w:i/>
          <w:iCs/>
        </w:rPr>
        <w:t xml:space="preserve">: Corpus, Experiment Code and Per-Decoder Results</w:t>
      </w:r>
      <w:r>
        <w:t xml:space="preserve">. Zenodo.</w:t>
      </w:r>
      <w:r>
        <w:t xml:space="preserve"> </w:t>
      </w:r>
      <w:hyperlink r:id="rId160">
        <w:r>
          <w:rPr>
            <w:rStyle w:val="Hyperlink"/>
          </w:rPr>
          <w:t xml:space="preserve">https://doi.org/10.5281/zenodo.20800209</w:t>
        </w:r>
      </w:hyperlink>
      <w:r>
        <w:t xml:space="preserve">.</w:t>
      </w:r>
    </w:p>
    <w:bookmarkEnd w:id="161"/>
    <w:bookmarkStart w:id="162"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62"/>
    <w:bookmarkStart w:id="164"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3">
        <w:r>
          <w:rPr>
            <w:rStyle w:val="Hyperlink"/>
          </w:rPr>
          <w:t xml:space="preserve">https://doi.org/10.1214/aoms/1177729032</w:t>
        </w:r>
      </w:hyperlink>
      <w:r>
        <w:t xml:space="preserve">.</w:t>
      </w:r>
    </w:p>
    <w:bookmarkEnd w:id="164"/>
    <w:bookmarkStart w:id="165"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5"/>
    <w:bookmarkStart w:id="167"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6">
        <w:r>
          <w:rPr>
            <w:rStyle w:val="Hyperlink"/>
          </w:rPr>
          <w:t xml:space="preserve">https://arxiv.org/abs/2503.01747</w:t>
        </w:r>
      </w:hyperlink>
      <w:r>
        <w:t xml:space="preserve">.</w:t>
      </w:r>
    </w:p>
    <w:bookmarkEnd w:id="167"/>
    <w:bookmarkStart w:id="169"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68">
        <w:r>
          <w:rPr>
            <w:rStyle w:val="Hyperlink"/>
          </w:rPr>
          <w:t xml:space="preserve">https://arxiv.org/abs/2411.01533</w:t>
        </w:r>
      </w:hyperlink>
      <w:r>
        <w:t xml:space="preserve">.</w:t>
      </w:r>
    </w:p>
    <w:bookmarkEnd w:id="169"/>
    <w:bookmarkStart w:id="171"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70">
        <w:r>
          <w:rPr>
            <w:rStyle w:val="Hyperlink"/>
          </w:rPr>
          <w:t xml:space="preserve">https://doi.org/10.1145/290941.291025</w:t>
        </w:r>
      </w:hyperlink>
      <w:r>
        <w:t xml:space="preserve">.</w:t>
      </w:r>
    </w:p>
    <w:bookmarkEnd w:id="171"/>
    <w:bookmarkStart w:id="173"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2">
        <w:r>
          <w:rPr>
            <w:rStyle w:val="Hyperlink"/>
          </w:rPr>
          <w:t xml:space="preserve">https://arxiv.org/abs/2511.17908</w:t>
        </w:r>
      </w:hyperlink>
      <w:r>
        <w:t xml:space="preserve">.</w:t>
      </w:r>
    </w:p>
    <w:bookmarkEnd w:id="173"/>
    <w:bookmarkStart w:id="175"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4">
        <w:r>
          <w:rPr>
            <w:rStyle w:val="Hyperlink"/>
          </w:rPr>
          <w:t xml:space="preserve">https://arxiv.org/abs/2507.03279</w:t>
        </w:r>
      </w:hyperlink>
      <w:r>
        <w:t xml:space="preserve">.</w:t>
      </w:r>
    </w:p>
    <w:bookmarkEnd w:id="175"/>
    <w:bookmarkStart w:id="177"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6">
        <w:r>
          <w:rPr>
            <w:rStyle w:val="Hyperlink"/>
          </w:rPr>
          <w:t xml:space="preserve">https://arxiv.org/abs/2601.16478</w:t>
        </w:r>
      </w:hyperlink>
      <w:r>
        <w:t xml:space="preserve">.</w:t>
      </w:r>
    </w:p>
    <w:bookmarkEnd w:id="177"/>
    <w:bookmarkStart w:id="179"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78">
        <w:r>
          <w:rPr>
            <w:rStyle w:val="Hyperlink"/>
          </w:rPr>
          <w:t xml:space="preserve">https://arxiv.org/abs/2508.21184</w:t>
        </w:r>
      </w:hyperlink>
      <w:r>
        <w:t xml:space="preserve">.</w:t>
      </w:r>
    </w:p>
    <w:bookmarkEnd w:id="179"/>
    <w:bookmarkStart w:id="181"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80">
        <w:r>
          <w:rPr>
            <w:rStyle w:val="Hyperlink"/>
          </w:rPr>
          <w:t xml:space="preserve">https://doi.org/10.1093/biomet/26.4.404</w:t>
        </w:r>
      </w:hyperlink>
      <w:r>
        <w:t xml:space="preserve">.</w:t>
      </w:r>
    </w:p>
    <w:bookmarkEnd w:id="181"/>
    <w:bookmarkStart w:id="183"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2">
        <w:r>
          <w:rPr>
            <w:rStyle w:val="Hyperlink"/>
          </w:rPr>
          <w:t xml:space="preserve">https://arxiv.org/abs/2401.14887</w:t>
        </w:r>
      </w:hyperlink>
      <w:r>
        <w:t xml:space="preserve">.</w:t>
      </w:r>
    </w:p>
    <w:bookmarkEnd w:id="183"/>
    <w:bookmarkStart w:id="185"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4">
        <w:r>
          <w:rPr>
            <w:rStyle w:val="Hyperlink"/>
          </w:rPr>
          <w:t xml:space="preserve">https://arxiv.org/abs/2503.01478</w:t>
        </w:r>
      </w:hyperlink>
      <w:r>
        <w:t xml:space="preserve">.</w:t>
      </w:r>
    </w:p>
    <w:bookmarkEnd w:id="185"/>
    <w:bookmarkStart w:id="187"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6">
        <w:r>
          <w:rPr>
            <w:rStyle w:val="Hyperlink"/>
          </w:rPr>
          <w:t xml:space="preserve">http://www.vldb.org/pvldb/vol6/p37-dong.pdf</w:t>
        </w:r>
      </w:hyperlink>
      <w:r>
        <w:t xml:space="preserve">.</w:t>
      </w:r>
    </w:p>
    <w:bookmarkEnd w:id="187"/>
    <w:bookmarkStart w:id="189"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88">
        <w:r>
          <w:rPr>
            <w:rStyle w:val="Hyperlink"/>
          </w:rPr>
          <w:t xml:space="preserve">https://arxiv.org/abs/2510.05381</w:t>
        </w:r>
      </w:hyperlink>
      <w:r>
        <w:t xml:space="preserve">.</w:t>
      </w:r>
    </w:p>
    <w:bookmarkEnd w:id="189"/>
    <w:bookmarkStart w:id="191"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90">
        <w:r>
          <w:rPr>
            <w:rStyle w:val="Hyperlink"/>
          </w:rPr>
          <w:t xml:space="preserve">https://doi.org/10.1214/aoms/1177728174</w:t>
        </w:r>
      </w:hyperlink>
      <w:r>
        <w:t xml:space="preserve">.</w:t>
      </w:r>
    </w:p>
    <w:bookmarkEnd w:id="191"/>
    <w:bookmarkStart w:id="192"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2"/>
    <w:bookmarkStart w:id="194"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3">
        <w:r>
          <w:rPr>
            <w:rStyle w:val="Hyperlink"/>
          </w:rPr>
          <w:t xml:space="preserve">https://arxiv.org/abs/2601.11273</w:t>
        </w:r>
      </w:hyperlink>
      <w:r>
        <w:t xml:space="preserve">.</w:t>
      </w:r>
    </w:p>
    <w:bookmarkEnd w:id="194"/>
    <w:bookmarkStart w:id="196"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5">
        <w:r>
          <w:rPr>
            <w:rStyle w:val="Hyperlink"/>
          </w:rPr>
          <w:t xml:space="preserve">https://arxiv.org/abs/2503.05491</w:t>
        </w:r>
      </w:hyperlink>
      <w:r>
        <w:t xml:space="preserve">.</w:t>
      </w:r>
    </w:p>
    <w:bookmarkEnd w:id="196"/>
    <w:bookmarkStart w:id="198"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7">
        <w:r>
          <w:rPr>
            <w:rStyle w:val="Hyperlink"/>
          </w:rPr>
          <w:t xml:space="preserve">https://arxiv.org/abs/2608.26762</w:t>
        </w:r>
      </w:hyperlink>
      <w:r>
        <w:t xml:space="preserve">.</w:t>
      </w:r>
    </w:p>
    <w:bookmarkEnd w:id="198"/>
    <w:bookmarkStart w:id="200"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99">
        <w:r>
          <w:rPr>
            <w:rStyle w:val="Hyperlink"/>
          </w:rPr>
          <w:t xml:space="preserve">https://doi.org/10.1007/s10791-008-9045-0</w:t>
        </w:r>
      </w:hyperlink>
      <w:r>
        <w:t xml:space="preserve">.</w:t>
      </w:r>
    </w:p>
    <w:bookmarkEnd w:id="200"/>
    <w:bookmarkStart w:id="202"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201">
        <w:r>
          <w:rPr>
            <w:rStyle w:val="Hyperlink"/>
          </w:rPr>
          <w:t xml:space="preserve">https://arxiv.org/abs/2410.20247</w:t>
        </w:r>
      </w:hyperlink>
      <w:r>
        <w:t xml:space="preserve">.</w:t>
      </w:r>
    </w:p>
    <w:bookmarkEnd w:id="202"/>
    <w:bookmarkStart w:id="204"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3">
        <w:r>
          <w:rPr>
            <w:rStyle w:val="Hyperlink"/>
          </w:rPr>
          <w:t xml:space="preserve">https://arxiv.org/abs/2606.20047</w:t>
        </w:r>
      </w:hyperlink>
      <w:r>
        <w:t xml:space="preserve">.</w:t>
      </w:r>
    </w:p>
    <w:bookmarkEnd w:id="204"/>
    <w:bookmarkStart w:id="206"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5">
        <w:r>
          <w:rPr>
            <w:rStyle w:val="Hyperlink"/>
          </w:rPr>
          <w:t xml:space="preserve">https://aclanthology.org/2026.findings-acl.583/</w:t>
        </w:r>
      </w:hyperlink>
      <w:r>
        <w:t xml:space="preserve">.</w:t>
      </w:r>
    </w:p>
    <w:bookmarkEnd w:id="206"/>
    <w:bookmarkStart w:id="208"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207">
        <w:r>
          <w:rPr>
            <w:rStyle w:val="Hyperlink"/>
          </w:rPr>
          <w:t xml:space="preserve">https://arxiv.org/abs/2002.08909</w:t>
        </w:r>
      </w:hyperlink>
      <w:r>
        <w:t xml:space="preserve">.</w:t>
      </w:r>
    </w:p>
    <w:bookmarkEnd w:id="208"/>
    <w:bookmarkStart w:id="210" w:name="ref-hagstrom2025druid"/>
    <w:p>
      <w:pPr>
        <w:pStyle w:val="Bibliography"/>
      </w:pPr>
      <w:r>
        <w:t xml:space="preserve">Hagström, Lovisa, Sara Vera Marjanović, Haeun Yu, et al. 2025.</w:t>
      </w:r>
      <w:r>
        <w:t xml:space="preserve"> </w:t>
      </w:r>
      <w:r>
        <w:t xml:space="preserve">“A Reality Check on Context Utilisation for Retrieval-Augmented Generation.”</w:t>
      </w:r>
      <w:r>
        <w:t xml:space="preserve"> </w:t>
      </w:r>
      <w:r>
        <w:rPr>
          <w:i/>
          <w:iCs/>
        </w:rPr>
        <w:t xml:space="preserve">Proceedings of the 63rd Annual Meeting of the Association for Computational Linguistics (ACL)</w:t>
      </w:r>
      <w:r>
        <w:t xml:space="preserve">.</w:t>
      </w:r>
      <w:r>
        <w:t xml:space="preserve"> </w:t>
      </w:r>
      <w:hyperlink r:id="rId209">
        <w:r>
          <w:rPr>
            <w:rStyle w:val="Hyperlink"/>
          </w:rPr>
          <w:t xml:space="preserve">https://arxiv.org/abs/2412.17031</w:t>
        </w:r>
      </w:hyperlink>
      <w:r>
        <w:t xml:space="preserve">.</w:t>
      </w:r>
    </w:p>
    <w:bookmarkEnd w:id="210"/>
    <w:bookmarkStart w:id="212"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Proceedings of the Eighth Fact Extraction and VERification Workshop (FEVER)</w:t>
      </w:r>
      <w:r>
        <w:t xml:space="preserve"> </w:t>
      </w:r>
      <w:r>
        <w:t xml:space="preserve">(Vienna, Austria), 18–33.</w:t>
      </w:r>
      <w:r>
        <w:t xml:space="preserve"> </w:t>
      </w:r>
      <w:hyperlink r:id="rId211">
        <w:r>
          <w:rPr>
            <w:rStyle w:val="Hyperlink"/>
          </w:rPr>
          <w:t xml:space="preserve">https://aclanthology.org/2025.fever-1.2/</w:t>
        </w:r>
      </w:hyperlink>
      <w:r>
        <w:t xml:space="preserve">.</w:t>
      </w:r>
    </w:p>
    <w:bookmarkEnd w:id="212"/>
    <w:bookmarkStart w:id="214"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3">
        <w:r>
          <w:rPr>
            <w:rStyle w:val="Hyperlink"/>
          </w:rPr>
          <w:t xml:space="preserve">https://arxiv.org/abs/2304.04576</w:t>
        </w:r>
      </w:hyperlink>
      <w:r>
        <w:t xml:space="preserve">.</w:t>
      </w:r>
    </w:p>
    <w:bookmarkEnd w:id="214"/>
    <w:bookmarkStart w:id="216"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5">
        <w:r>
          <w:rPr>
            <w:rStyle w:val="Hyperlink"/>
          </w:rPr>
          <w:t xml:space="preserve">https://www.trychroma.com/research/context-rot</w:t>
        </w:r>
      </w:hyperlink>
      <w:r>
        <w:t xml:space="preserve">.</w:t>
      </w:r>
    </w:p>
    <w:bookmarkEnd w:id="216"/>
    <w:bookmarkStart w:id="218"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7">
        <w:r>
          <w:rPr>
            <w:rStyle w:val="Hyperlink"/>
          </w:rPr>
          <w:t xml:space="preserve">https://arxiv.org/abs/2510.00079</w:t>
        </w:r>
      </w:hyperlink>
      <w:r>
        <w:t xml:space="preserve">.</w:t>
      </w:r>
    </w:p>
    <w:bookmarkEnd w:id="218"/>
    <w:bookmarkStart w:id="220"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9">
        <w:r>
          <w:rPr>
            <w:rStyle w:val="Hyperlink"/>
          </w:rPr>
          <w:t xml:space="preserve">https://arxiv.org/abs/2512.06464</w:t>
        </w:r>
      </w:hyperlink>
      <w:r>
        <w:t xml:space="preserve">.</w:t>
      </w:r>
    </w:p>
    <w:bookmarkEnd w:id="220"/>
    <w:bookmarkStart w:id="222"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21">
        <w:r>
          <w:rPr>
            <w:rStyle w:val="Hyperlink"/>
          </w:rPr>
          <w:t xml:space="preserve">https://arxiv.org/abs/2601.05027</w:t>
        </w:r>
      </w:hyperlink>
      <w:r>
        <w:t xml:space="preserve">.</w:t>
      </w:r>
    </w:p>
    <w:bookmarkEnd w:id="222"/>
    <w:bookmarkStart w:id="224"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3">
        <w:r>
          <w:rPr>
            <w:rStyle w:val="Hyperlink"/>
          </w:rPr>
          <w:t xml:space="preserve">https://arxiv.org/abs/2410.05983</w:t>
        </w:r>
      </w:hyperlink>
      <w:r>
        <w:t xml:space="preserve">.</w:t>
      </w:r>
    </w:p>
    <w:bookmarkEnd w:id="224"/>
    <w:bookmarkStart w:id="226"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5">
        <w:r>
          <w:rPr>
            <w:rStyle w:val="Hyperlink"/>
          </w:rPr>
          <w:t xml:space="preserve">https://arxiv.org/abs/2411.06037</w:t>
        </w:r>
      </w:hyperlink>
      <w:r>
        <w:t xml:space="preserve">.</w:t>
      </w:r>
    </w:p>
    <w:bookmarkEnd w:id="226"/>
    <w:bookmarkStart w:id="228"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27">
        <w:r>
          <w:rPr>
            <w:rStyle w:val="Hyperlink"/>
          </w:rPr>
          <w:t xml:space="preserve">https://doi.org/10.1145/3397271.3401075</w:t>
        </w:r>
      </w:hyperlink>
      <w:r>
        <w:t xml:space="preserve">.</w:t>
      </w:r>
    </w:p>
    <w:bookmarkEnd w:id="228"/>
    <w:bookmarkStart w:id="230"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9">
        <w:r>
          <w:rPr>
            <w:rStyle w:val="Hyperlink"/>
          </w:rPr>
          <w:t xml:space="preserve">https://doi.org/10.1214/aoms/1177700372</w:t>
        </w:r>
      </w:hyperlink>
      <w:r>
        <w:t xml:space="preserve">.</w:t>
      </w:r>
    </w:p>
    <w:bookmarkEnd w:id="230"/>
    <w:bookmarkStart w:id="232"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31">
        <w:r>
          <w:rPr>
            <w:rStyle w:val="Hyperlink"/>
          </w:rPr>
          <w:t xml:space="preserve">https://doi.org/10.1007/978-1-4612-4946-7</w:t>
        </w:r>
      </w:hyperlink>
      <w:r>
        <w:t xml:space="preserve">.</w:t>
      </w:r>
    </w:p>
    <w:bookmarkEnd w:id="232"/>
    <w:bookmarkStart w:id="234"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33">
        <w:r>
          <w:rPr>
            <w:rStyle w:val="Hyperlink"/>
          </w:rPr>
          <w:t xml:space="preserve">https://arxiv.org/abs/2504.07104</w:t>
        </w:r>
      </w:hyperlink>
      <w:r>
        <w:t xml:space="preserve">.</w:t>
      </w:r>
    </w:p>
    <w:bookmarkEnd w:id="234"/>
    <w:bookmarkStart w:id="236"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5">
        <w:r>
          <w:rPr>
            <w:rStyle w:val="Hyperlink"/>
          </w:rPr>
          <w:t xml:space="preserve">https://arxiv.org/abs/2503.04388</w:t>
        </w:r>
      </w:hyperlink>
      <w:r>
        <w:t xml:space="preserve">.</w:t>
      </w:r>
    </w:p>
    <w:bookmarkEnd w:id="236"/>
    <w:bookmarkStart w:id="238"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7">
        <w:r>
          <w:rPr>
            <w:rStyle w:val="Hyperlink"/>
          </w:rPr>
          <w:t xml:space="preserve">https://arxiv.org/abs/2605.05716</w:t>
        </w:r>
      </w:hyperlink>
      <w:r>
        <w:t xml:space="preserve">.</w:t>
      </w:r>
    </w:p>
    <w:bookmarkEnd w:id="238"/>
    <w:bookmarkStart w:id="240"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9">
        <w:r>
          <w:rPr>
            <w:rStyle w:val="Hyperlink"/>
          </w:rPr>
          <w:t xml:space="preserve">https://arxiv.org/abs/2307.03172</w:t>
        </w:r>
      </w:hyperlink>
      <w:r>
        <w:t xml:space="preserve">.</w:t>
      </w:r>
    </w:p>
    <w:bookmarkEnd w:id="240"/>
    <w:bookmarkStart w:id="242"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41">
        <w:r>
          <w:rPr>
            <w:rStyle w:val="Hyperlink"/>
          </w:rPr>
          <w:t xml:space="preserve">https://arxiv.org/abs/2411.00640</w:t>
        </w:r>
      </w:hyperlink>
      <w:r>
        <w:t xml:space="preserve">.</w:t>
      </w:r>
    </w:p>
    <w:bookmarkEnd w:id="242"/>
    <w:bookmarkStart w:id="244"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43">
        <w:r>
          <w:rPr>
            <w:rStyle w:val="Hyperlink"/>
          </w:rPr>
          <w:t xml:space="preserve">https://doi.org/10.1007/978-3-032-19099-4_23</w:t>
        </w:r>
      </w:hyperlink>
      <w:r>
        <w:t xml:space="preserve">.</w:t>
      </w:r>
    </w:p>
    <w:bookmarkEnd w:id="244"/>
    <w:bookmarkStart w:id="246"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5">
        <w:r>
          <w:rPr>
            <w:rStyle w:val="Hyperlink"/>
          </w:rPr>
          <w:t xml:space="preserve">https://arxiv.org/abs/2604.06621</w:t>
        </w:r>
      </w:hyperlink>
      <w:r>
        <w:t xml:space="preserve">.</w:t>
      </w:r>
    </w:p>
    <w:bookmarkEnd w:id="246"/>
    <w:bookmarkStart w:id="248"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7">
        <w:r>
          <w:rPr>
            <w:rStyle w:val="Hyperlink"/>
          </w:rPr>
          <w:t xml:space="preserve">https://arxiv.org/abs/2605.03534</w:t>
        </w:r>
      </w:hyperlink>
      <w:r>
        <w:t xml:space="preserve">.</w:t>
      </w:r>
    </w:p>
    <w:bookmarkEnd w:id="248"/>
    <w:bookmarkStart w:id="250"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9">
        <w:r>
          <w:rPr>
            <w:rStyle w:val="Hyperlink"/>
          </w:rPr>
          <w:t xml:space="preserve">https://doi.org/10.1108/eb026647</w:t>
        </w:r>
      </w:hyperlink>
      <w:r>
        <w:t xml:space="preserve">.</w:t>
      </w:r>
    </w:p>
    <w:bookmarkEnd w:id="250"/>
    <w:bookmarkStart w:id="252"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51">
        <w:r>
          <w:rPr>
            <w:rStyle w:val="Hyperlink"/>
          </w:rPr>
          <w:t xml:space="preserve">https://arxiv.org/abs/1402.4884</w:t>
        </w:r>
      </w:hyperlink>
      <w:r>
        <w:t xml:space="preserve">.</w:t>
      </w:r>
    </w:p>
    <w:bookmarkEnd w:id="252"/>
    <w:bookmarkStart w:id="254"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53">
        <w:r>
          <w:rPr>
            <w:rStyle w:val="Hyperlink"/>
          </w:rPr>
          <w:t xml:space="preserve">https://arxiv.org/abs/2302.00093</w:t>
        </w:r>
      </w:hyperlink>
      <w:r>
        <w:t xml:space="preserve">.</w:t>
      </w:r>
    </w:p>
    <w:bookmarkEnd w:id="254"/>
    <w:bookmarkStart w:id="256"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55">
        <w:r>
          <w:rPr>
            <w:rStyle w:val="Hyperlink"/>
          </w:rPr>
          <w:t xml:space="preserve">https://arxiv.org/abs/2301.12652</w:t>
        </w:r>
      </w:hyperlink>
      <w:r>
        <w:t xml:space="preserve">.</w:t>
      </w:r>
    </w:p>
    <w:bookmarkEnd w:id="256"/>
    <w:bookmarkStart w:id="258"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7">
        <w:r>
          <w:rPr>
            <w:rStyle w:val="Hyperlink"/>
          </w:rPr>
          <w:t xml:space="preserve">https://arxiv.org/abs/2304.09542</w:t>
        </w:r>
      </w:hyperlink>
      <w:r>
        <w:t xml:space="preserve">.</w:t>
      </w:r>
    </w:p>
    <w:bookmarkEnd w:id="258"/>
    <w:bookmarkStart w:id="260"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9">
        <w:r>
          <w:rPr>
            <w:rStyle w:val="Hyperlink"/>
          </w:rPr>
          <w:t xml:space="preserve">https://doi.org/10.1017/CBO9780511666353</w:t>
        </w:r>
      </w:hyperlink>
      <w:r>
        <w:t xml:space="preserve">.</w:t>
      </w:r>
    </w:p>
    <w:bookmarkEnd w:id="260"/>
    <w:bookmarkStart w:id="262"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61">
        <w:r>
          <w:rPr>
            <w:rStyle w:val="Hyperlink"/>
          </w:rPr>
          <w:t xml:space="preserve">https://arxiv.org/abs/2402.11750</w:t>
        </w:r>
      </w:hyperlink>
      <w:r>
        <w:t xml:space="preserve">.</w:t>
      </w:r>
    </w:p>
    <w:bookmarkEnd w:id="262"/>
    <w:bookmarkStart w:id="264"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63">
        <w:r>
          <w:rPr>
            <w:rStyle w:val="Hyperlink"/>
          </w:rPr>
          <w:t xml:space="preserve">https://arxiv.org/abs/2602.08294</w:t>
        </w:r>
      </w:hyperlink>
      <w:r>
        <w:t xml:space="preserve">.</w:t>
      </w:r>
    </w:p>
    <w:bookmarkEnd w:id="264"/>
    <w:bookmarkStart w:id="266"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65">
        <w:r>
          <w:rPr>
            <w:rStyle w:val="Hyperlink"/>
          </w:rPr>
          <w:t xml:space="preserve">https://doi.org/10.1145/1571941.1571963</w:t>
        </w:r>
      </w:hyperlink>
      <w:r>
        <w:t xml:space="preserve">.</w:t>
      </w:r>
    </w:p>
    <w:bookmarkEnd w:id="266"/>
    <w:bookmarkStart w:id="268"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7">
        <w:r>
          <w:rPr>
            <w:rStyle w:val="Hyperlink"/>
          </w:rPr>
          <w:t xml:space="preserve">https://arxiv.org/abs/2410.07523</w:t>
        </w:r>
      </w:hyperlink>
      <w:r>
        <w:t xml:space="preserve">.</w:t>
      </w:r>
    </w:p>
    <w:bookmarkEnd w:id="268"/>
    <w:bookmarkStart w:id="270"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9">
        <w:r>
          <w:rPr>
            <w:rStyle w:val="Hyperlink"/>
          </w:rPr>
          <w:t xml:space="preserve">https://arxiv.org/abs/2403.08319</w:t>
        </w:r>
      </w:hyperlink>
      <w:r>
        <w:t xml:space="preserve">.</w:t>
      </w:r>
    </w:p>
    <w:bookmarkEnd w:id="270"/>
    <w:bookmarkStart w:id="272"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71">
        <w:r>
          <w:rPr>
            <w:rStyle w:val="Hyperlink"/>
          </w:rPr>
          <w:t xml:space="preserve">https://arxiv.org/abs/2302.05698</w:t>
        </w:r>
      </w:hyperlink>
      <w:r>
        <w:t xml:space="preserve">.</w:t>
      </w:r>
    </w:p>
    <w:bookmarkEnd w:id="272"/>
    <w:bookmarkStart w:id="274"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73">
        <w:r>
          <w:rPr>
            <w:rStyle w:val="Hyperlink"/>
          </w:rPr>
          <w:t xml:space="preserve">https://arxiv.org/abs/2407.02485</w:t>
        </w:r>
      </w:hyperlink>
      <w:r>
        <w:t xml:space="preserve">.</w:t>
      </w:r>
    </w:p>
    <w:bookmarkEnd w:id="274"/>
    <w:bookmarkStart w:id="276"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75">
        <w:r>
          <w:rPr>
            <w:rStyle w:val="Hyperlink"/>
          </w:rPr>
          <w:t xml:space="preserve">https://arxiv.org/abs/2504.15630</w:t>
        </w:r>
      </w:hyperlink>
      <w:r>
        <w:t xml:space="preserve">.</w:t>
      </w:r>
    </w:p>
    <w:bookmarkEnd w:id="276"/>
    <w:bookmarkStart w:id="278"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7">
        <w:r>
          <w:rPr>
            <w:rStyle w:val="Hyperlink"/>
          </w:rPr>
          <w:t xml:space="preserve">https://arxiv.org/abs/2510.11358</w:t>
        </w:r>
      </w:hyperlink>
      <w:r>
        <w:t xml:space="preserve">.</w:t>
      </w:r>
    </w:p>
    <w:bookmarkEnd w:id="278"/>
    <w:bookmarkStart w:id="280"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9">
        <w:r>
          <w:rPr>
            <w:rStyle w:val="Hyperlink"/>
          </w:rPr>
          <w:t xml:space="preserve">https://arxiv.org/abs/2604.08920</w:t>
        </w:r>
      </w:hyperlink>
      <w:r>
        <w:t xml:space="preserve">.</w:t>
      </w:r>
    </w:p>
    <w:bookmarkEnd w:id="280"/>
    <w:bookmarkStart w:id="282"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81">
        <w:r>
          <w:rPr>
            <w:rStyle w:val="Hyperlink"/>
          </w:rPr>
          <w:t xml:space="preserve">https://arxiv.org/abs/2605.06028</w:t>
        </w:r>
      </w:hyperlink>
      <w:r>
        <w:t xml:space="preserve">.</w:t>
      </w:r>
    </w:p>
    <w:bookmarkEnd w:id="282"/>
    <w:bookmarkStart w:id="283"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83"/>
    <w:bookmarkStart w:id="285"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84">
        <w:r>
          <w:rPr>
            <w:rStyle w:val="Hyperlink"/>
          </w:rPr>
          <w:t xml:space="preserve">https://arxiv.org/abs/2405.18253</w:t>
        </w:r>
      </w:hyperlink>
      <w:r>
        <w:t xml:space="preserve">.</w:t>
      </w:r>
    </w:p>
    <w:bookmarkEnd w:id="285"/>
    <w:bookmarkStart w:id="287"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86">
        <w:r>
          <w:rPr>
            <w:rStyle w:val="Hyperlink"/>
          </w:rPr>
          <w:t xml:space="preserve">https://doi.org/10.1145/3802111</w:t>
        </w:r>
      </w:hyperlink>
      <w:r>
        <w:t xml:space="preserve">.</w:t>
      </w:r>
    </w:p>
    <w:bookmarkEnd w:id="287"/>
    <w:bookmarkStart w:id="289"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8">
        <w:r>
          <w:rPr>
            <w:rStyle w:val="Hyperlink"/>
          </w:rPr>
          <w:t xml:space="preserve">https://doi.org/10.1007/978-3-642-12275-0_32</w:t>
        </w:r>
      </w:hyperlink>
      <w:r>
        <w:t xml:space="preserve">.</w:t>
      </w:r>
    </w:p>
    <w:bookmarkEnd w:id="289"/>
    <w:bookmarkEnd w:id="290"/>
    <w:bookmarkEnd w:id="291"/>
    <w:bookmarkEnd w:id="2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6" Target="http://www.vldb.org/pvldb/vol6/p37-dong.pdf" TargetMode="External" /><Relationship Type="http://schemas.openxmlformats.org/officeDocument/2006/relationships/hyperlink" Id="rId211" Target="https://aclanthology.org/2025.fever-1.2/" TargetMode="External" /><Relationship Type="http://schemas.openxmlformats.org/officeDocument/2006/relationships/hyperlink" Id="rId205" Target="https://aclanthology.org/2026.findings-acl.583/" TargetMode="External" /><Relationship Type="http://schemas.openxmlformats.org/officeDocument/2006/relationships/hyperlink" Id="rId251" Target="https://arxiv.org/abs/1402.4884" TargetMode="External" /><Relationship Type="http://schemas.openxmlformats.org/officeDocument/2006/relationships/hyperlink" Id="rId207" Target="https://arxiv.org/abs/2002.08909" TargetMode="External" /><Relationship Type="http://schemas.openxmlformats.org/officeDocument/2006/relationships/hyperlink" Id="rId255" Target="https://arxiv.org/abs/2301.12652" TargetMode="External" /><Relationship Type="http://schemas.openxmlformats.org/officeDocument/2006/relationships/hyperlink" Id="rId253" Target="https://arxiv.org/abs/2302.00093" TargetMode="External" /><Relationship Type="http://schemas.openxmlformats.org/officeDocument/2006/relationships/hyperlink" Id="rId271" Target="https://arxiv.org/abs/2302.05698" TargetMode="External" /><Relationship Type="http://schemas.openxmlformats.org/officeDocument/2006/relationships/hyperlink" Id="rId213" Target="https://arxiv.org/abs/2304.04576" TargetMode="External" /><Relationship Type="http://schemas.openxmlformats.org/officeDocument/2006/relationships/hyperlink" Id="rId257" Target="https://arxiv.org/abs/2304.09542" TargetMode="External" /><Relationship Type="http://schemas.openxmlformats.org/officeDocument/2006/relationships/hyperlink" Id="rId239" Target="https://arxiv.org/abs/2307.03172" TargetMode="External" /><Relationship Type="http://schemas.openxmlformats.org/officeDocument/2006/relationships/hyperlink" Id="rId182" Target="https://arxiv.org/abs/2401.14887" TargetMode="External" /><Relationship Type="http://schemas.openxmlformats.org/officeDocument/2006/relationships/hyperlink" Id="rId261" Target="https://arxiv.org/abs/2402.11750" TargetMode="External" /><Relationship Type="http://schemas.openxmlformats.org/officeDocument/2006/relationships/hyperlink" Id="rId269" Target="https://arxiv.org/abs/2403.08319" TargetMode="External" /><Relationship Type="http://schemas.openxmlformats.org/officeDocument/2006/relationships/hyperlink" Id="rId284" Target="https://arxiv.org/abs/2405.18253" TargetMode="External" /><Relationship Type="http://schemas.openxmlformats.org/officeDocument/2006/relationships/hyperlink" Id="rId273" Target="https://arxiv.org/abs/2407.02485" TargetMode="External" /><Relationship Type="http://schemas.openxmlformats.org/officeDocument/2006/relationships/hyperlink" Id="rId223" Target="https://arxiv.org/abs/2410.05983" TargetMode="External" /><Relationship Type="http://schemas.openxmlformats.org/officeDocument/2006/relationships/hyperlink" Id="rId267" Target="https://arxiv.org/abs/2410.07523" TargetMode="External" /><Relationship Type="http://schemas.openxmlformats.org/officeDocument/2006/relationships/hyperlink" Id="rId201" Target="https://arxiv.org/abs/2410.20247" TargetMode="External" /><Relationship Type="http://schemas.openxmlformats.org/officeDocument/2006/relationships/hyperlink" Id="rId241" Target="https://arxiv.org/abs/2411.00640" TargetMode="External" /><Relationship Type="http://schemas.openxmlformats.org/officeDocument/2006/relationships/hyperlink" Id="rId168" Target="https://arxiv.org/abs/2411.01533" TargetMode="External" /><Relationship Type="http://schemas.openxmlformats.org/officeDocument/2006/relationships/hyperlink" Id="rId225" Target="https://arxiv.org/abs/2411.06037" TargetMode="External" /><Relationship Type="http://schemas.openxmlformats.org/officeDocument/2006/relationships/hyperlink" Id="rId209" Target="https://arxiv.org/abs/2412.17031" TargetMode="External" /><Relationship Type="http://schemas.openxmlformats.org/officeDocument/2006/relationships/hyperlink" Id="rId184" Target="https://arxiv.org/abs/2503.01478" TargetMode="External" /><Relationship Type="http://schemas.openxmlformats.org/officeDocument/2006/relationships/hyperlink" Id="rId166" Target="https://arxiv.org/abs/2503.01747" TargetMode="External" /><Relationship Type="http://schemas.openxmlformats.org/officeDocument/2006/relationships/hyperlink" Id="rId235" Target="https://arxiv.org/abs/2503.04388" TargetMode="External" /><Relationship Type="http://schemas.openxmlformats.org/officeDocument/2006/relationships/hyperlink" Id="rId195" Target="https://arxiv.org/abs/2503.05491" TargetMode="External" /><Relationship Type="http://schemas.openxmlformats.org/officeDocument/2006/relationships/hyperlink" Id="rId233" Target="https://arxiv.org/abs/2504.07104" TargetMode="External" /><Relationship Type="http://schemas.openxmlformats.org/officeDocument/2006/relationships/hyperlink" Id="rId275" Target="https://arxiv.org/abs/2504.15630" TargetMode="External" /><Relationship Type="http://schemas.openxmlformats.org/officeDocument/2006/relationships/hyperlink" Id="rId174" Target="https://arxiv.org/abs/2507.03279" TargetMode="External" /><Relationship Type="http://schemas.openxmlformats.org/officeDocument/2006/relationships/hyperlink" Id="rId178" Target="https://arxiv.org/abs/2508.21184" TargetMode="External" /><Relationship Type="http://schemas.openxmlformats.org/officeDocument/2006/relationships/hyperlink" Id="rId217" Target="https://arxiv.org/abs/2510.00079" TargetMode="External" /><Relationship Type="http://schemas.openxmlformats.org/officeDocument/2006/relationships/hyperlink" Id="rId188" Target="https://arxiv.org/abs/2510.05381" TargetMode="External" /><Relationship Type="http://schemas.openxmlformats.org/officeDocument/2006/relationships/hyperlink" Id="rId277" Target="https://arxiv.org/abs/2510.11358" TargetMode="External" /><Relationship Type="http://schemas.openxmlformats.org/officeDocument/2006/relationships/hyperlink" Id="rId172" Target="https://arxiv.org/abs/2511.17908" TargetMode="External" /><Relationship Type="http://schemas.openxmlformats.org/officeDocument/2006/relationships/hyperlink" Id="rId219" Target="https://arxiv.org/abs/2512.06464" TargetMode="External" /><Relationship Type="http://schemas.openxmlformats.org/officeDocument/2006/relationships/hyperlink" Id="rId154" Target="https://arxiv.org/abs/2512.23617" TargetMode="External" /><Relationship Type="http://schemas.openxmlformats.org/officeDocument/2006/relationships/hyperlink" Id="rId221" Target="https://arxiv.org/abs/2601.05027" TargetMode="External" /><Relationship Type="http://schemas.openxmlformats.org/officeDocument/2006/relationships/hyperlink" Id="rId193" Target="https://arxiv.org/abs/2601.11273" TargetMode="External" /><Relationship Type="http://schemas.openxmlformats.org/officeDocument/2006/relationships/hyperlink" Id="rId176" Target="https://arxiv.org/abs/2601.16478" TargetMode="External" /><Relationship Type="http://schemas.openxmlformats.org/officeDocument/2006/relationships/hyperlink" Id="rId263" Target="https://arxiv.org/abs/2602.08294" TargetMode="External" /><Relationship Type="http://schemas.openxmlformats.org/officeDocument/2006/relationships/hyperlink" Id="rId245" Target="https://arxiv.org/abs/2604.06621" TargetMode="External" /><Relationship Type="http://schemas.openxmlformats.org/officeDocument/2006/relationships/hyperlink" Id="rId279" Target="https://arxiv.org/abs/2604.08920" TargetMode="External" /><Relationship Type="http://schemas.openxmlformats.org/officeDocument/2006/relationships/hyperlink" Id="rId247" Target="https://arxiv.org/abs/2605.03534" TargetMode="External" /><Relationship Type="http://schemas.openxmlformats.org/officeDocument/2006/relationships/hyperlink" Id="rId237" Target="https://arxiv.org/abs/2605.05716" TargetMode="External" /><Relationship Type="http://schemas.openxmlformats.org/officeDocument/2006/relationships/hyperlink" Id="rId281" Target="https://arxiv.org/abs/2605.06028" TargetMode="External" /><Relationship Type="http://schemas.openxmlformats.org/officeDocument/2006/relationships/hyperlink" Id="rId203" Target="https://arxiv.org/abs/2606.20047" TargetMode="External" /><Relationship Type="http://schemas.openxmlformats.org/officeDocument/2006/relationships/hyperlink" Id="rId197" Target="https://arxiv.org/abs/2608.26762" TargetMode="External" /><Relationship Type="http://schemas.openxmlformats.org/officeDocument/2006/relationships/hyperlink" Id="rId231" Target="https://doi.org/10.1007/978-1-4612-4946-7" TargetMode="External" /><Relationship Type="http://schemas.openxmlformats.org/officeDocument/2006/relationships/hyperlink" Id="rId243" Target="https://doi.org/10.1007/978-3-032-19099-4_23" TargetMode="External" /><Relationship Type="http://schemas.openxmlformats.org/officeDocument/2006/relationships/hyperlink" Id="rId288" Target="https://doi.org/10.1007/978-3-642-12275-0_32" TargetMode="External" /><Relationship Type="http://schemas.openxmlformats.org/officeDocument/2006/relationships/hyperlink" Id="rId199" Target="https://doi.org/10.1007/s10791-008-9045-0" TargetMode="External" /><Relationship Type="http://schemas.openxmlformats.org/officeDocument/2006/relationships/hyperlink" Id="rId259" Target="https://doi.org/10.1017/CBO9780511666353" TargetMode="External" /><Relationship Type="http://schemas.openxmlformats.org/officeDocument/2006/relationships/hyperlink" Id="rId180" Target="https://doi.org/10.1093/biomet/26.4.404" TargetMode="External" /><Relationship Type="http://schemas.openxmlformats.org/officeDocument/2006/relationships/hyperlink" Id="rId249" Target="https://doi.org/10.1108/eb026647" TargetMode="External" /><Relationship Type="http://schemas.openxmlformats.org/officeDocument/2006/relationships/hyperlink" Id="rId265" Target="https://doi.org/10.1145/1571941.1571963" TargetMode="External" /><Relationship Type="http://schemas.openxmlformats.org/officeDocument/2006/relationships/hyperlink" Id="rId170" Target="https://doi.org/10.1145/290941.291025" TargetMode="External" /><Relationship Type="http://schemas.openxmlformats.org/officeDocument/2006/relationships/hyperlink" Id="rId227" Target="https://doi.org/10.1145/3397271.3401075" TargetMode="External" /><Relationship Type="http://schemas.openxmlformats.org/officeDocument/2006/relationships/hyperlink" Id="rId286" Target="https://doi.org/10.1145/3802111" TargetMode="External" /><Relationship Type="http://schemas.openxmlformats.org/officeDocument/2006/relationships/hyperlink" Id="rId229" Target="https://doi.org/10.1214/aoms/1177700372" TargetMode="External" /><Relationship Type="http://schemas.openxmlformats.org/officeDocument/2006/relationships/hyperlink" Id="rId190" Target="https://doi.org/10.1214/aoms/1177728174" TargetMode="External" /><Relationship Type="http://schemas.openxmlformats.org/officeDocument/2006/relationships/hyperlink" Id="rId163" Target="https://doi.org/10.1214/aoms/1177729032" TargetMode="External" /><Relationship Type="http://schemas.openxmlformats.org/officeDocument/2006/relationships/hyperlink" Id="rId158" Target="https://doi.org/10.5281/zenodo.20800031" TargetMode="External" /><Relationship Type="http://schemas.openxmlformats.org/officeDocument/2006/relationships/hyperlink" Id="rId156" Target="https://doi.org/10.5281/zenodo.20800175" TargetMode="External" /><Relationship Type="http://schemas.openxmlformats.org/officeDocument/2006/relationships/hyperlink" Id="rId160" Target="https://doi.org/10.5281/zenodo.20800209" TargetMode="External" /><Relationship Type="http://schemas.openxmlformats.org/officeDocument/2006/relationships/hyperlink" Id="rId74" Target="https://github.com/abilous-ti/blackwell-llm-context" TargetMode="External" /><Relationship Type="http://schemas.openxmlformats.org/officeDocument/2006/relationships/hyperlink" Id="rId215"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6" Target="http://www.vldb.org/pvldb/vol6/p37-dong.pdf" TargetMode="External" /><Relationship Type="http://schemas.openxmlformats.org/officeDocument/2006/relationships/hyperlink" Id="rId211" Target="https://aclanthology.org/2025.fever-1.2/" TargetMode="External" /><Relationship Type="http://schemas.openxmlformats.org/officeDocument/2006/relationships/hyperlink" Id="rId205" Target="https://aclanthology.org/2026.findings-acl.583/" TargetMode="External" /><Relationship Type="http://schemas.openxmlformats.org/officeDocument/2006/relationships/hyperlink" Id="rId251" Target="https://arxiv.org/abs/1402.4884" TargetMode="External" /><Relationship Type="http://schemas.openxmlformats.org/officeDocument/2006/relationships/hyperlink" Id="rId207" Target="https://arxiv.org/abs/2002.08909" TargetMode="External" /><Relationship Type="http://schemas.openxmlformats.org/officeDocument/2006/relationships/hyperlink" Id="rId255" Target="https://arxiv.org/abs/2301.12652" TargetMode="External" /><Relationship Type="http://schemas.openxmlformats.org/officeDocument/2006/relationships/hyperlink" Id="rId253" Target="https://arxiv.org/abs/2302.00093" TargetMode="External" /><Relationship Type="http://schemas.openxmlformats.org/officeDocument/2006/relationships/hyperlink" Id="rId271" Target="https://arxiv.org/abs/2302.05698" TargetMode="External" /><Relationship Type="http://schemas.openxmlformats.org/officeDocument/2006/relationships/hyperlink" Id="rId213" Target="https://arxiv.org/abs/2304.04576" TargetMode="External" /><Relationship Type="http://schemas.openxmlformats.org/officeDocument/2006/relationships/hyperlink" Id="rId257" Target="https://arxiv.org/abs/2304.09542" TargetMode="External" /><Relationship Type="http://schemas.openxmlformats.org/officeDocument/2006/relationships/hyperlink" Id="rId239" Target="https://arxiv.org/abs/2307.03172" TargetMode="External" /><Relationship Type="http://schemas.openxmlformats.org/officeDocument/2006/relationships/hyperlink" Id="rId182" Target="https://arxiv.org/abs/2401.14887" TargetMode="External" /><Relationship Type="http://schemas.openxmlformats.org/officeDocument/2006/relationships/hyperlink" Id="rId261" Target="https://arxiv.org/abs/2402.11750" TargetMode="External" /><Relationship Type="http://schemas.openxmlformats.org/officeDocument/2006/relationships/hyperlink" Id="rId269" Target="https://arxiv.org/abs/2403.08319" TargetMode="External" /><Relationship Type="http://schemas.openxmlformats.org/officeDocument/2006/relationships/hyperlink" Id="rId284" Target="https://arxiv.org/abs/2405.18253" TargetMode="External" /><Relationship Type="http://schemas.openxmlformats.org/officeDocument/2006/relationships/hyperlink" Id="rId273" Target="https://arxiv.org/abs/2407.02485" TargetMode="External" /><Relationship Type="http://schemas.openxmlformats.org/officeDocument/2006/relationships/hyperlink" Id="rId223" Target="https://arxiv.org/abs/2410.05983" TargetMode="External" /><Relationship Type="http://schemas.openxmlformats.org/officeDocument/2006/relationships/hyperlink" Id="rId267" Target="https://arxiv.org/abs/2410.07523" TargetMode="External" /><Relationship Type="http://schemas.openxmlformats.org/officeDocument/2006/relationships/hyperlink" Id="rId201" Target="https://arxiv.org/abs/2410.20247" TargetMode="External" /><Relationship Type="http://schemas.openxmlformats.org/officeDocument/2006/relationships/hyperlink" Id="rId241" Target="https://arxiv.org/abs/2411.00640" TargetMode="External" /><Relationship Type="http://schemas.openxmlformats.org/officeDocument/2006/relationships/hyperlink" Id="rId168" Target="https://arxiv.org/abs/2411.01533" TargetMode="External" /><Relationship Type="http://schemas.openxmlformats.org/officeDocument/2006/relationships/hyperlink" Id="rId225" Target="https://arxiv.org/abs/2411.06037" TargetMode="External" /><Relationship Type="http://schemas.openxmlformats.org/officeDocument/2006/relationships/hyperlink" Id="rId209" Target="https://arxiv.org/abs/2412.17031" TargetMode="External" /><Relationship Type="http://schemas.openxmlformats.org/officeDocument/2006/relationships/hyperlink" Id="rId184" Target="https://arxiv.org/abs/2503.01478" TargetMode="External" /><Relationship Type="http://schemas.openxmlformats.org/officeDocument/2006/relationships/hyperlink" Id="rId166" Target="https://arxiv.org/abs/2503.01747" TargetMode="External" /><Relationship Type="http://schemas.openxmlformats.org/officeDocument/2006/relationships/hyperlink" Id="rId235" Target="https://arxiv.org/abs/2503.04388" TargetMode="External" /><Relationship Type="http://schemas.openxmlformats.org/officeDocument/2006/relationships/hyperlink" Id="rId195" Target="https://arxiv.org/abs/2503.05491" TargetMode="External" /><Relationship Type="http://schemas.openxmlformats.org/officeDocument/2006/relationships/hyperlink" Id="rId233" Target="https://arxiv.org/abs/2504.07104" TargetMode="External" /><Relationship Type="http://schemas.openxmlformats.org/officeDocument/2006/relationships/hyperlink" Id="rId275" Target="https://arxiv.org/abs/2504.15630" TargetMode="External" /><Relationship Type="http://schemas.openxmlformats.org/officeDocument/2006/relationships/hyperlink" Id="rId174" Target="https://arxiv.org/abs/2507.03279" TargetMode="External" /><Relationship Type="http://schemas.openxmlformats.org/officeDocument/2006/relationships/hyperlink" Id="rId178" Target="https://arxiv.org/abs/2508.21184" TargetMode="External" /><Relationship Type="http://schemas.openxmlformats.org/officeDocument/2006/relationships/hyperlink" Id="rId217" Target="https://arxiv.org/abs/2510.00079" TargetMode="External" /><Relationship Type="http://schemas.openxmlformats.org/officeDocument/2006/relationships/hyperlink" Id="rId188" Target="https://arxiv.org/abs/2510.05381" TargetMode="External" /><Relationship Type="http://schemas.openxmlformats.org/officeDocument/2006/relationships/hyperlink" Id="rId277" Target="https://arxiv.org/abs/2510.11358" TargetMode="External" /><Relationship Type="http://schemas.openxmlformats.org/officeDocument/2006/relationships/hyperlink" Id="rId172" Target="https://arxiv.org/abs/2511.17908" TargetMode="External" /><Relationship Type="http://schemas.openxmlformats.org/officeDocument/2006/relationships/hyperlink" Id="rId219" Target="https://arxiv.org/abs/2512.06464" TargetMode="External" /><Relationship Type="http://schemas.openxmlformats.org/officeDocument/2006/relationships/hyperlink" Id="rId154" Target="https://arxiv.org/abs/2512.23617" TargetMode="External" /><Relationship Type="http://schemas.openxmlformats.org/officeDocument/2006/relationships/hyperlink" Id="rId221" Target="https://arxiv.org/abs/2601.05027" TargetMode="External" /><Relationship Type="http://schemas.openxmlformats.org/officeDocument/2006/relationships/hyperlink" Id="rId193" Target="https://arxiv.org/abs/2601.11273" TargetMode="External" /><Relationship Type="http://schemas.openxmlformats.org/officeDocument/2006/relationships/hyperlink" Id="rId176" Target="https://arxiv.org/abs/2601.16478" TargetMode="External" /><Relationship Type="http://schemas.openxmlformats.org/officeDocument/2006/relationships/hyperlink" Id="rId263" Target="https://arxiv.org/abs/2602.08294" TargetMode="External" /><Relationship Type="http://schemas.openxmlformats.org/officeDocument/2006/relationships/hyperlink" Id="rId245" Target="https://arxiv.org/abs/2604.06621" TargetMode="External" /><Relationship Type="http://schemas.openxmlformats.org/officeDocument/2006/relationships/hyperlink" Id="rId279" Target="https://arxiv.org/abs/2604.08920" TargetMode="External" /><Relationship Type="http://schemas.openxmlformats.org/officeDocument/2006/relationships/hyperlink" Id="rId247" Target="https://arxiv.org/abs/2605.03534" TargetMode="External" /><Relationship Type="http://schemas.openxmlformats.org/officeDocument/2006/relationships/hyperlink" Id="rId237" Target="https://arxiv.org/abs/2605.05716" TargetMode="External" /><Relationship Type="http://schemas.openxmlformats.org/officeDocument/2006/relationships/hyperlink" Id="rId281" Target="https://arxiv.org/abs/2605.06028" TargetMode="External" /><Relationship Type="http://schemas.openxmlformats.org/officeDocument/2006/relationships/hyperlink" Id="rId203" Target="https://arxiv.org/abs/2606.20047" TargetMode="External" /><Relationship Type="http://schemas.openxmlformats.org/officeDocument/2006/relationships/hyperlink" Id="rId197" Target="https://arxiv.org/abs/2608.26762" TargetMode="External" /><Relationship Type="http://schemas.openxmlformats.org/officeDocument/2006/relationships/hyperlink" Id="rId231" Target="https://doi.org/10.1007/978-1-4612-4946-7" TargetMode="External" /><Relationship Type="http://schemas.openxmlformats.org/officeDocument/2006/relationships/hyperlink" Id="rId243" Target="https://doi.org/10.1007/978-3-032-19099-4_23" TargetMode="External" /><Relationship Type="http://schemas.openxmlformats.org/officeDocument/2006/relationships/hyperlink" Id="rId288" Target="https://doi.org/10.1007/978-3-642-12275-0_32" TargetMode="External" /><Relationship Type="http://schemas.openxmlformats.org/officeDocument/2006/relationships/hyperlink" Id="rId199" Target="https://doi.org/10.1007/s10791-008-9045-0" TargetMode="External" /><Relationship Type="http://schemas.openxmlformats.org/officeDocument/2006/relationships/hyperlink" Id="rId259" Target="https://doi.org/10.1017/CBO9780511666353" TargetMode="External" /><Relationship Type="http://schemas.openxmlformats.org/officeDocument/2006/relationships/hyperlink" Id="rId180" Target="https://doi.org/10.1093/biomet/26.4.404" TargetMode="External" /><Relationship Type="http://schemas.openxmlformats.org/officeDocument/2006/relationships/hyperlink" Id="rId249" Target="https://doi.org/10.1108/eb026647" TargetMode="External" /><Relationship Type="http://schemas.openxmlformats.org/officeDocument/2006/relationships/hyperlink" Id="rId265" Target="https://doi.org/10.1145/1571941.1571963" TargetMode="External" /><Relationship Type="http://schemas.openxmlformats.org/officeDocument/2006/relationships/hyperlink" Id="rId170" Target="https://doi.org/10.1145/290941.291025" TargetMode="External" /><Relationship Type="http://schemas.openxmlformats.org/officeDocument/2006/relationships/hyperlink" Id="rId227" Target="https://doi.org/10.1145/3397271.3401075" TargetMode="External" /><Relationship Type="http://schemas.openxmlformats.org/officeDocument/2006/relationships/hyperlink" Id="rId286" Target="https://doi.org/10.1145/3802111" TargetMode="External" /><Relationship Type="http://schemas.openxmlformats.org/officeDocument/2006/relationships/hyperlink" Id="rId229" Target="https://doi.org/10.1214/aoms/1177700372" TargetMode="External" /><Relationship Type="http://schemas.openxmlformats.org/officeDocument/2006/relationships/hyperlink" Id="rId190" Target="https://doi.org/10.1214/aoms/1177728174" TargetMode="External" /><Relationship Type="http://schemas.openxmlformats.org/officeDocument/2006/relationships/hyperlink" Id="rId163" Target="https://doi.org/10.1214/aoms/1177729032" TargetMode="External" /><Relationship Type="http://schemas.openxmlformats.org/officeDocument/2006/relationships/hyperlink" Id="rId158" Target="https://doi.org/10.5281/zenodo.20800031" TargetMode="External" /><Relationship Type="http://schemas.openxmlformats.org/officeDocument/2006/relationships/hyperlink" Id="rId156" Target="https://doi.org/10.5281/zenodo.20800175" TargetMode="External" /><Relationship Type="http://schemas.openxmlformats.org/officeDocument/2006/relationships/hyperlink" Id="rId160" Target="https://doi.org/10.5281/zenodo.20800209" TargetMode="External" /><Relationship Type="http://schemas.openxmlformats.org/officeDocument/2006/relationships/hyperlink" Id="rId74" Target="https://github.com/abilous-ti/blackwell-llm-context" TargetMode="External" /><Relationship Type="http://schemas.openxmlformats.org/officeDocument/2006/relationships/hyperlink" Id="rId215"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Bilous ^{1,\ast} Petro Pukach ^{2} Vasyl Lytvyn ^{1} Zoriana Rybchak ^{1} ^{1} Department of Information Systems and Networks, Lviv Polytechnic National University, S. Bandery St. 12, 79013 Lviv, Ukraine ^{2} Institute of Applied Mathematics and Fundamental Sciences, Lviv Polytechnic National University, S. Bandery St. 12, 79013 Lviv, Ukraine P.P.: Dr.Sc., Professor, Director of the Institute; V.L.: Dr.Sc., Full Professor, Head of Department; Z.R.: PhD, Associate Professor andriy.bilous@uitware.com (A.B.); petro.y.pukach@lpnu.ua (P.P.); vasyl.v.lytvyn@lpnu.ua (V.L.); zoriana.l.rybchak@lpnu.ua (Z.R.) ORCID: A.B. 0009-0006-5467-7932; P.P. 0000-0002-0359-5025; V.L. 0000-0002-9676-0180; Z.R. 0000-0002-5986-4618 ^{\ast} Correspondence: andriy.bilous@uitware.com</dc:creator>
  <cp:keywords/>
  <dcterms:created xsi:type="dcterms:W3CDTF">2026-09-08T20:16:31Z</dcterms:created>
  <dcterms:modified xsi:type="dcterms:W3CDTF">2026-09-08T20:16:31Z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usually done by scoring each candidate source with one number and keeping the top few. We argue this is the wrong abstraction. Two sources can be incomparable in Blackwell’s 1953 sense, and when they are, no per-source score, relevance or utility, can rank them correctly for every task. We test this by running each source through a battery of pass/fail tasks and comparing pass rates with exact confidence intervals, a distribution-free verification. On six models from four vendors we verify (\geq 90\% confidence, both directions) that two hand-built sources are incomparable. On a designed trap, a lexical score, two dense retrievers and a cross-encoder all prefer the wrong source, while a listwise LLM reranker that reads the deciding detail gets it right, as the theory predicts. Adding a larger source can also hurt: pass rates fall from 100\% to 0\% on eleven of twelve cells, with controls ruling out length and position. The lesson is practical: treat context selection as a partial order and compare sources by a verified pass-rate test, not a relevance number. Scaling the implied selection rule to large corpora is the main open problem.</vt:lpwstr>
  </property>
  <property fmtid="{D5CDD505-2E9C-101B-9397-08002B2CF9AE}" pid="3" name="bibliography">
    <vt:lpwstr>blackwell-paper.bib</vt:lpwstr>
  </property>
  <property fmtid="{D5CDD505-2E9C-101B-9397-08002B2CF9AE}" pid="4" name="date">
    <vt:lpwstr/>
  </property>
</Properties>
</file>