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eleven of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§2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once for the ideal user and once for the fixed model, and prove a one-way</w:t>
      </w:r>
      <w:r>
        <w:t xml:space="preserve"> </w:t>
      </w:r>
      <w:r>
        <w:t xml:space="preserve">bridge from what we measure to what the theorem is about (§4); and we call our</w:t>
      </w:r>
      <w:r>
        <w:t xml:space="preserve"> </w:t>
      </w:r>
      <w:r>
        <w:t xml:space="preserve">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(§6).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(§4, §5).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Bringing this apparatus to inference-time context is not by itself ours: concurrent work</w:t>
      </w:r>
      <w:r>
        <w:t xml:space="preserve"> </w:t>
      </w:r>
      <w:r>
        <w:t xml:space="preserve">reaches the same classical objects from the admission side (§2.3). What</w:t>
      </w:r>
      <w:r>
        <w:t xml:space="preserve"> </w:t>
      </w:r>
      <w:r>
        <w:t xml:space="preserve">is ours is the consequence of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</w:t>
      </w:r>
      <w:r>
        <w:t xml:space="preserve"> </w:t>
      </w:r>
      <w:r>
        <w:t xml:space="preserve">as the object. 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</w:t>
      </w:r>
      <w:r>
        <w:t xml:space="preserve"> </w:t>
      </w:r>
      <w:r>
        <w:t xml:space="preserve">the query-conditioned topical case isolated separately (Proposition 2);</w:t>
      </w:r>
      <w:r>
        <w:t xml:space="preserve"> </w:t>
      </w:r>
      <w:r>
        <w:t xml:space="preserve">Information retrieval has long argued that no single fixed document</w:t>
      </w:r>
      <w:r>
        <w:t xml:space="preserve"> </w:t>
      </w:r>
      <w:r>
        <w:t xml:space="preserve">score is optimal once documents interact (§2.1); we derive the impossibility as</w:t>
      </w:r>
      <w:r>
        <w:t xml:space="preserve"> </w:t>
      </w:r>
      <w:r>
        <w:t xml:space="preserve">a theorem in the Blackwell frame 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(§6).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verification: exact</w:t>
      </w:r>
      <w:r>
        <w:t xml:space="preserve"> </w:t>
      </w:r>
      <w:r>
        <w:t xml:space="preserve">Clopper–Pearson intervals </w:t>
      </w:r>
      <w:r>
        <w:t xml:space="preserve">(Clopper and Pearson 1934)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 rather than absorbed</w:t>
      </w:r>
      <w:r>
        <w:t xml:space="preserve"> </w:t>
      </w:r>
      <w:r>
        <w:t xml:space="preserve">into a single-sample sup inequality </w:t>
      </w:r>
      <w:r>
        <w:t xml:space="preserve">(Dvoretzky et al. 1956)</w:t>
      </w:r>
      <w:r>
        <w:t xml:space="preserve">, which does not cover an argmax over</w:t>
      </w:r>
      <w:r>
        <w:t xml:space="preserve"> </w:t>
      </w:r>
      <w:r>
        <w:t xml:space="preserve">distinct cells; the matching interference verification follows.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§7. Otherwise the order is</w:t>
      </w:r>
      <w:r>
        <w:t xml:space="preserve"> </w:t>
      </w:r>
      <w:r>
        <w:t xml:space="preserve">prior work (§2), the partial order and the two impossibility results</w:t>
      </w:r>
      <w:r>
        <w:t xml:space="preserve"> </w:t>
      </w:r>
      <w:r>
        <w:t xml:space="preserve">(§§4–5), the verification</w:t>
      </w:r>
      <w:r>
        <w:t xml:space="preserve"> </w:t>
      </w:r>
      <w:r>
        <w:t xml:space="preserve">(§6), the six-model measurement (§7), scope and</w:t>
      </w:r>
      <w:r>
        <w:t xml:space="preserve"> </w:t>
      </w:r>
      <w:r>
        <w:t xml:space="preserve">conclusions (§§8–9), with proofs, the per-cell record,</w:t>
      </w:r>
      <w:r>
        <w:t xml:space="preserve"> </w:t>
      </w:r>
      <w:r>
        <w:t xml:space="preserve">the diagnostics and the protocol in Appendices A–E.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surrogate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game-theoretic and influence-based valuation</w:t>
      </w:r>
      <w:r>
        <w:t xml:space="preserve"> </w:t>
      </w:r>
      <w:r>
        <w:t xml:space="preserve">of 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 binary</w:t>
      </w:r>
      <w:r>
        <w:t xml:space="preserve"> </w:t>
      </w:r>
      <w:r>
        <w:t xml:space="preserve">sufficient-context detection </w:t>
      </w:r>
      <w:r>
        <w:t xml:space="preserve">(Joren et al. 2024)</w:t>
      </w:r>
      <w:r>
        <w:t xml:space="preserve">. Each collapses the comparison of two</w:t>
      </w:r>
      <w:r>
        <w:t xml:space="preserve"> </w:t>
      </w:r>
      <w:r>
        <w:t xml:space="preserve">sources to one real number and is therefore a scalar of the kind the paper rules out</w:t>
      </w:r>
      <w:r>
        <w:t xml:space="preserve"> </w:t>
      </w:r>
      <w:r>
        <w:t xml:space="preserve">(Theorem 2 for query-independent scores,</w:t>
      </w:r>
      <w:r>
        <w:t xml:space="preserve"> </w:t>
      </w:r>
      <w:r>
        <w:t xml:space="preserve">Proposition 2 for topical query-conditioned ones): not a competitor to</w:t>
      </w:r>
      <w:r>
        <w:t xml:space="preserve"> </w:t>
      </w:r>
      <w:r>
        <w:t xml:space="preserve">out-perform but an instance of the excluded class (we prove Blackwell-monotonicity for the closest</w:t>
      </w:r>
      <w:r>
        <w:t xml:space="preserve"> </w:t>
      </w:r>
      <w:r>
        <w:t xml:space="preserve">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 Proposition 1; for mutual</w:t>
      </w:r>
      <w:r>
        <w:t xml:space="preserve"> </w:t>
      </w:r>
      <w:r>
        <w:t xml:space="preserve">information and fixed-prior EIG it is immediate from data processing, and for a fixed decoder’s</w:t>
      </w:r>
      <w:r>
        <w:t xml:space="preserve"> </w:t>
      </w:r>
      <w:r>
        <w:t xml:space="preserve">perplexity-gap we claim nothing, Remark 5). Guarantees do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distribution-free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scalar score and so inherits the total order it calibrates, whereas what we verify is an order</w:t>
      </w:r>
      <w:r>
        <w:t xml:space="preserve"> </w:t>
      </w:r>
      <w:r>
        <w:t xml:space="preserve">relation between sources;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, a symptom of the same under-determination. The machinery</w:t>
      </w:r>
      <w:r>
        <w:t xml:space="preserve"> </w:t>
      </w:r>
      <w:r>
        <w:t xml:space="preserve">for identifying a non-dominated set from noisy multi-objective samples is in turn classical in the</w:t>
      </w:r>
      <w:r>
        <w:t xml:space="preserve"> </w:t>
      </w:r>
      <w:r>
        <w:t xml:space="preserve">bandit literature:</w:t>
      </w:r>
      <w:r>
        <w:t xml:space="preserve"> </w:t>
      </w:r>
      <w:r>
        <w:t xml:space="preserve">Auer et al. (2016)</w:t>
      </w:r>
      <w:r>
        <w:t xml:space="preserve"> </w:t>
      </w:r>
      <w:r>
        <w:t xml:space="preserve">give confidence-bound algorithms that identify the</w:t>
      </w:r>
      <w:r>
        <w:t xml:space="preserve"> </w:t>
      </w:r>
      <w:r>
        <w:t xml:space="preserve">Pareto front from stochastic samples, with a gap-based sample complexity of the kind our</w:t>
      </w:r>
      <w:r>
        <w:t xml:space="preserve"> </w:t>
      </w:r>
      <w:r>
        <w:t xml:space="preserve">verification pays for directly. What is new here is not the statistical machinery but the object</w:t>
      </w:r>
      <w:r>
        <w:t xml:space="preserve"> </w:t>
      </w:r>
      <w:r>
        <w:t xml:space="preserve">it is run on, (model, verifier, task-battery) triples, and its use as a verification of</w:t>
      </w:r>
      <w:r>
        <w:t xml:space="preserve"> </w:t>
      </w:r>
      <w:r>
        <w:t xml:space="preserve">incomparability between context sources.</w:t>
      </w:r>
    </w:p>
    <w:p>
      <w:pPr>
        <w:pStyle w:val="BodyText"/>
      </w:pPr>
      <w:r>
        <w:t xml:space="preserve">The retrieval community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, the downstream gain a</w:t>
      </w:r>
      <w:r>
        <w:t xml:space="preserve"> </w:t>
      </w:r>
      <w:r>
        <w:t xml:space="preserve">passage brings </w:t>
      </w:r>
      <w:r>
        <w:t xml:space="preserve">(H. Zhang et al. 2026)</w:t>
      </w:r>
      <w:r>
        <w:t xml:space="preserve">, and has found that utility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can depend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We regard this as the same diagnosis reached from the</w:t>
      </w:r>
      <w:r>
        <w:t xml:space="preserve"> </w:t>
      </w:r>
      <w:r>
        <w:t xml:space="preserve">other side, and the present paper as its formal boundary. Utility re-measured per task by running</w:t>
      </w:r>
      <w:r>
        <w:t xml:space="preserve"> </w:t>
      </w:r>
      <w:r>
        <w:t xml:space="preserve">the model is not a fixed per-source score; it is the probe our estimator is built from, and its cost</w:t>
      </w:r>
      <w:r>
        <w:t xml:space="preserve"> </w:t>
      </w:r>
      <w:r>
        <w:t xml:space="preserve">is the price we make explicit.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 learned scorer is a number again: fixed across tasks it is</w:t>
      </w:r>
      <w:r>
        <w:t xml:space="preserve"> </w:t>
      </w:r>
      <w:r>
        <w:t xml:space="preserve">covered by Theorem 2; query-conditioned but topical, by</w:t>
      </w:r>
      <w:r>
        <w:t xml:space="preserve"> </w:t>
      </w:r>
      <w:r>
        <w:t xml:space="preserve">Proposition 2 when it meets that proposition’s hypotheses. Reading the</w:t>
      </w:r>
      <w:r>
        <w:t xml:space="preserve"> </w:t>
      </w:r>
      <w:r>
        <w:t xml:space="preserve">decisive coordinate is one way out, which is the listwise boundary; reading public task metadata</w:t>
      </w:r>
      <w:r>
        <w:t xml:space="preserve"> </w:t>
      </w:r>
      <w:r>
        <w:t xml:space="preserve">is another (Remark 6). Three families</w:t>
      </w:r>
      <w:r>
        <w:t xml:space="preserve"> </w:t>
      </w:r>
      <w:r>
        <w:t xml:space="preserve">sit at the boundary. Listwise LLM rerankers </w:t>
      </w:r>
      <w:r>
        <w:t xml:space="preserve">(Sun et al. 2023)</w:t>
      </w:r>
      <w:r>
        <w:t xml:space="preserve"> </w:t>
      </w:r>
      <w:r>
        <w:t xml:space="preserve">and learned set</w:t>
      </w:r>
      <w:r>
        <w:t xml:space="preserve"> </w:t>
      </w:r>
      <w:r>
        <w:t xml:space="preserve">selectors </w:t>
      </w:r>
      <w:r>
        <w:t xml:space="preserve">(Jiang et al. 2026; Fan et al. 2026)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</w:t>
      </w:r>
      <w:r>
        <w:t xml:space="preserve"> </w:t>
      </w:r>
      <w:r>
        <w:t xml:space="preserve">theorem’s scope, though they carry no dominance guarantee of any kind. Skyline</w:t>
      </w:r>
      <w:r>
        <w:t xml:space="preserve"> </w:t>
      </w:r>
      <w:r>
        <w:t xml:space="preserve">selection </w:t>
      </w:r>
      <w:r>
        <w:t xml:space="preserve">(Zhu et al. 2026)</w:t>
      </w:r>
      <w:r>
        <w:t xml:space="preserve"> </w:t>
      </w:r>
      <w:r>
        <w:t xml:space="preserve">keeps every non-dominated candidate instead of a top-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operator the partial order calls for, but takes dominance over heuristic per-item scores rather</w:t>
      </w:r>
      <w:r>
        <w:t xml:space="preserve"> </w:t>
      </w:r>
      <w:r>
        <w:t xml:space="preserve">than over task value. Diversity-aware selection, from MMR </w:t>
      </w:r>
      <w:r>
        <w:t xml:space="preserve">(Carbonell and Goldstein 1998)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(Ye et al. 2023)</w:t>
      </w:r>
      <w:r>
        <w:t xml:space="preserve"> </w:t>
      </w:r>
      <w:r>
        <w:t xml:space="preserve">and submodular context selection </w:t>
      </w:r>
      <w:r>
        <w:t xml:space="preserve">(Ghulyani et al. 2026)</w:t>
      </w:r>
      <w:r>
        <w:t xml:space="preserve">, optimizes set</w:t>
      </w:r>
      <w:r>
        <w:t xml:space="preserve"> </w:t>
      </w:r>
      <w:r>
        <w:t xml:space="preserve">objectives over similarity geometry rather than over verified task value. 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the closest of these in form, because its covering</w:t>
      </w:r>
      <w:r>
        <w:t xml:space="preserve"> </w:t>
      </w:r>
      <w:r>
        <w:t xml:space="preserve">relation is genuinely</w:t>
      </w:r>
      <w:r>
        <w:t xml:space="preserve"> </w:t>
      </w:r>
      <w:r>
        <w:rPr>
          <w:i/>
          <w:iCs/>
        </w:rPr>
        <w:t xml:space="preserve">asymmetric</w:t>
      </w:r>
      <w:r>
        <w:t xml:space="preserve"> </w:t>
      </w:r>
      <w:r>
        <w:t xml:space="preserve">and information-theoretic rather than geometric: chunk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covers chunk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it predicts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within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bits. The relation it orders, however, is</w:t>
      </w:r>
      <w:r>
        <w:t xml:space="preserve"> </w:t>
      </w:r>
      <w:r>
        <w:t xml:space="preserve">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 and offline, so it prunes what</w:t>
      </w:r>
      <w:r>
        <w:t xml:space="preserve"> </w:t>
      </w:r>
      <w:r>
        <w:t xml:space="preserve">another chunk already predicts; it never exhibits two sources each decisive on a task the other</w:t>
      </w:r>
      <w:r>
        <w:t xml:space="preserve"> </w:t>
      </w:r>
      <w:r>
        <w:t xml:space="preserve">fails, which is the relation we measure.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(Robertson 1977)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(Fuhr 2008; Carbonell and Goldstein 1998)</w:t>
      </w:r>
      <w:r>
        <w:t xml:space="preserve">, and document interdependence</w:t>
      </w:r>
      <w:r>
        <w:t xml:space="preserve"> </w:t>
      </w:r>
      <w:r>
        <w:t xml:space="preserve">was given ranking principles of its own, portfolio theory </w:t>
      </w:r>
      <w:r>
        <w:t xml:space="preserve">(Wang and Zhu 2009)</w:t>
      </w:r>
      <w:r>
        <w:t xml:space="preserve"> </w:t>
      </w:r>
      <w:r>
        <w:t xml:space="preserve">and the quantum</w:t>
      </w:r>
      <w:r>
        <w:t xml:space="preserve"> </w:t>
      </w:r>
      <w:r>
        <w:t xml:space="preserve">probability ranking principle,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the dependence of one document’s</w:t>
      </w:r>
      <w:r>
        <w:t xml:space="preserve"> </w:t>
      </w:r>
      <w:r>
        <w:t xml:space="preserve">relevance on another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 quality, is measured directly </w:t>
      </w:r>
      <w:r>
        <w:t xml:space="preserve">(LeVine and Varjavand 2025)</w:t>
      </w:r>
      <w:r>
        <w:t xml:space="preserve">, and the companion</w:t>
      </w:r>
      <w:r>
        <w:t xml:space="preserve"> </w:t>
      </w:r>
      <w:r>
        <w:t xml:space="preserve">observation that 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, so that missing hops and unresolved</w:t>
      </w:r>
      <w:r>
        <w:t xml:space="preserve"> </w:t>
      </w:r>
      <w:r>
        <w:t xml:space="preserve">conflicts cannot be detected by scoring passages independently, is argued at the set</w:t>
      </w:r>
      <w:r>
        <w:t xml:space="preserve"> </w:t>
      </w:r>
      <w:r>
        <w:t xml:space="preserve">level </w:t>
      </w:r>
      <w:r>
        <w:t xml:space="preserve">(Qiu et al. 2026)</w:t>
      </w:r>
      <w:r>
        <w:t xml:space="preserve">. Our delta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 the failure becomes a theorem in the comparison-of-experiments</w:t>
      </w:r>
      <w:r>
        <w:t xml:space="preserve"> </w:t>
      </w:r>
      <w:r>
        <w:t xml:space="preserve">frame, with the precise structural condition, Blackwell incomparability, under which every</w:t>
      </w:r>
      <w:r>
        <w:t xml:space="preserve"> </w:t>
      </w:r>
      <w:r>
        <w:t xml:space="preserve">query-independent scalar must mis-rank, and a verified live 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length, position and formatting controls and is consistent with convention</w:t>
      </w:r>
      <w:r>
        <w:t xml:space="preserve"> </w:t>
      </w:r>
      <w:r>
        <w:t xml:space="preserve">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learning,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That preprint</w:t>
      </w:r>
      <w:r>
        <w:t xml:space="preserve"> </w:t>
      </w:r>
      <w:r>
        <w:t xml:space="preserve">was posted on 25 June 2026, while the measurements reported here were already complete; we claim</w:t>
      </w:r>
      <w:r>
        <w:t xml:space="preserve"> </w:t>
      </w:r>
      <w:r>
        <w:t xml:space="preserve">no priority over it, and the reader should treat the transport of this apparatus to inference-time</w:t>
      </w:r>
      <w:r>
        <w:t xml:space="preserve"> </w:t>
      </w:r>
      <w:r>
        <w:t xml:space="preserve">context as theirs. The objects are nonetheless different, and that difference is what this paper</w:t>
      </w:r>
      <w:r>
        <w:t xml:space="preserve"> </w:t>
      </w:r>
      <w:r>
        <w:t xml:space="preserve">is about.</w:t>
      </w:r>
      <w:r>
        <w:t xml:space="preserve"> </w:t>
      </w:r>
      <w:r>
        <w:t xml:space="preserve">There, deficiency is a scalar risk gap</w:t>
      </w:r>
      <w:r>
        <w:t xml:space="preserve"> </w:t>
      </w:r>
      <w:r>
        <w:rPr>
          <w:i/>
          <w:iCs/>
        </w:rPr>
        <w:t xml:space="preserve">inside one declared decision problem</w:t>
      </w:r>
      <w:r>
        <w:t xml:space="preserve">, with the</w:t>
      </w:r>
      <w:r>
        <w:t xml:space="preserve"> </w:t>
      </w:r>
      <w:r>
        <w:t xml:space="preserve">garbling theorem explicitly set aside as inactive there; the partial order that work does invoke</w:t>
      </w:r>
      <w:r>
        <w:t xml:space="preserve"> </w:t>
      </w:r>
      <w:r>
        <w:t xml:space="preserve">runs over</w:t>
      </w:r>
      <w:r>
        <w:t xml:space="preserve"> </w:t>
      </w:r>
      <w:r>
        <w:rPr>
          <w:i/>
          <w:iCs/>
        </w:rPr>
        <w:t xml:space="preserve">compression methods</w:t>
      </w:r>
      <w:r>
        <w:t xml:space="preserve"> </w:t>
      </w:r>
      <w:r>
        <w:t xml:space="preserve">and is asserted structurally rather than measured. Our object</w:t>
      </w:r>
      <w:r>
        <w:t xml:space="preserve"> </w:t>
      </w:r>
      <w:r>
        <w:t xml:space="preserve">is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that order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the consequence that no single per-source score can</w:t>
      </w:r>
      <w:r>
        <w:t xml:space="preserve"> </w:t>
      </w:r>
      <w:r>
        <w:t xml:space="preserve">be faithful to it, and verify a strict superset of a sufficient source collapsing PASS with the</w:t>
      </w:r>
      <w:r>
        <w:t xml:space="preserve"> </w:t>
      </w:r>
      <w:r>
        <w:t xml:space="preserve">length, position and routing confounds controlled. Incomparability in this sense cannot arise</w:t>
      </w:r>
      <w:r>
        <w:t xml:space="preserve"> </w:t>
      </w:r>
      <w:r>
        <w:t xml:space="preserve">inside a single declared decision problem, so its absence there is not a gap but a different</w:t>
      </w:r>
      <w:r>
        <w:t xml:space="preserve"> </w:t>
      </w:r>
      <w:r>
        <w:t xml:space="preserve">question. 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</w:t>
      </w:r>
      <w:r>
        <w:t xml:space="preserve"> </w:t>
      </w:r>
      <w:r>
        <w:t xml:space="preserve">by Blackwell informativeness and show that the mutual information between the curated and the</w:t>
      </w:r>
      <w:r>
        <w:t xml:space="preserve"> </w:t>
      </w:r>
      <w:r>
        <w:t xml:space="preserve">test 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</w:t>
      </w:r>
      <w:r>
        <w:t xml:space="preserve"> </w:t>
      </w:r>
      <w:r>
        <w:t xml:space="preserve">direction, and it is one-directional; a scalar can be monotone along the order without</w:t>
      </w:r>
      <w:r>
        <w:t xml:space="preserve"> </w:t>
      </w:r>
      <w:r>
        <w:t xml:space="preserve">representing it, so their result is compatible with ours rather than opposed to it. Their</w:t>
      </w:r>
      <w:r>
        <w:t xml:space="preserve"> </w:t>
      </w:r>
      <w:r>
        <w:t xml:space="preserve">comparison is also taken against the Bayes-optimal user of the data, ours against a fixed model</w:t>
      </w:r>
      <w:r>
        <w:t xml:space="preserve"> </w:t>
      </w:r>
      <w:r>
        <w:t xml:space="preserve">rule on a task family. What Theorem 2 adds is the converse question, whether</w:t>
      </w:r>
      <w:r>
        <w:t xml:space="preserve"> </w:t>
      </w:r>
      <w:r>
        <w:t xml:space="preserve">any query-independent scalar 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</w:t>
      </w:r>
      <w:r>
        <w:t xml:space="preserve"> </w:t>
      </w:r>
      <w:r>
        <w:t xml:space="preserve">be once the order is partial. Nearby uses stop short of</w:t>
      </w:r>
      <w:r>
        <w:t xml:space="preserve"> </w:t>
      </w:r>
      <w:r>
        <w:t xml:space="preserve">what we do: garbling to harden LLM evaluations </w:t>
      </w:r>
      <w:r>
        <w:t xml:space="preserve">(Bradley 2024)</w:t>
      </w:r>
      <w:r>
        <w:t xml:space="preserve">, statistical deficiency</w:t>
      </w:r>
      <w:r>
        <w:t xml:space="preserve"> </w:t>
      </w:r>
      <w:r>
        <w:t xml:space="preserve">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</w:t>
      </w:r>
      <w:r>
        <w:t xml:space="preserve"> </w:t>
      </w:r>
      <w:r>
        <w:t xml:space="preserve">in transfer 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 AI </w:t>
      </w:r>
      <w:r>
        <w:t xml:space="preserve">(Paxton 2026)</w:t>
      </w:r>
      <w:r>
        <w:t xml:space="preserve">.</w:t>
      </w:r>
      <w:r>
        <w:t xml:space="preserve"> </w:t>
      </w:r>
      <w:r>
        <w:t xml:space="preserve">The one use of the order for language models at inference time that we know of sits on the</w:t>
      </w:r>
      <w:r>
        <w:t xml:space="preserve"> </w:t>
      </w:r>
      <w:r>
        <w:t xml:space="preserve">other side of the 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 induced</w:t>
      </w:r>
      <w:r>
        <w:t xml:space="preserve"> </w:t>
      </w:r>
      <w:r>
        <w:t xml:space="preserve">by multi-agent protocols. They show that voting and debate are no more informative than the</w:t>
      </w:r>
      <w:r>
        <w:t xml:space="preserve"> </w:t>
      </w:r>
      <w:r>
        <w:t xml:space="preserve">pooled private information of all agents, and identify Bayesian pooled-posterior maximisation as</w:t>
      </w:r>
      <w:r>
        <w:t xml:space="preserve"> </w:t>
      </w:r>
      <w:r>
        <w:t xml:space="preserve">the 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Appendix C places the methods above on three axes: whether the method is cheap</w:t>
      </w:r>
      <w:r>
        <w:t xml:space="preserve"> </w:t>
      </w:r>
      <w:r>
        <w:t xml:space="preserve">enough to run at retrieval scale, whether it conditions on the task, and whether it can represent</w:t>
      </w:r>
      <w:r>
        <w:t xml:space="preserve"> </w:t>
      </w:r>
      <w:r>
        <w:t xml:space="preserve">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ranking. Two things come out of that grid. Every method</w:t>
      </w:r>
      <w:r>
        <w:t xml:space="preserve"> </w:t>
      </w:r>
      <w:r>
        <w:t xml:space="preserve">cheap enough to precompute emits one number per item and so falls under</w:t>
      </w:r>
      <w:r>
        <w:t xml:space="preserve"> </w:t>
      </w:r>
      <w:r>
        <w:t xml:space="preserve">Theorem 2 when that number is fixed across tasks; and the methods that escape</w:t>
      </w:r>
      <w:r>
        <w:t xml:space="preserve"> </w:t>
      </w:r>
      <w:r>
        <w:t xml:space="preserve">do so either by reading the decisive content per candidate, which costs a model call, or by</w:t>
      </w:r>
      <w:r>
        <w:t xml:space="preserve"> </w:t>
      </w:r>
      <w:r>
        <w:t xml:space="preserve">routing on public task metadata, which Proposition 2 does not exclude</w:t>
      </w:r>
      <w:r>
        <w:t xml:space="preserve"> </w:t>
      </w:r>
      <w:r>
        <w:t xml:space="preserve">(Remark 6).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§2 placed the contribution against prior work; the next four sections make it</w:t>
      </w:r>
      <w:r>
        <w:t xml:space="preserve"> </w:t>
      </w:r>
      <w:r>
        <w:t xml:space="preserve">precise, beginning here with the objects. 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</w:t>
      </w:r>
      <w:r>
        <w:t xml:space="preserve"> </w:t>
      </w:r>
      <w:r>
        <w:t xml:space="preserve">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§7).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§3.2 and Lemma 1.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comparison, and the measured pass rates enter as its falsifiable signature, not as a bound on a</w:t>
      </w:r>
      <w:r>
        <w:t xml:space="preserve"> </w:t>
      </w:r>
      <w:r>
        <w:t xml:space="preserve">Bayes value.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(§4)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§6, the</w:t>
      </w:r>
      <w:r>
        <w:t xml:space="preserve"> </w:t>
      </w:r>
      <w:r>
        <w:t xml:space="preserve">interference statistic of §6.3, and the entire six-model program of</w:t>
      </w:r>
      <w:r>
        <w:t xml:space="preserve"> </w:t>
      </w:r>
      <w:r>
        <w:t xml:space="preserve">§7,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(§3), the classical comparison of</w:t>
      </w:r>
      <w:r>
        <w:t xml:space="preserve"> </w:t>
      </w:r>
      <w:r>
        <w:t xml:space="preserve">experiments applies to them directly. We state the order, record that it is partial</w:t>
      </w:r>
      <w:r>
        <w:t xml:space="preserve"> </w:t>
      </w:r>
      <w:r>
        <w:t xml:space="preserve">(the regime our experiments target), and, because those experiments measure a fixed model rather</w:t>
      </w:r>
      <w:r>
        <w:t xml:space="preserve"> </w:t>
      </w:r>
      <w:r>
        <w:t xml:space="preserve">than the idealized decision-maker the classical theorem assumes, build an explicit bridge between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This is the classical Blackwell–Sherman–Stein theorem </w:t>
      </w:r>
      <w:r>
        <w:t xml:space="preserve">(Blackwell 1953; Torgersen 1991)</w:t>
      </w:r>
      <w:r>
        <w:t xml:space="preserve">,</w:t>
      </w:r>
      <w:r>
        <w:t xml:space="preserve"> </w:t>
      </w:r>
      <w:r>
        <w:t xml:space="preserve">which we use as a black box. The two directions are not on the same footing and we separate them.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 by</w:t>
      </w:r>
      <w:r>
        <w:t xml:space="preserve"> </w:t>
      </w:r>
      <w:r>
        <w:t xml:space="preserve">simulating the garbling, and it is the only direction Corollary 1 and</w:t>
      </w:r>
      <w:r>
        <w:t xml:space="preserve"> </w:t>
      </w:r>
      <w:r>
        <w:t xml:space="preserve">Lemma 2 use.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space: that is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the case our coordinate construction realizes. On a general state</w:t>
      </w:r>
      <w:r>
        <w:t xml:space="preserve"> </w:t>
      </w:r>
      <w:r>
        <w:t xml:space="preserve">space the converse needs the convex closure taken in the definition of more-informativeness, which</w:t>
      </w:r>
      <w:r>
        <w:t xml:space="preserve"> </w:t>
      </w:r>
      <w:r>
        <w:t xml:space="preserve">is where the careful statement lives </w:t>
      </w:r>
      <w:r>
        <w:t xml:space="preserve">(Khan et al. 2025)</w:t>
      </w:r>
      <w:r>
        <w:t xml:space="preserve">. The only specialization is reading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 a task with</w:t>
      </w:r>
      <w:r>
        <w:t xml:space="preserve"> </w:t>
      </w:r>
      <w:r>
        <w:t xml:space="preserve">bounded verifier utility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</w:t>
      </w:r>
      <w:r>
        <w:t xml:space="preserve"> </w:t>
      </w:r>
      <w:r>
        <w:t xml:space="preserve">(Definition 1), which is faithful because the kernels of</w:t>
      </w:r>
      <w:r>
        <w:t xml:space="preserve"> </w:t>
      </w:r>
      <w:r>
        <w:t xml:space="preserve">Definition 3 are standard Borel.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§4.3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§7: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1.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(</w:t>
      </w:r>
      <w:r>
        <w:rPr>
          <w:i/>
          <w:i/>
          <w:iCs/>
          <w:iCs/>
        </w:rPr>
        <w:t xml:space="preserve">sufficiency of the informed source</w:t>
      </w:r>
      <w:r>
        <w:rPr>
          <w:i/>
          <w:iCs/>
        </w:rPr>
        <w:t xml:space="preserve">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measured crossover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the falsifiable signature of that separation and is what</w:t>
      </w:r>
      <w:r>
        <w:rPr>
          <w:i/>
          <w:iCs/>
        </w:rPr>
        <w:t xml:space="preserve"> </w:t>
      </w:r>
      <w:r>
        <w:rPr>
          <w:i/>
          <w:iCs/>
        </w:rPr>
        <w:t xml:space="preserve">§7 verifies per cell;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it is evidence for the hypothesis rather than a bound on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It is worth fixing what each formal object does, since they are easy to run together.</w:t>
      </w:r>
      <w:r>
        <w:t xml:space="preserve"> </w:t>
      </w:r>
      <w:r>
        <w:t xml:space="preserve">Lemma 1 establishes structural incomparability for the specified projection</w:t>
      </w:r>
      <w:r>
        <w:t xml:space="preserve"> </w:t>
      </w:r>
      <w:r>
        <w:t xml:space="preserve">sources, and needs no prior, no caps and no measurement. Lemma 2 gives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for a pair not handed to us that way, and</w:t>
      </w:r>
      <w:r>
        <w:t xml:space="preserve"> </w:t>
      </w:r>
      <w:r>
        <w:t xml:space="preserve">clarifies why a fixed-decoder crossover alone is insufficient; its guessing caps are assumptions,</w:t>
      </w:r>
      <w:r>
        <w:t xml:space="preserve"> </w:t>
      </w:r>
      <w:r>
        <w:t xml:space="preserve">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rates.</w:t>
      </w:r>
      <w:r>
        <w:t xml:space="preserve"> </w:t>
      </w:r>
      <w:r>
        <w:t xml:space="preserve">Assumption 1 is a different kind of statement again: it concerns the decoder’s</w:t>
      </w:r>
      <w:r>
        <w:t xml:space="preserve"> </w:t>
      </w:r>
      <w:r>
        <w:t xml:space="preserve">realized cross-advantage on named tasks, which the experiments assess directly. Of the two</w:t>
      </w:r>
      <w:r>
        <w:t xml:space="preserve"> </w:t>
      </w:r>
      <w:r>
        <w:t xml:space="preserve">controls, the superset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Blackwell-comparable despite opposing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preferences, while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illustrates the separate matter of</w:t>
      </w:r>
      <w:r>
        <w:t xml:space="preserve"> </w:t>
      </w:r>
      <w:r>
        <w:t xml:space="preserve">representation dependence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equivalence class.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§4 showed the order is partial; we now establish the consequence that</w:t>
      </w:r>
      <w:r>
        <w:t xml:space="preserve"> </w:t>
      </w:r>
      <w:r>
        <w:t xml:space="preserve">motivates the 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w:r>
        <w:rPr>
          <w:i/>
          <w:iCs/>
        </w:rPr>
        <w:t xml:space="preserve">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 the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-induced ranking also disagrees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(§2).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2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that the scorers deployed in practice, which read text rather than labels, do fall</w:t>
      </w:r>
      <w:r>
        <w:t xml:space="preserve"> </w:t>
      </w:r>
      <w:r>
        <w:t xml:space="preserve">into the constrained class on it (§7.4.2).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§7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Proposition 2 is deliberately narrow. It constrains a query-conditioned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 that score meets 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it does</w:t>
      </w:r>
      <w:r>
        <w:t xml:space="preserve"> </w:t>
      </w:r>
      <w:r>
        <w:t xml:space="preserve">not cover the topical class as a whole, and it says nothing about an arbitrary learned reranker,</w:t>
      </w:r>
      <w:r>
        <w:t xml:space="preserve"> </w:t>
      </w:r>
      <w:r>
        <w:t xml:space="preserve">which might read the private coordinate, or about a router over public task metadata</w:t>
      </w:r>
      <w:r>
        <w:t xml:space="preserve"> </w:t>
      </w:r>
      <w:r>
        <w:t xml:space="preserve">(Remark 6). Note also that it is a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a score that</w:t>
      </w:r>
      <w:r>
        <w:t xml:space="preserve"> </w:t>
      </w:r>
      <w:r>
        <w:t xml:space="preserve">may vary with the task; Theorem 2 is the separate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one number per source fixed across all tasks. We therefore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</w:t>
      </w:r>
      <w:r>
        <w:t xml:space="preserve"> </w:t>
      </w:r>
      <w:r>
        <w:t xml:space="preserve">§7.4.2. In §7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every one of the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(§7.4.2, Table 3), so the topical class is not a lexical strawman: its failure mode is shared by the ranker</w:t>
      </w:r>
      <w:r>
        <w:t xml:space="preserve"> </w:t>
      </w:r>
      <w:r>
        <w:t xml:space="preserve">families retrieval systems actually deploy. The same failure is documented in the wild:</w:t>
      </w:r>
      <w:r>
        <w:t xml:space="preserve"> </w:t>
      </w:r>
      <w:r>
        <w:t xml:space="preserve">language-model re-rankers are steered by lexical similarity across NQ, LitQA2, and</w:t>
      </w:r>
      <w:r>
        <w:t xml:space="preserve"> </w:t>
      </w:r>
      <w:r>
        <w:t xml:space="preserve">DRUID </w:t>
      </w:r>
      <w:r>
        <w:t xml:space="preserve">(Hagström, Nie, et al. 2025)</w:t>
      </w:r>
      <w:r>
        <w:t xml:space="preserve">, the last of these a corpus of real retrieved contexts</w:t>
      </w:r>
      <w:r>
        <w:t xml:space="preserve"> </w:t>
      </w:r>
      <w:r>
        <w:t xml:space="preserve">built precisely to check whether synthetic benchmarks overstate context</w:t>
      </w:r>
      <w:r>
        <w:t xml:space="preserve"> </w:t>
      </w:r>
      <w:r>
        <w:t xml:space="preserve">utilisation </w:t>
      </w:r>
      <w:r>
        <w:t xml:space="preserve">(Hagström, Marjanović, et al. 2025)</w:t>
      </w:r>
      <w:r>
        <w:t xml:space="preserve">; and passages that are semantically close but logically</w:t>
      </w:r>
      <w:r>
        <w:t xml:space="preserve"> </w:t>
      </w:r>
      <w:r>
        <w:t xml:space="preserve">irrelevant defeat retrievers and rerankers at scale, with an evidence-reasoning agent, a listwise</w:t>
      </w:r>
      <w:r>
        <w:t xml:space="preserve"> </w:t>
      </w:r>
      <w:r>
        <w:t xml:space="preserve">reader, as the remedy </w:t>
      </w:r>
      <w:r>
        <w:t xml:space="preserve">(Chen et al. 2026)</w:t>
      </w:r>
      <w:r>
        <w:t xml:space="preserve">, which is the boundary</w:t>
      </w:r>
      <w:r>
        <w:t xml:space="preserve"> </w:t>
      </w:r>
      <w:r>
        <w:t xml:space="preserve">Proposition 2 draws.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2 permits rather than predicts: its hypothesis</w:t>
      </w:r>
      <w:r>
        <w:t xml:space="preserve"> </w:t>
      </w:r>
      <w:r>
        <w:t xml:space="preserve">is topicality (invariance to the verifier-decisive coordinate), and a ranker that reads the</w:t>
      </w:r>
      <w:r>
        <w:t xml:space="preserve"> </w:t>
      </w:r>
      <w:r>
        <w:t xml:space="preserve">coordinate is simply outside the constrained class, so the proposition allows it to succeed</w:t>
      </w:r>
      <w:r>
        <w:t xml:space="preserve"> </w:t>
      </w:r>
      <w:r>
        <w:t xml:space="preserve">without implying that it must.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§5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verifies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(Le Cam 1964, 1986; Torgersen 1991)</w:t>
      </w:r>
      <w:r>
        <w:t xml:space="preserve">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§7.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verification is conservative.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(§3.3).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(§7.4.3);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103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(§4), its impossibility consequence (§5),</w:t>
      </w:r>
      <w:r>
        <w:t xml:space="preserve"> </w:t>
      </w:r>
      <w:r>
        <w:t xml:space="preserve">and the verification that measures it (§6)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§3: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3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two-transports."/>
    <w:p>
      <w:pPr>
        <w:pStyle w:val="Heading4"/>
      </w:pPr>
      <w:r>
        <w:t xml:space="preserve">One turn budget, two transports.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The transport is not the same for all six. The Anthropic models are reached through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with a one-turn budget and no tools; the other three through an OpenAI-style</w:t>
      </w:r>
      <w:r>
        <w:t xml:space="preserve"> </w:t>
      </w:r>
      <w:r>
        <w:t xml:space="preserve">HTTP call the harness composes itself. What this matches across vendors is the</w:t>
      </w:r>
      <w:r>
        <w:t xml:space="preserve"> </w:t>
      </w:r>
      <w:r>
        <w:rPr>
          <w:i/>
          <w:iCs/>
        </w:rPr>
        <w:t xml:space="preserve">turn budget</w:t>
      </w:r>
      <w:r>
        <w:t xml:space="preserve">:</w:t>
      </w:r>
      <w:r>
        <w:t xml:space="preserve"> </w:t>
      </w:r>
      <w:r>
        <w:t xml:space="preserve">one pass, no agentic exploration, so the model must use what it is given. What it does not match</w:t>
      </w:r>
      <w:r>
        <w:t xml:space="preserve"> </w:t>
      </w:r>
      <w:r>
        <w:t xml:space="preserve">is the request. The command-line path carries that tool’s own system prompt, which the harness</w:t>
      </w:r>
      <w:r>
        <w:t xml:space="preserve"> </w:t>
      </w:r>
      <w:r>
        <w:t xml:space="preserve">neither sets nor observes, while the HTTP path carries only the task prompt. A between-vendor</w:t>
      </w:r>
      <w:r>
        <w:t xml:space="preserve"> </w:t>
      </w:r>
      <w:r>
        <w:t xml:space="preserve">difference in this table is therefore a difference between (model, transport) pairs, and the</w:t>
      </w:r>
      <w:r>
        <w:t xml:space="preserve"> </w:t>
      </w:r>
      <w:r>
        <w:t xml:space="preserve">transport split falls exactly along the Anthropic / non-Anthropic line, so we do not read the</w:t>
      </w:r>
      <w:r>
        <w:t xml:space="preserve"> </w:t>
      </w:r>
      <w:r>
        <w:t xml:space="preserve">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as properties of the models alone (§8.4).</w:t>
      </w:r>
      <w:r>
        <w:t xml:space="preserve"> </w:t>
      </w:r>
      <w:r>
        <w:t xml:space="preserve">The claims the paper verifies are within-model comparisons between arms, where the transport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verifier, summarised as a</w:t>
      </w:r>
      <w:r>
        <w:t xml:space="preserve"> </w:t>
      </w:r>
      <w:r>
        <w:t xml:space="preserve">count. Uncertainty is carried by exact Clopper–Pearson intervals rather than a normal</w:t>
      </w:r>
      <w:r>
        <w:t xml:space="preserve"> </w:t>
      </w:r>
      <w:r>
        <w:t xml:space="preserve">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where the approximation is worst</w:t>
      </w:r>
      <w:r>
        <w:t xml:space="preserve"> </w:t>
      </w:r>
      <w:r>
        <w:t xml:space="preserve">(). Multiplicity is paid explicitly by a union bound whose family is stated</w:t>
      </w:r>
      <w:r>
        <w:t xml:space="preserve"> </w:t>
      </w:r>
      <w:r>
        <w:t xml:space="preserve">with each claim: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for an incomparability verification</w:t>
      </w:r>
      <w:r>
        <w:t xml:space="preserve"> </w:t>
      </w:r>
      <w:r>
        <w:t xml:space="preserve">(Proposition 3), two endpoints for a harm contrast</w:t>
      </w:r>
      <w:r>
        <w:t xml:space="preserve"> </w:t>
      </w:r>
      <w:r>
        <w:t xml:space="preserve">(Proposition 4). No result is reported as significant without naming the</w:t>
      </w:r>
      <w:r>
        <w:t xml:space="preserve"> </w:t>
      </w:r>
      <w:r>
        <w:t xml:space="preserve">family it was corrected in, and §6.5 states which conjunctions are controlled</w:t>
      </w:r>
      <w:r>
        <w:t xml:space="preserve"> </w:t>
      </w:r>
      <w:r>
        <w:t xml:space="preserve">jointly and which only marginally.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Appendix E gives the decoding configuration, the retry and</w:t>
      </w:r>
      <w:r>
        <w:t xml:space="preserve"> </w:t>
      </w:r>
      <w:r>
        <w:t xml:space="preserve">outage policy, and the cells that were re-measured, with why.</w:t>
      </w:r>
    </w:p>
    <w:bookmarkEnd w:id="77"/>
    <w:bookmarkStart w:id="78" w:name="what-verified-means-in-plain-terms."/>
    <w:p>
      <w:pPr>
        <w:pStyle w:val="Heading4"/>
      </w:pPr>
      <w:r>
        <w:t xml:space="preserve">What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means, in plain terms.</w:t>
      </w:r>
    </w:p>
    <w:p>
      <w:pPr>
        <w:pStyle w:val="FirstParagraph"/>
      </w:pPr>
      <w:r>
        <w:t xml:space="preserve">Every claim labeled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is statistically significant in the standard sense and then</w:t>
      </w:r>
      <w:r>
        <w:t xml:space="preserve"> </w:t>
      </w:r>
      <w:r>
        <w:t xml:space="preserve">corrected for multiplicity: PASS rates are estimated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per cell,</w:t>
      </w:r>
      <w:r>
        <w:t xml:space="preserve"> </w:t>
      </w:r>
      <w:r>
        <w:t xml:space="preserve">uncertainty is carried by exact binomial (Clopper–Pearson) confidence intervals under the</w:t>
      </w:r>
      <w:r>
        <w:t xml:space="preserve"> </w:t>
      </w:r>
      <w:r>
        <w:t xml:space="preserve">per-cell Bernoulli model of Assumption 2, and each family of claims is corrected by a</w:t>
      </w:r>
      <w:r>
        <w:t xml:space="preserve"> </w:t>
      </w:r>
      <w:r>
        <w:t xml:space="preserve">union bound, so the</w:t>
      </w:r>
      <w:r>
        <w:t xml:space="preserve"> </w:t>
      </w:r>
      <w:r>
        <w:t xml:space="preserve">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(all incomparability cells, or the arms of one interference</w:t>
      </w:r>
      <w:r>
        <w:t xml:space="preserve"> </w:t>
      </w:r>
      <w:r>
        <w:t xml:space="preserve">contrast) hold jointly with probability at least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. We do not claim joint control across</w:t>
      </w:r>
      <w:r>
        <w:t xml:space="preserve"> </w:t>
      </w:r>
      <w:r>
        <w:t xml:space="preserve">families drawn from the same run; that limitation is stated where it bites</w:t>
      </w:r>
      <w:r>
        <w:t xml:space="preserve"> </w:t>
      </w:r>
      <w:r>
        <w:t xml:space="preserve">(§6.5). For the effect sizes at stake,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versus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intervals stay separated by a wide margin even after correction.</w:t>
      </w:r>
      <w:r>
        <w:t xml:space="preserve"> </w:t>
      </w:r>
      <w:r>
        <w:t xml:space="preserve">Results whose intervals did not separate are 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</w:t>
      </w:r>
      <w:r>
        <w:t xml:space="preserve"> </w:t>
      </w:r>
      <w:r>
        <w:t xml:space="preserve">never used as evidence; the protocol reports its own insufficiency rather than hiding it.</w:t>
      </w:r>
    </w:p>
    <w:bookmarkEnd w:id="78"/>
    <w:bookmarkStart w:id="79" w:name="verification-parameters."/>
    <w:p>
      <w:pPr>
        <w:pStyle w:val="Heading4"/>
      </w:pPr>
      <w:r>
        <w:t xml:space="preserve">Verification parameters.</w:t>
      </w:r>
    </w:p>
    <w:p>
      <w:pPr>
        <w:pStyle w:val="FirstParagraph"/>
      </w:pPr>
      <w:r>
        <w:t xml:space="preserve">All verifications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harm verification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the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verifying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;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descriptively only</w:t>
      </w:r>
      <w:r>
        <w:t xml:space="preserve"> </w:t>
      </w:r>
      <w:r>
        <w:t xml:space="preserve">(Remark 9). We report each verification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(§6.5, §8.4).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interval 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 Figure</w:t>
      </w:r>
      <w:r>
        <w:t xml:space="preserve"> </w:t>
      </w:r>
      <w:r>
        <w:t xml:space="preserve">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the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cells with intermediate proportions need a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the same margin.</w:t>
      </w:r>
    </w:p>
    <w:bookmarkEnd w:id="79"/>
    <w:bookmarkStart w:id="80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level;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the verified conclusions are not sensitive to tightening it.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</w:t>
      </w:r>
      <w:r>
        <w:t xml:space="preserve"> </w:t>
      </w:r>
      <w:r>
        <w:t xml:space="preserve">materiality 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</w:t>
      </w:r>
      <w:r>
        <w:t xml:space="preserve"> </w:t>
      </w:r>
      <w:r>
        <w:t xml:space="preserve">the interval 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</w:t>
      </w:r>
      <w:r>
        <w:t xml:space="preserve"> </w:t>
      </w:r>
      <w:r>
        <w:t xml:space="preserve">work. The verified collapses clear it with upper confidence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4), and the character-matched padding control clears it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. One</w:t>
      </w:r>
      <w:r>
        <w:t xml:space="preserve"> </w:t>
      </w:r>
      <w:r>
        <w:t xml:space="preserve">real effect fails it and is reported as unverified rather than folded in: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(upper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</m:oMath>
      <w:r>
        <w:t xml:space="preserve">; a ceiling the raw-failure audit traces to an omitted</w:t>
      </w:r>
      <w:r>
        <w:t xml:space="preserve"> </w:t>
      </w:r>
      <w:r>
        <w:t xml:space="preserve">import line, not to the contract, ), which still falls short at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 </w:t>
      </w:r>
      <w:r>
        <w:t xml:space="preserve">once the import is neutralized. A threshold that a genuine effect fails is evidence it was not</w:t>
      </w:r>
      <w:r>
        <w:t xml:space="preserve"> </w:t>
      </w:r>
      <w:r>
        <w:t xml:space="preserve">tuned to pass the data. We note that the second-pair contrast, reported in an earlier version as</w:t>
      </w:r>
      <w:r>
        <w:t xml:space="preserve"> </w:t>
      </w:r>
      <w:r>
        <w:t xml:space="preserve">sign-only, clears the margin 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once the confidence budget is allocated correctly</w:t>
      </w:r>
      <w:r>
        <w:t xml:space="preserve"> </w:t>
      </w:r>
      <w:r>
        <w:t xml:space="preserve">(§7.5); the earlier shortfall was an artifact of spending two-sided</w:t>
      </w:r>
      <w:r>
        <w:t xml:space="preserve"> </w:t>
      </w:r>
      <w:r>
        <w:t xml:space="preserve">intervals on a one-sided bound, not a property of that effect.</w:t>
      </w:r>
    </w:p>
    <w:bookmarkEnd w:id="80"/>
    <w:bookmarkStart w:id="81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</w:t>
      </w:r>
      <w:r>
        <w:t xml:space="preserve"> </w:t>
      </w:r>
      <w:r>
        <w:t xml:space="preserve">success probability per cell. They carry nothing else, and two components outside them are larger</w:t>
      </w:r>
      <w:r>
        <w:t xml:space="preserve"> </w:t>
      </w:r>
      <w:r>
        <w:t xml:space="preserve">than they 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the re-measurement of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 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 outside the nominal intervals for those cells, and Sonnet’s failure mode changed</w:t>
      </w:r>
      <w:r>
        <w:t xml:space="preserve"> </w:t>
      </w:r>
      <w:r>
        <w:t xml:space="preserve">category entirely.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the raw-failure audit traces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 on</w:t>
      </w:r>
      <w:r>
        <w:t xml:space="preserve"> </w:t>
      </w:r>
      <w:r>
        <w:t xml:space="preserve">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</w:t>
      </w:r>
      <w:r>
        <w:t xml:space="preserve"> </w:t>
      </w:r>
      <w:r>
        <w:t xml:space="preserve">(model snapshot, prompt, default decoder) triple,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(§3.3), and</w:t>
      </w:r>
      <w:r>
        <w:t xml:space="preserve"> </w:t>
      </w:r>
      <w:r>
        <w:t xml:space="preserve">not a property of a vendor’s model line. The estimates apply to the evaluated model snapshot,</w:t>
      </w:r>
      <w:r>
        <w:t xml:space="preserve"> </w:t>
      </w:r>
      <w:r>
        <w:t xml:space="preserve">prompt and decoder configuration, and we read them as a</w:t>
      </w:r>
      <w:r>
        <w:t xml:space="preserve"> </w:t>
      </w:r>
      <w:r>
        <w:t xml:space="preserve">weakness: the re-measurement bounds the drift component empirically, and the direction of every</w:t>
      </w:r>
      <w:r>
        <w:t xml:space="preserve"> </w:t>
      </w:r>
      <w:r>
        <w:t xml:space="preserve">verdict survived it.</w:t>
      </w:r>
    </w:p>
    <w:bookmarkEnd w:id="81"/>
    <w:bookmarkStart w:id="82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verification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2); the four</w:t>
      </w:r>
      <w:r>
        <w:t xml:space="preserve"> </w:t>
      </w:r>
      <w:r>
        <w:t xml:space="preserve">arms within a cell are separate completions, and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an independent call with no</w:t>
      </w:r>
      <w:r>
        <w:t xml:space="preserve"> </w:t>
      </w:r>
      <w:r>
        <w:t xml:space="preserve">shared state. We report the decoding parameters, seeding</w:t>
      </w:r>
      <w:r>
        <w:t xml:space="preserve"> </w:t>
      </w:r>
      <w:r>
        <w:t xml:space="preserve">policy, and retry policy in Appendix E.</w:t>
      </w:r>
    </w:p>
    <w:bookmarkEnd w:id="82"/>
    <w:bookmarkEnd w:id="83"/>
    <w:bookmarkStart w:id="96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(§7.4.1), the relevance mis-rank</w:t>
      </w:r>
      <w:r>
        <w:t xml:space="preserve"> </w:t>
      </w:r>
      <w:r>
        <w:t xml:space="preserve">(§7.4.2), anti-monotonicity (§7.4.3), and the</w:t>
      </w:r>
      <w:r>
        <w:t xml:space="preserve"> </w:t>
      </w:r>
      <w:r>
        <w:t xml:space="preserve">model-relative value of private context (§7.4.4).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5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rPr>
          <w:i/>
          <w:iCs/>
        </w:rPr>
        <w:t xml:space="preserve">Question: do the two sources cross in realized pass rate, and does the crossing survive the multiplicity of choosing which cell carries it?</w:t>
      </w:r>
    </w:p>
    <w:p>
      <w:pPr>
        <w:pStyle w:val="BodyText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, far clear of zero.</w:t>
      </w:r>
    </w:p>
    <w:bookmarkStart w:id="84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DeepSeek-V4-Pro’s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0.263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End w:id="84"/>
    <w:bookmarkEnd w:id="85"/>
    <w:bookmarkStart w:id="87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rPr>
          <w:i/>
          <w:iCs/>
        </w:rPr>
        <w:t xml:space="preserve">Question: on a task whose vocabulary points the wrong way, which source do deployed relevance scorers put first, and does any of them recover the one that passes?</w:t>
      </w:r>
    </w:p>
    <w:p>
      <w:pPr>
        <w:pStyle w:val="BodyText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bookmarkStart w:id="86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</w:t>
      </w:r>
      <w:r>
        <w:t xml:space="preserve"> </w:t>
      </w:r>
      <w:r>
        <w:rPr>
          <w:b/>
          <w:bCs/>
        </w:rPr>
        <w:t xml:space="preserve">Every feature-based</w:t>
      </w:r>
      <w:r>
        <w:rPr>
          <w:b/>
          <w:bCs/>
        </w:rPr>
        <w:t xml:space="preserve"> </w:t>
      </w:r>
      <w:r>
        <w:rPr>
          <w:b/>
          <w:bCs/>
        </w:rPr>
        <w:t xml:space="preserve">ranker we tested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6"/>
    <w:bookmarkEnd w:id="87"/>
    <w:bookmarkStart w:id="93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rPr>
          <w:i/>
          <w:iCs/>
        </w:rPr>
        <w:t xml:space="preserve">Question: does adding a second correct source to a working prompt lower the pass rate, and is the drop larger than the margin</w:t>
      </w:r>
      <w:r>
        <w:rPr>
          <w:i/>
          <w:iCs/>
        </w:rPr>
        <w:t xml:space="preserve"> </w:t>
      </w:r>
      <m:oMath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we fixed in advance?</w:t>
      </w:r>
    </w:p>
    <w:p>
      <w:pPr>
        <w:pStyle w:val="BodyText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eleven of the twelve API cells, two per</w:t>
      </w:r>
      <w:r>
        <w:t xml:space="preserve"> </w:t>
      </w:r>
      <w:r>
        <w:t xml:space="preserve">model, and so on at least one cell for all six models (Table 4). Those</w:t>
      </w:r>
      <w:r>
        <w:t xml:space="preserve"> </w:t>
      </w:r>
      <w:r>
        <w:t xml:space="preserve">eleven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cell. The conjunction</w:t>
      </w:r>
      <w:r>
        <w:t xml:space="preserve"> </w:t>
      </w:r>
      <w:r>
        <w:t xml:space="preserve">can be bought from the same records: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i.e. a</w:t>
      </w:r>
      <w:r>
        <w:t xml:space="preserve"> </w:t>
      </w:r>
      <w:r>
        <w:t xml:space="preserve">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ten of the twelve still clear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w:r>
        <w:t xml:space="preserve">and every one of the six models keeps at least one cell that does. The roster-level statement</w:t>
      </w:r>
      <w:r>
        <w:t xml:space="preserve"> </w:t>
      </w:r>
      <w:r>
        <w:t xml:space="preserve">“on each of these six models some strict superset verifiably harms some 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two cells that drop out</w:t>
      </w:r>
      <w:r>
        <w:t xml:space="preserve"> </w:t>
      </w:r>
      <w:r>
        <w:t xml:space="preserve">under the joint budget are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(which does not clear marginally</w:t>
      </w:r>
      <w:r>
        <w:t xml:space="preserve"> </w:t>
      </w:r>
      <w:r>
        <w:t xml:space="preserve">either) and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the mildest 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and the one cell that does</w:t>
      </w:r>
      <w:r>
        <w:t xml:space="preserve"> </w:t>
      </w:r>
      <w:r>
        <w:t xml:space="preserve">not clear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unrelated import</w:t>
      </w:r>
      <w:r>
        <w:t xml:space="preserve"> </w:t>
      </w:r>
      <w:r>
        <w:t xml:space="preserve">slip (). All eleven survive a Bonferroni correction across the two cells</w:t>
      </w:r>
      <w:r>
        <w:t xml:space="preserve"> </w:t>
      </w:r>
      <w:r>
        <w:t xml:space="preserve">within each model, the tightest being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. This is a</w:t>
      </w:r>
      <w:r>
        <w:t xml:space="preserve"> </w:t>
      </w:r>
      <w:r>
        <w:t xml:space="preserve">verified empirical 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</w:t>
      </w:r>
      <w:r>
        <w:t xml:space="preserve"> </w:t>
      </w:r>
      <w:r>
        <w:t xml:space="preserve">(Theorem 3):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Table A1 gives the same collapse arm by arm for every model;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reads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only because about half its replies omit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while calling the contract correctly (), and its verified collapse is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bookmarkStart w:id="90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 so the empirical</w:t>
      </w:r>
      <w:r>
        <w:t xml:space="preserve"> </w:t>
      </w:r>
      <w:r>
        <w:t xml:space="preserve">summary is the two-element 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</w:t>
      </w:r>
      <w:r>
        <w:t xml:space="preserve"> </w:t>
      </w:r>
      <w:r>
        <w:t xml:space="preserve">represent (Figure 1).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</w:t>
      </w:r>
      <w:r>
        <w:t xml:space="preserve"> </w:t>
      </w:r>
      <w:r>
        <w:t xml:space="preserve">so we take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then</w:t>
      </w:r>
      <w:r>
        <w:t xml:space="preserve"> </w:t>
      </w:r>
      <w:r>
        <w:t xml:space="preserve">hold jointly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 this gives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so the</w:t>
      </w:r>
      <w:r>
        <w:t xml:space="preserve"> </w:t>
      </w:r>
      <w:r>
        <w:t xml:space="preserve">incomparable pair is verified. 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</w:t>
      </w:r>
      <w:r>
        <w:t xml:space="preserve"> </w:t>
      </w:r>
      <w:r>
        <w:t xml:space="preserve">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0.6556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t xml:space="preserve">verifies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does not dominate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verifies the converse, so neither dominates the other. (An upper</w:t>
      </w:r>
      <w:r>
        <w:t xml:space="preserve"> </w:t>
      </w:r>
      <w:r>
        <w:t xml:space="preserve">bound could not carry either claim: it bounds how large the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</w:t>
      </w:r>
      <w:r>
        <w:t xml:space="preserve"> </w:t>
      </w:r>
      <w:r>
        <w:t xml:space="preserve">one exists.) The remaining relation is the one the front turns on, and there only an upper bound</w:t>
      </w:r>
      <w:r>
        <w:t xml:space="preserve"> </w:t>
      </w:r>
      <w:r>
        <w:t xml:space="preserve">is available: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-dominance, not an exact</w:t>
      </w:r>
      <w:r>
        <w:t xml:space="preserve"> </w:t>
      </w:r>
      <w:r>
        <w:t xml:space="preserve">one, and it says 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.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therefore licensed only up to that margin. What the coverage event</w:t>
      </w:r>
      <w:r>
        <w:t xml:space="preserve"> </w:t>
      </w:r>
      <w:r>
        <w:t xml:space="preserve">establishes exactly is the 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reading, since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regardless.</w:t>
      </w:r>
    </w:p>
    <w:bookmarkStart w:id="88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Blackwell order for the optimal user, where the</w:t>
      </w:r>
      <w:r>
        <w:t xml:space="preserve"> </w:t>
      </w:r>
      <w:r>
        <w:t xml:space="preserve">superset reveals both coordinates and dominates.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8"/>
    <w:bookmarkStart w:id="89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eleven of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ten clear, and every model keeps at least one. The one cell that</w:t>
      </w:r>
      <w:r>
        <w:t xml:space="preserve"> </w:t>
      </w:r>
      <w:r>
        <w:t xml:space="preserve">never clears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rather than by the contract (). Values are those of</w:t>
      </w:r>
      <w:r>
        <w:t xml:space="preserve"> </w:t>
      </w:r>
      <w:r>
        <w:t xml:space="preserve">Table 4, recomputed from the released per-cell counts.</w:t>
      </w:r>
    </w:p>
    <w:bookmarkEnd w:id="89"/>
    <w:bookmarkEnd w:id="90"/>
    <w:bookmarkStart w:id="91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The collapse is not a lost-in-the-middle or recency artifact. The character-matched padding control</w:t>
      </w:r>
      <w:r>
        <w:t xml:space="preserve"> </w:t>
      </w:r>
      <w:r>
        <w:t xml:space="preserve">(Appendix B) puts filler in the same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holding position fixed and</w:t>
      </w:r>
      <w:r>
        <w:t xml:space="preserve"> </w:t>
      </w:r>
      <w:r>
        <w:t xml:space="preserve">changing only the content is what turns a harmless arm into a harmful one, so the cause is the</w:t>
      </w:r>
      <w:r>
        <w:t xml:space="preserve"> </w:t>
      </w:r>
      <w:r>
        <w:t xml:space="preserve">added signal, not where it sits. Order is controlled directly, by a 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measured in the same</w:t>
      </w:r>
      <w:r>
        <w:t xml:space="preserve"> </w:t>
      </w:r>
      <w:r>
        <w:t xml:space="preserve">single-shot regime and at the same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blackwell_order_ss_n40</w:t>
      </w:r>
      <w:r>
        <w:t xml:space="preserve">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calls). On the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cell the</w:t>
      </w:r>
      <w:r>
        <w:t xml:space="preserve"> </w:t>
      </w:r>
      <w:r>
        <w:t xml:space="preserve">two orderings are indistinguishable: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while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score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, each verified harmful at</w:t>
      </w:r>
      <w:r>
        <w:t xml:space="preserve"> </w:t>
      </w:r>
      <m:oMath>
        <m:r>
          <m:rPr>
            <m:sty m:val="p"/>
          </m:rPr>
          <m:t>−</m:t>
        </m:r>
        <m:r>
          <m:t>0.77</m:t>
        </m:r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reversal makes matters worse rather than better,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first and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first. Moving the added block out of the primacy slot therefore</w:t>
      </w:r>
      <w:r>
        <w:t xml:space="preserve"> </w:t>
      </w:r>
      <w:r>
        <w:t xml:space="preserve">recovers nothing, and on one cell costs more, so the collapse is not a primacy or recency</w:t>
      </w:r>
      <w:r>
        <w:t xml:space="preserve"> </w:t>
      </w:r>
      <w:r>
        <w:t xml:space="preserve">artifact. Two things this does not settle: it is one model, and it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 rather than the contribution of position to the size of the harm.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%</m:t>
        </m:r>
      </m:oMath>
      <w:r>
        <w:t xml:space="preserve">: the middle model (Sonnet) shows the</w:t>
      </w:r>
      <w:r>
        <w:t xml:space="preserve"> </w:t>
      </w:r>
      <w:r>
        <w:t xml:space="preserve">starkest collapse and the strongest (Opus) the mildest. An earlier two-point reading suggested the</w:t>
      </w:r>
      <w:r>
        <w:t xml:space="preserve"> </w:t>
      </w:r>
      <w:r>
        <w:t xml:space="preserve">harm</w:t>
      </w:r>
      <w:r>
        <w:t xml:space="preserve"> </w:t>
      </w:r>
      <w:r>
        <w:t xml:space="preserve">“intensifies with strength”</w:t>
      </w:r>
      <w:r>
        <w:t xml:space="preserve">; the third point falsifies that, and we claim only robustness</w:t>
      </w:r>
      <w:r>
        <w:t xml:space="preserve"> </w:t>
      </w:r>
      <w:r>
        <w:t xml:space="preserve">across the ladder, not a capability trend. The re-measurement of</w:t>
      </w:r>
      <w:r>
        <w:t xml:space="preserve"> </w:t>
      </w:r>
      <w:r>
        <w:t xml:space="preserve">sharpens this: on fresh draws all three Anthropic models collapse to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3</m:t>
        </m:r>
        <m:r>
          <m:rPr>
            <m:sty m:val="p"/>
          </m:rPr>
          <m:t>%</m:t>
        </m:r>
      </m:oMath>
      <w:r>
        <w:t xml:space="preserve">, so the spread that made Opus look mildest does not persist, and the ladder is flat</w:t>
      </w:r>
      <w:r>
        <w:t xml:space="preserve"> </w:t>
      </w:r>
      <w:r>
        <w:t xml:space="preserve">rather than ordered. What survives is the negative claim, not the ranking that motivated it.</w:t>
      </w:r>
    </w:p>
    <w:bookmarkEnd w:id="92"/>
    <w:bookmarkEnd w:id="93"/>
    <w:bookmarkStart w:id="94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rPr>
          <w:i/>
          <w:iCs/>
        </w:rPr>
        <w:t xml:space="preserve">Question: how much of each private convention can a model supply on its own, and does that quantity order with capability?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Haiku and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§3.3,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least (</w:t>
      </w:r>
      <m:oMath>
        <m:r>
          <m:t>0</m:t>
        </m:r>
        <m:r>
          <m:rPr>
            <m:sty m:val="p"/>
          </m:rPr>
          <m:t>%</m:t>
        </m:r>
      </m:oMath>
      <w:r>
        <w:t xml:space="preserve">) while the stronger Opus guesses more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%</m:t>
        </m:r>
      </m:oMath>
      <w:r>
        <w:t xml:space="preserve">).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4"/>
    <w:bookmarkStart w:id="95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rPr>
          <w:i/>
          <w:iCs/>
        </w:rPr>
        <w:t xml:space="preserve">Question: when a cell fails, what does the reply actually get wrong, and is the failure the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this paper describes or an artifact of packaging?</w:t>
      </w:r>
    </w:p>
    <w:p>
      <w:pPr>
        <w:pStyle w:val="BodyText"/>
      </w:pPr>
      <w:r>
        <w:t xml:space="preserve">Two diagnostics answer it, both reported in full in Appendix D. First,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reads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not because the contract is missed but because about</w:t>
      </w:r>
      <w:r>
        <w:t xml:space="preserve"> </w:t>
      </w:r>
      <w:r>
        <w:t xml:space="preserve">half the replies omit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line; with the import neutralized in the verifier</w:t>
      </w:r>
      <w:r>
        <w:t xml:space="preserve"> </w:t>
      </w:r>
      <w:r>
        <w:t xml:space="preserve">that arm scores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That cell therefore measures a packaging slip, which is why it is the one</w:t>
      </w:r>
      <w:r>
        <w:t xml:space="preserve"> </w:t>
      </w:r>
      <w:r>
        <w:t xml:space="preserve">cell whose harm contrast does not clear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. Second, every verified interference cell was</w:t>
      </w:r>
      <w:r>
        <w:t xml:space="preserve"> </w:t>
      </w:r>
      <w:r>
        <w:t xml:space="preserve">re-measured with raw completions retained,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and scored under both the published and</w:t>
      </w:r>
      <w:r>
        <w:t xml:space="preserve"> </w:t>
      </w:r>
      <w:r>
        <w:t xml:space="preserve">an import-neutralized verifier. The collapse reproduces in all eleven, the extractor returned a</w:t>
      </w:r>
      <w:r>
        <w:t xml:space="preserve"> </w:t>
      </w:r>
      <w:r>
        <w:t xml:space="preserve">non-empty code block on 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draws, and the import artifact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so</w:t>
      </w:r>
      <w:r>
        <w:t xml:space="preserve"> </w:t>
      </w:r>
      <w:r>
        <w:t xml:space="preserve">neutralizing it</w:t>
      </w:r>
      <w:r>
        <w:t xml:space="preserve"> </w:t>
      </w:r>
      <w:r>
        <w:rPr>
          <w:i/>
          <w:iCs/>
        </w:rPr>
        <w:t xml:space="preserve">deepens</w:t>
      </w:r>
      <w:r>
        <w:t xml:space="preserve"> </w:t>
      </w:r>
      <w:r>
        <w:t xml:space="preserve">every contrast it touches. On nine of the eleven cells the failing</w:t>
      </w:r>
      <w:r>
        <w:t xml:space="preserve"> </w:t>
      </w:r>
      <w:r>
        <w:t xml:space="preserve">reply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</w:t>
      </w:r>
    </w:p>
    <w:p>
      <w:pPr>
        <w:pStyle w:val="BodyText"/>
      </w:pPr>
      <w:r>
        <w:t xml:space="preserve">Sonnet is the exception and it matters for the reading. It declines the task as a suspected prompt</w:t>
      </w:r>
      <w:r>
        <w:t xml:space="preserve"> </w:t>
      </w:r>
      <w:r>
        <w:t xml:space="preserve">injection on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 draws, and counting refusals across all of its</w:t>
      </w:r>
      <w:r>
        <w:t xml:space="preserve"> </w:t>
      </w:r>
      <w:r>
        <w:t xml:space="preserve">retained arms locates the trigger in a block that does not serve the task rather than in the</w:t>
      </w:r>
      <w:r>
        <w:t xml:space="preserve"> </w:t>
      </w:r>
      <w:r>
        <w:t xml:space="preserve">number of blocks (Appendix D). Theorem 3 is indifferent to the</w:t>
      </w:r>
      <w:r>
        <w:t xml:space="preserve"> </w:t>
      </w:r>
      <w:r>
        <w:t xml:space="preserve">cause, since it constrains any rule whose PASS falls under a strict superset, and Sonnet’s does</w:t>
      </w:r>
      <w:r>
        <w:t xml:space="preserve"> </w:t>
      </w:r>
      <w:r>
        <w:t xml:space="preserve">fall; what the exception costs is the mechanistic reading of , which</w:t>
      </w:r>
      <w:r>
        <w:t xml:space="preserve"> </w:t>
      </w:r>
      <w:r>
        <w:t xml:space="preserve">should be read with it in force.</w:t>
      </w:r>
    </w:p>
    <w:bookmarkEnd w:id="95"/>
    <w:bookmarkEnd w:id="96"/>
    <w:bookmarkStart w:id="97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the battery-wide dominance control</w:t>
      </w:r>
      <w:r>
        <w:t xml:space="preserve"> </w:t>
      </w:r>
      <w:r>
        <w:t xml:space="preserve">verifying one-directionally there 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0.113</m:t>
        </m:r>
      </m:oMath>
      <w:r>
        <w:t xml:space="preserve">) and a single-cell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giving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; that pair was measured in the agentic regime, not the single-shot one;</w:t>
      </w:r>
      <w:r>
        <w:t xml:space="preserve"> </w:t>
      </w:r>
      <w:r>
        <w:t xml:space="preserve">its harm contrast is verified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),</w:t>
      </w:r>
      <w:r>
        <w:t xml:space="preserve"> </w:t>
      </w:r>
      <w:r>
        <w:t xml:space="preserve">so the second pair carries both incomparability and harm.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harm verified, upper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), attributing the collapse to the</w:t>
      </w:r>
      <w:r>
        <w:t xml:space="preserve"> </w:t>
      </w:r>
      <w:r>
        <w:t xml:space="preserve">added signal rather than by the filler of equal character length.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verified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7"/>
    <w:bookmarkStart w:id="102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The formal results reduce to a comparison an engineer can act on. On the measured pair there are</w:t>
      </w:r>
      <w:r>
        <w:t xml:space="preserve"> </w:t>
      </w:r>
      <w:r>
        <w:t xml:space="preserve">four things a selection layer can do, and every one of them was measured (Table A1);</w:t>
      </w:r>
      <w:r>
        <w:t xml:space="preserve"> </w:t>
      </w:r>
      <w:r>
        <w:t xml:space="preserve">Table 5 scores them per model as mean PASS over the four verified cells.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 query-independent-scalar class its best case: any such</w:t>
      </w:r>
      <w:r>
        <w:t xml:space="preserve"> </w:t>
      </w:r>
      <w:r>
        <w:t xml:space="preserve">scalar induces one total order, hence one top-1 reused for every task, and we let it pick the</w:t>
      </w:r>
      <w:r>
        <w:t xml:space="preserve"> </w:t>
      </w:r>
      <w:r>
        <w:t xml:space="preserve">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</w:t>
      </w:r>
      <w:r>
        <w:t xml:space="preserve"> </w:t>
      </w:r>
      <w:r>
        <w:t xml:space="preserve">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</w:t>
      </w:r>
      <w:r>
        <w:t xml:space="preserve"> </w:t>
      </w:r>
      <w:r>
        <w:t xml:space="preserve">where every measured topical ranker puts the wrong source first</w:t>
      </w:r>
      <w:r>
        <w:t xml:space="preserve"> </w:t>
      </w:r>
      <w:r>
        <w:t xml:space="preserve">(§7.4.2).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 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keeps the non-dominated pair and takes the per-cell maximum of</w:t>
      </w:r>
      <w:r>
        <w:t xml:space="preserve"> </w:t>
      </w:r>
      <w:r>
        <w:t xml:space="preserve">the two. It is the benchmark the partial order licenses one to aim at, and its price is exactly</w:t>
      </w:r>
      <w:r>
        <w:t xml:space="preserve"> </w:t>
      </w:r>
      <w:r>
        <w:t xml:space="preserve">one probe’s worth of knowledge, namely which source is decisive for which family. We report it as</w:t>
      </w:r>
      <w:r>
        <w:t xml:space="preserve"> </w:t>
      </w:r>
      <w:r>
        <w:t xml:space="preserve">an oracle rather than as an achieved result because the per-cell maximum is read off the same</w:t>
      </w:r>
      <w:r>
        <w:t xml:space="preserve"> </w:t>
      </w:r>
      <w:r>
        <w:t xml:space="preserve">outcomes it is scored on; a deployable router would have to be fixed before testing and evaluated</w:t>
      </w:r>
      <w:r>
        <w:t xml:space="preserve"> </w:t>
      </w:r>
      <w:r>
        <w:t xml:space="preserve">on held-out tasks, against matched latency and token budgets. This paper does not do that, and</w:t>
      </w:r>
      <w:r>
        <w:t xml:space="preserve"> </w:t>
      </w:r>
      <w:r>
        <w:t xml:space="preserve">the number below should not be read as a measured gain from a shipped selector.</w:t>
      </w:r>
    </w:p>
    <w:bookmarkStart w:id="98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85.6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86.25</m:t>
        </m:r>
      </m:oMath>
      <w:r>
        <w:t xml:space="preserve">,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edges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5.6 to 86.25, because W_{1+} edges W_1 on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93.3</w:t>
            </w:r>
          </w:p>
        </w:tc>
      </w:tr>
    </w:tbl>
    <w:bookmarkEnd w:id="98"/>
    <w:p>
      <w:pPr>
        <w:pStyle w:val="BodyText"/>
      </w:pPr>
      <w:bookmarkStart w:id="99" w:name="tab:policies"/>
      <w:bookmarkEnd w:id="99"/>
    </w:p>
    <w:bookmarkStart w:id="100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100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land within about one point of the same aggregate: the cap 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cost, not a</w:t>
      </w:r>
      <w:r>
        <w:t xml:space="preserve"> </w:t>
      </w:r>
      <w:r>
        <w:t xml:space="preserve">tie-breaking subtlety (§7.4.3). Third, the oracle column shows what</w:t>
      </w:r>
      <w:r>
        <w:t xml:space="preserve"> </w:t>
      </w:r>
      <w:r>
        <w:t xml:space="preserve">selection over the pair could have recovered had the deciding source been chosen on every cell;</w:t>
      </w:r>
      <w:r>
        <w:t xml:space="preserve"> </w:t>
      </w:r>
      <w:r>
        <w:t xml:space="preserve">its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not selection error, though neither is it all capability. For</w:t>
      </w:r>
      <w:r>
        <w:t xml:space="preserve"> </w:t>
      </w:r>
      <w:r>
        <w:t xml:space="preserve">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capability limit; for Haiku the apparent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ceiling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 not even that. A raw-failure audit () shows</w:t>
      </w:r>
      <w:r>
        <w:t xml:space="preserve"> </w:t>
      </w:r>
      <w:r>
        <w:t xml:space="preserve">every Haiku reply on that cell calls the private contract correctly and the deficit is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line; with the import neutralized,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One limit on reading these magnitudes: the four</w:t>
      </w:r>
      <w:r>
        <w:t xml:space="preserve"> </w:t>
      </w:r>
      <w:r>
        <w:t xml:space="preserve">cells were constructed to exhibit the phenomenon, so the aggregate magnitudes are diagnostic of the</w:t>
      </w:r>
      <w:r>
        <w:t xml:space="preserve"> </w:t>
      </w:r>
      <w:r>
        <w:t xml:space="preserve">failure structure, not an estimate of production-traffic gains; what transfers is the structure,</w:t>
      </w:r>
      <w:r>
        <w:t xml:space="preserve"> </w:t>
      </w:r>
      <w:r>
        <w:t xml:space="preserve">each of the two scalar policies measured here forfeits an entire cell class, and no single task-independent ranking keeps all four.</w:t>
      </w:r>
    </w:p>
    <w:bookmarkStart w:id="101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that is what makes the per-cell maximum reachable, though it does not by</w:t>
      </w:r>
      <w:r>
        <w:t xml:space="preserve"> </w:t>
      </w:r>
      <w:r>
        <w:t xml:space="preserve">itself route correctly on a new task. Concatenating them is not forbidden by the theorem, but on</w:t>
      </w:r>
      <w:r>
        <w:t xml:space="preserve"> </w:t>
      </w:r>
      <w:r>
        <w:t xml:space="preserve">this pair it is the worst of the four policies measured 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(§7.4.4).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(§7.4.3).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101"/>
    <w:bookmarkEnd w:id="102"/>
    <w:bookmarkEnd w:id="103"/>
    <w:bookmarkStart w:id="118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scalar score, by imposing a total order, must mis-rank them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6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4" w:name="sec:disc-deficiency"/>
      <w:bookmarkEnd w:id="104"/>
      <w:bookmarkStart w:id="105" w:name="sec:disc-certificate"/>
      <w:bookmarkEnd w:id="105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2 connects the two in the direction we need: a verified</w:t>
      </w:r>
      <w:r>
        <w:t xml:space="preserve"> </w:t>
      </w:r>
      <w:r>
        <w:t xml:space="preserve">crossover on tasks where each source supplies its own decisive fact implies genuine Blackwell</w:t>
      </w:r>
      <w:r>
        <w:t xml:space="preserve"> </w:t>
      </w:r>
      <w:r>
        <w:t xml:space="preserve">incomparability, and the reverse needs an extra assumption (Assumption 1) that our</w:t>
      </w:r>
      <w:r>
        <w:t xml:space="preserve"> </w:t>
      </w:r>
      <w:r>
        <w:t xml:space="preserve">task design is built to make attainable and our measurements confirm on the named pairs. So we read the result as a statement about the</w:t>
      </w:r>
      <w:r>
        <w:t xml:space="preserve"> </w:t>
      </w:r>
      <w:r>
        <w:t xml:space="preserve">fixed model on a fixed battery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 structural conclusion through the bridge</w:t>
      </w:r>
      <w:r>
        <w:t xml:space="preserve"> </w:t>
      </w:r>
      <w:r>
        <w:t xml:space="preserve">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claim is controlled on its own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all at once</w:t>
      </w:r>
      <w:r>
        <w:t xml:space="preserve"> </w:t>
      </w:r>
      <w:r>
        <w:t xml:space="preserve">(§6.5),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 not a task distribution.</w:t>
      </w:r>
    </w:p>
    <w:bookmarkEnd w:id="106"/>
    <w:bookmarkStart w:id="107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Two cautions attach to it. The harm is robust across the capability ladder but not ordered by it</w:t>
      </w:r>
      <w:r>
        <w:t xml:space="preserve"> </w:t>
      </w:r>
      <w:r>
        <w:t xml:space="preserve">(§7.4.3), so we claim no capability trend. And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</w:t>
      </w:r>
    </w:p>
    <w:bookmarkEnd w:id="107"/>
    <w:bookmarkStart w:id="108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Every collapse is accompanied by output-token inflation on the harmful arm,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two API cells. On the still-passing encoding cell the same superset arm ranges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 not establish an</w:t>
      </w:r>
      <w:r>
        <w:t xml:space="preserve"> </w:t>
      </w:r>
      <w:r>
        <w:t xml:space="preserve">internal cause and we treat it as a reproducible correlate of the harmful arm rather than a</w:t>
      </w:r>
      <w:r>
        <w:t xml:space="preserve"> </w:t>
      </w:r>
      <w:r>
        <w:t xml:space="preserve">mechanism. Per-model figures are in Appendix D.</w:t>
      </w:r>
    </w:p>
    <w:bookmarkEnd w:id="108"/>
    <w:bookmarkStart w:id="117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9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scores, which is exactly what makes the selection safe under anti-monotonicity.</w:t>
      </w:r>
    </w:p>
    <w:bookmarkEnd w:id="109"/>
    <w:bookmarkStart w:id="110" w:name="X06aeafce811b2d0b24b8bca3f3ed218e5984ef0"/>
    <w:p>
      <w:pPr>
        <w:pStyle w:val="Heading4"/>
      </w:pPr>
      <w:r>
        <w:t xml:space="preserve">Source-pair generality, and its regime dependence.</w:t>
      </w:r>
    </w:p>
    <w:p>
      <w:pPr>
        <w:pStyle w:val="FirstParagraph"/>
      </w:pPr>
      <w:r>
        <w:t xml:space="preserve">Incomparability and dominance hold</w:t>
      </w:r>
      <w:r>
        <w:t xml:space="preserve"> </w:t>
      </w:r>
      <w:r>
        <w:t xml:space="preserve">for two hand-built pairs in two domains, but not in the same measurement regime: the second pair</w:t>
      </w:r>
      <w:r>
        <w:t xml:space="preserve"> </w:t>
      </w:r>
      <w:r>
        <w:t xml:space="preserve">was measured agentically. Re-measured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the regime of the six-model record,</w:t>
      </w:r>
      <w:r>
        <w:t xml:space="preserve"> </w:t>
      </w:r>
      <w:r>
        <w:t xml:space="preserve">it does not reproduce.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’s ceiling falls from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contract cell and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trap, the incomparability verification loses one direction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0.005</m:t>
        </m:r>
      </m:oMath>
      <w:r>
        <w:t xml:space="preserve">), and the superset</w:t>
      </w:r>
      <w:r>
        <w:t xml:space="preserve"> </w:t>
      </w:r>
      <w:r>
        <w:rPr>
          <w:i/>
          <w:iCs/>
        </w:rPr>
        <w:t xml:space="preserve">helps</w:t>
      </w:r>
      <w:r>
        <w:t xml:space="preserve"> </w:t>
      </w:r>
      <w:r>
        <w:t xml:space="preserve">rather than harms on the contract cell</w:t>
      </w:r>
      <w:r>
        <w:t xml:space="preserve"> </w:t>
      </w:r>
      <w:r>
        <w:t xml:space="preserve">(</w:t>
      </w:r>
      <m:oMath>
        <m:r>
          <m:t>25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0.30</m:t>
        </m:r>
      </m:oMath>
      <w:r>
        <w:t xml:space="preserve">). Without the agentic retries the model does not reliably satisfy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cache.put</w:t>
      </w:r>
      <w:r>
        <w:t xml:space="preserve"> </w:t>
      </w:r>
      <w:r>
        <w:t xml:space="preserve">contract at all, so the pair stops exhibiting the structure it was built</w:t>
      </w:r>
      <w:r>
        <w:t xml:space="preserve"> </w:t>
      </w:r>
      <w:r>
        <w:t xml:space="preserve">to exhibit. We report this rather than select the regime that works: second-domain generality is</w:t>
      </w:r>
      <w:r>
        <w:t xml:space="preserve"> </w:t>
      </w:r>
      <w:r>
        <w:t xml:space="preserve">established under the agentic harness only, and the single-shot evidence for both phenomena is</w:t>
      </w:r>
      <w:r>
        <w:t xml:space="preserve"> </w:t>
      </w:r>
      <w:r>
        <w:t xml:space="preserve">the six-model record on the first pair. The cross-vendor record is single-pair. Pair-2 harm, in</w:t>
      </w:r>
      <w:r>
        <w:t xml:space="preserve"> </w:t>
      </w:r>
      <w:r>
        <w:t xml:space="preserve">the agentic regime, is verified at the margin</w:t>
      </w:r>
      <w:r>
        <w:t xml:space="preserve"> </w:t>
      </w:r>
      <w:r>
        <w:t xml:space="preserve">(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); the second pair did not reproduce the relevance-trap effect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10"/>
    <w:bookmarkStart w:id="111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 (single-shot,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so the run mode no longer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11"/>
    <w:bookmarkStart w:id="112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verifies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pairs.</w:t>
      </w:r>
    </w:p>
    <w:bookmarkEnd w:id="112"/>
    <w:bookmarkStart w:id="113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 and inexpensive: draw document pairs from a natural corpus, run the same verification</w:t>
      </w:r>
      <w:r>
        <w:t xml:space="preserve"> </w:t>
      </w:r>
      <w:r>
        <w:t xml:space="preserve">battery unchanged, and report the fraction of pairs that verify incomparable and the fraction of</w:t>
      </w:r>
      <w:r>
        <w:t xml:space="preserve"> </w:t>
      </w:r>
      <w:r>
        <w:t xml:space="preserve">superset unions that verify harmful, with the sampling frame stated. We name it as the open</w:t>
      </w:r>
      <w:r>
        <w:t xml:space="preserve"> </w:t>
      </w:r>
      <w:r>
        <w:t xml:space="preserve">question rather than approximate it here, because a prevalence figure computed from hand-built</w:t>
      </w:r>
      <w:r>
        <w:t xml:space="preserve"> </w:t>
      </w:r>
      <w:r>
        <w:t xml:space="preserve">pairs would be circular.</w:t>
      </w:r>
    </w:p>
    <w:bookmarkEnd w:id="113"/>
    <w:bookmarkStart w:id="114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 the controls show that on this model</w:t>
      </w:r>
      <w:r>
        <w:t xml:space="preserve"> </w:t>
      </w:r>
      <w:r>
        <w:t xml:space="preserve">the content of the added block and the routing instruction move the outcome, while an off-topic</w:t>
      </w:r>
      <w:r>
        <w:t xml:space="preserve"> </w:t>
      </w:r>
      <w:r>
        <w:t xml:space="preserve">block of the same character length does not. They do not isolate tokenization, processing</w:t>
      </w:r>
      <w:r>
        <w:t xml:space="preserve"> </w:t>
      </w:r>
      <w:r>
        <w:t xml:space="preserve">difficulty, or position, and they do not establish the internal cause. A tokenizer-matched</w:t>
      </w:r>
      <w:r>
        <w:t xml:space="preserve"> </w:t>
      </w:r>
      <w:r>
        <w:t xml:space="preserve">control, an on-topic but verifier-irrelevant control, a matched single-shot order control, and any</w:t>
      </w:r>
      <w:r>
        <w:t xml:space="preserve"> </w:t>
      </w:r>
      <w:r>
        <w:t xml:space="preserve">of these across the roster remain untested.</w:t>
      </w:r>
    </w:p>
    <w:bookmarkEnd w:id="114"/>
    <w:bookmarkStart w:id="115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E),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Marginal-versus-joint control is discussed in</w:t>
      </w:r>
      <w:r>
        <w:t xml:space="preserve"> </w:t>
      </w:r>
      <w:r>
        <w:t xml:space="preserve">§8.1.</w:t>
      </w:r>
    </w:p>
    <w:bookmarkEnd w:id="115"/>
    <w:bookmarkStart w:id="116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6"/>
    <w:bookmarkEnd w:id="117"/>
    <w:bookmarkEnd w:id="118"/>
    <w:bookmarkStart w:id="11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When two sources are incomparable,</w:t>
      </w:r>
      <w:r>
        <w:t xml:space="preserve"> </w:t>
      </w:r>
      <w:r>
        <w:t xml:space="preserve">no single per-source score ranks them correctly for all tasks</w:t>
      </w:r>
      <w:r>
        <w:t xml:space="preserve"> </w:t>
      </w:r>
      <w:r>
        <w:t xml:space="preserve">(Theorem 2), which gives the field’s</w:t>
      </w:r>
      <w:r>
        <w:t xml:space="preserve"> </w:t>
      </w:r>
      <w:r>
        <w:t xml:space="preserve">“relevance does not transfer”</w:t>
      </w:r>
      <w:r>
        <w:t xml:space="preserve"> </w:t>
      </w:r>
      <w:r>
        <w:t xml:space="preserve">folklore</w:t>
      </w:r>
      <w:r>
        <w:t xml:space="preserve"> </w:t>
      </w:r>
      <w:r>
        <w:t xml:space="preserve">a formal boundary. Making that testable is what this paper does: a value-deficiency surrogate and</w:t>
      </w:r>
      <w:r>
        <w:t xml:space="preserve"> </w:t>
      </w:r>
      <w:r>
        <w:t xml:space="preserve">a finite-sample verification turn the order into something one can measure on a live model. On</w:t>
      </w:r>
      <w:r>
        <w:t xml:space="preserve"> </w:t>
      </w:r>
      <w:r>
        <w:t xml:space="preserve">six models across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that two private sources cross in realized</w:t>
      </w:r>
      <w:r>
        <w:t xml:space="preserve"> </w:t>
      </w:r>
      <w:r>
        <w:t xml:space="preserve">pass rate; on each of them a deployed relevance score ranks the pair the wrong way on a designed</w:t>
      </w:r>
      <w:r>
        <w:t xml:space="preserve"> </w:t>
      </w:r>
      <w:r>
        <w:t xml:space="preserve">trap; and on eleven of twelve cells adding a strictly larger source lowers the pass rate, as far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which no</w:t>
      </w:r>
      <w:r>
        <w:t xml:space="preserve"> </w:t>
      </w:r>
      <w:r>
        <w:t xml:space="preserve">“more-is-better”</w:t>
      </w:r>
      <w:r>
        <w:t xml:space="preserve"> </w:t>
      </w:r>
      <w:r>
        <w:t xml:space="preserve">scalar predicts. How much a private source is worth</w:t>
      </w:r>
      <w:r>
        <w:t xml:space="preserve"> </w:t>
      </w:r>
      <w:r>
        <w:t xml:space="preserve">depends on the model: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and is not ordered by capability,</w:t>
      </w:r>
      <w:r>
        <w:t xml:space="preserve"> </w:t>
      </w:r>
      <w:r>
        <w:t xml:space="preserve">with the three Anthropic models alone spanning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so it is not a vendor</w:t>
      </w:r>
      <w:r>
        <w:t xml:space="preserve"> </w:t>
      </w:r>
      <w:r>
        <w:t xml:space="preserve">effect either. What it does track these runs cannot identify.</w:t>
      </w:r>
    </w:p>
    <w:p>
      <w:pPr>
        <w:pStyle w:val="BodyText"/>
      </w:pPr>
      <w:r>
        <w:t xml:space="preserve">Bringing Blackwell and Le Cam to inference-time context is not ours to claim; concurrent work</w:t>
      </w:r>
      <w:r>
        <w:t xml:space="preserve"> </w:t>
      </w:r>
      <w:r>
        <w:t xml:space="preserve">reached the same apparatus from the admission side (§2.3). What follows</w:t>
      </w:r>
      <w:r>
        <w:t xml:space="preserve"> </w:t>
      </w:r>
      <w:r>
        <w:t xml:space="preserve">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2. The estimator is a</w:t>
      </w:r>
      <w:r>
        <w:t xml:space="preserve"> </w:t>
      </w:r>
      <w:r>
        <w:t xml:space="preserve">regret-gap surrogate, not a Le Cam deficiency, and the verification is correct under that</w:t>
      </w:r>
      <w:r>
        <w:t xml:space="preserve"> </w:t>
      </w:r>
      <w:r>
        <w:t xml:space="preserve">re-labeling. All six models get one completion per attempt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though not over the same</w:t>
      </w:r>
      <w:r>
        <w:t xml:space="preserve"> </w:t>
      </w:r>
      <w:r>
        <w:t xml:space="preserve">transport (§7.3), so cross-vendor magnitudes are read as (model, transport)</w:t>
      </w:r>
      <w:r>
        <w:t xml:space="preserve"> </w:t>
      </w:r>
      <w:r>
        <w:t xml:space="preserve">pairs rather than as properties of the models; the verified claims are within-model contrasts,</w:t>
      </w:r>
      <w:r>
        <w:t xml:space="preserve"> </w:t>
      </w:r>
      <w:r>
        <w:t xml:space="preserve">where the transport is held fixed. The cross-vendor record is single-pair, and synergy is</w:t>
      </w:r>
      <w:r>
        <w:t xml:space="preserve"> </w:t>
      </w:r>
      <w:r>
        <w:t xml:space="preserve">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verified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narrow and its scope is stated exactly: one number per source fixed across tasks</w:t>
      </w:r>
      <w:r>
        <w:t xml:space="preserve"> </w:t>
      </w:r>
      <w:r>
        <w:t xml:space="preserve">(Theorem 2), and query-conditioned scores meeting the two hypotheses of</w:t>
      </w:r>
      <w:r>
        <w:t xml:space="preserve"> </w:t>
      </w:r>
      <w:r>
        <w:t xml:space="preserve">Proposition 2. It is not a statement about all context selection, and</w:t>
      </w:r>
      <w:r>
        <w:t xml:space="preserve"> </w:t>
      </w:r>
      <w:r>
        <w:t xml:space="preserve">it implies no lower bound on computational cost: a task-conditioned score, a router over public</w:t>
      </w:r>
      <w:r>
        <w:t xml:space="preserve"> </w:t>
      </w:r>
      <w:r>
        <w:t xml:space="preserve">task metadata, or any number of cheap algorithms lie outside it</w:t>
      </w:r>
      <w:r>
        <w:t xml:space="preserve"> </w:t>
      </w:r>
      <w:r>
        <w:t xml:space="preserve">(Remark 6).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That is a measured contrast between named checkpoints, not a</w:t>
      </w:r>
      <w:r>
        <w:t xml:space="preserve"> </w:t>
      </w:r>
      <w:r>
        <w:t xml:space="preserve">proved separation between complexity classes: what the theory establishes is that a single</w:t>
      </w:r>
      <w:r>
        <w:t xml:space="preserve"> </w:t>
      </w:r>
      <w:r>
        <w:t xml:space="preserve">task-independent number cannot represent a partial order, and what the probe shows is that</w:t>
      </w:r>
      <w:r>
        <w:t xml:space="preserve"> </w:t>
      </w:r>
      <w:r>
        <w:t xml:space="preserve">reading content suffices to measure it on this battery. The decisive next test is prevalence:</w:t>
      </w:r>
      <w:r>
        <w:t xml:space="preserve"> </w:t>
      </w:r>
      <w:r>
        <w:t xml:space="preserve">draw source pairs from a natural corpus rather than building them, run the same verification</w:t>
      </w:r>
      <w:r>
        <w:t xml:space="preserve"> </w:t>
      </w:r>
      <w:r>
        <w:t xml:space="preserve">unchanged, and report how often a deployed retrieval stream produces a pair that verifies</w:t>
      </w:r>
      <w:r>
        <w:t xml:space="preserve"> </w:t>
      </w:r>
      <w:r>
        <w:t xml:space="preserve">incomparable (§8.4).</w:t>
      </w:r>
    </w:p>
    <w:bookmarkEnd w:id="119"/>
    <w:bookmarkStart w:id="120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20"/>
    <w:bookmarkStart w:id="12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E were borne by the authors.</w:t>
      </w:r>
    </w:p>
    <w:bookmarkEnd w:id="121"/>
    <w:bookmarkStart w:id="122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22"/>
    <w:bookmarkStart w:id="123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23"/>
    <w:bookmarkStart w:id="124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retention re-measurement of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Department of Information Systems and Networks, Lviv Polytechnic National</w:t>
      </w:r>
      <w:r>
        <w:t xml:space="preserve"> </w:t>
      </w:r>
      <w:r>
        <w:t xml:space="preserve">University, for institutional support. No third party contributed to the design, execution or</w:t>
      </w:r>
      <w:r>
        <w:t xml:space="preserve"> </w:t>
      </w:r>
      <w:r>
        <w:t xml:space="preserve">analysis of the reported measurements beyond the listed authors.</w:t>
      </w:r>
    </w:p>
    <w:p>
      <w:pPr>
        <w:pStyle w:val="BodyText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5"/>
    <w:bookmarkStart w:id="126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§7.3;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6"/>
    <w:bookmarkStart w:id="127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7"/>
    <w:bookmarkStart w:id="12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8"/>
    <w:bookmarkStart w:id="140" w:name="app:proofs"/>
    <w:p>
      <w:pPr>
        <w:pStyle w:val="Heading1"/>
      </w:pPr>
      <w:r>
        <w:t xml:space="preserve">Deferred proofs and technical material</w:t>
      </w:r>
    </w:p>
    <w:bookmarkStart w:id="129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9"/>
    <w:bookmarkStart w:id="130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3); the rule</w:t>
      </w:r>
      <w:r>
        <w:t xml:space="preserve"> </w:t>
      </w:r>
      <w:r>
        <w:t xml:space="preserve">that reads that coordinate off and answers accordingly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</w:t>
      </w:r>
      <w:r>
        <w:t xml:space="preserve"> </w:t>
      </w:r>
      <w:r>
        <w:t xml:space="preserve">every state,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hypothesis: the</w:t>
      </w:r>
      <w:r>
        <w:t xml:space="preserve"> </w:t>
      </w:r>
      <w:r>
        <w:t xml:space="preserve">crossover is the observable signature of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 not a substitute for it. The caps remain</w:t>
      </w:r>
      <w:r>
        <w:t xml:space="preserve"> </w:t>
      </w:r>
      <w:r>
        <w:t xml:space="preserve">essential in the converse direction: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</w:t>
      </w:r>
      <w:r>
        <w:t xml:space="preserve"> </w:t>
      </w:r>
      <w:r>
        <w:t xml:space="preserve">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</w:t>
      </w:r>
      <w:r>
        <w:t xml:space="preserve"> </w:t>
      </w:r>
      <w:r>
        <w:t xml:space="preserve">under-perform on the other, exactly the non-coherence phenomenon Theorem 3</w:t>
      </w:r>
      <w:r>
        <w:t xml:space="preserve"> </w:t>
      </w:r>
      <w:r>
        <w:t xml:space="preserve">verifies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30"/>
    <w:bookmarkStart w:id="131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31"/>
    <w:bookmarkStart w:id="132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32"/>
    <w:bookmarkStart w:id="133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2, cannot rank a Blackwell-incomparable pair correctly</w:t>
      </w:r>
      <w:r>
        <w:t xml:space="preserve"> </w:t>
      </w:r>
      <w:r>
        <w:t xml:space="preserve">for all tasks. ◻</w:t>
      </w:r>
    </w:p>
    <w:bookmarkEnd w:id="133"/>
    <w:bookmarkStart w:id="134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4"/>
    <w:bookmarkStart w:id="135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5"/>
    <w:bookmarkStart w:id="136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6"/>
    <w:bookmarkStart w:id="138" w:name="relation-to-llm-evaluation-statistics"/>
    <w:p>
      <w:pPr>
        <w:pStyle w:val="Heading2"/>
      </w:pPr>
      <w:r>
        <w:t xml:space="preserve">Relation to LLM-evaluation statistics</w:t>
      </w:r>
    </w:p>
    <w:bookmarkStart w:id="137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7"/>
    <w:bookmarkEnd w:id="138"/>
    <w:bookmarkStart w:id="139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arm, as in the</w:t>
      </w:r>
      <w:r>
        <w:t xml:space="preserve"> </w:t>
      </w:r>
      <w:r>
        <w:t xml:space="preserve">import-neutralized Haiku control (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52</m:t>
        </m:r>
        <m:r>
          <m:rPr>
            <m:sty m:val="p"/>
          </m:rPr>
          <m:t>%</m:t>
        </m:r>
      </m:oMath>
      <w:r>
        <w:t xml:space="preserve">), is verified in sign but not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; that cell would clear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80</m:t>
        </m:r>
      </m:oMath>
      <w:r>
        <w:t xml:space="preserve">.</w:t>
      </w:r>
    </w:p>
    <w:bookmarkEnd w:id="139"/>
    <w:bookmarkEnd w:id="140"/>
    <w:bookmarkStart w:id="146" w:name="app:record"/>
    <w:p>
      <w:pPr>
        <w:pStyle w:val="Heading1"/>
      </w:pPr>
      <w:r>
        <w:t xml:space="preserve">Extended experimental record</w:t>
      </w:r>
    </w:p>
    <w:bookmarkStart w:id="145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41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verifies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); re-running the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</w:t>
      </w:r>
      <w:r>
        <w:t xml:space="preserve"> </w:t>
      </w:r>
      <w:r>
        <w:t xml:space="preserve">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, which</w:t>
      </w:r>
      <w:r>
        <w:t xml:space="preserve"> </w:t>
      </w:r>
      <w:r>
        <w:t xml:space="preserve">clears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</w:t>
      </w:r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so the margin is met with little to spare;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same collapse gives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 does not clear, which is why the cell was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re-run covers the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cell alone, so its dominance control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verified strict win) is a statement about that cell rather than about</w:t>
      </w:r>
      <w:r>
        <w:t xml:space="preserve"> </w:t>
      </w:r>
      <w:r>
        <w:t xml:space="preserve">the three-cell battery; the battery-wide control remains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one.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41"/>
    <w:bookmarkStart w:id="142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verification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0.88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42"/>
    <w:bookmarkStart w:id="143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on the carrying cell the instructed superset still sits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). That residual gap is verified negative by the same two-arm contrast</w:t>
      </w:r>
      <w:r>
        <w:t xml:space="preserve"> </w:t>
      </w:r>
      <w:r>
        <w:t xml:space="preserve">used throughout,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0.20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</m:oMath>
      <w:r>
        <w:t xml:space="preserve">, but it falls far short of the harm</w:t>
      </w:r>
      <w:r>
        <w:t xml:space="preserve"> </w:t>
      </w:r>
      <w:r>
        <w:t xml:space="preserve">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instruction removes the collapse without closing the gap.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43"/>
    <w:bookmarkStart w:id="144" w:name="Xbb3bf0e6ff780408889ccfec61f731a5b2072ac"/>
    <w:p>
      <w:pPr>
        <w:pStyle w:val="Heading4"/>
      </w:pPr>
      <w:r>
        <w:t xml:space="preserve">A structured-context ablation: labeled XML segmentation mitigates only weakly.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</w:t>
      </w:r>
      <w:r>
        <w:t xml:space="preserve"> </w:t>
      </w:r>
      <w:r>
        <w:t xml:space="preserve">dominated signal, is consistent with the operative variable being convention-to-task routing</w:t>
      </w:r>
      <w:r>
        <w:t xml:space="preserve"> </w:t>
      </w:r>
      <w:r>
        <w:t xml:space="preserve">rather than segmentation alone; as in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4"/>
    <w:bookmarkEnd w:id="145"/>
    <w:bookmarkEnd w:id="146"/>
    <w:bookmarkStart w:id="148" w:name="app:designspace"/>
    <w:p>
      <w:pPr>
        <w:pStyle w:val="Heading1"/>
      </w:pPr>
      <w:r>
        <w:t xml:space="preserve">The design space in full</w:t>
      </w:r>
    </w:p>
    <w:p>
      <w:pPr>
        <w:pStyle w:val="FirstParagraph"/>
      </w:pPr>
      <w:r>
        <w:t xml:space="preserve">Table A2 places the methods above on three axes: whether the method is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(precomputable, or amortizable to a near-retrieval query-time cost), whether it models</w:t>
      </w:r>
      <w:r>
        <w:t xml:space="preserve"> </w:t>
      </w:r>
      <w:r>
        <w:rPr>
          <w:i/>
          <w:iCs/>
        </w:rPr>
        <w:t xml:space="preserve">interaction between sources</w:t>
      </w:r>
      <w:r>
        <w:t xml:space="preserve"> </w:t>
      </w:r>
      <w:r>
        <w:t xml:space="preserve">rather than scoring each in isolation, and whether it can</w:t>
      </w:r>
      <w:r>
        <w:t xml:space="preserve"> </w:t>
      </w:r>
      <w:r>
        <w:t xml:space="preserve">represent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. The pattern is uniform. Every method cheap enough to run at</w:t>
      </w:r>
      <w:r>
        <w:t xml:space="preserve"> </w:t>
      </w:r>
      <w:r>
        <w:t xml:space="preserve">retrieval scale emits a final per-item number, however that number is produced, and therefore lives</w:t>
      </w:r>
      <w:r>
        <w:t xml:space="preserve"> </w:t>
      </w:r>
      <w:r>
        <w:t xml:space="preserve">in a total order; every method that genuinely models interaction is either symmetric redundancy</w:t>
      </w:r>
      <w:r>
        <w:t xml:space="preserve"> </w:t>
      </w:r>
      <w:r>
        <w:t xml:space="preserve">over embedding geometry, carries no dominance guarantee, or is as costly as direct probing. No prior</w:t>
      </w:r>
      <w:r>
        <w:t xml:space="preserve"> </w:t>
      </w:r>
      <w:r>
        <w:t xml:space="preserve">row is both cheap and partial-order-faithful; that empty cell is the open problem this paper</w:t>
      </w:r>
      <w:r>
        <w:t xml:space="preserve"> </w:t>
      </w:r>
      <w:r>
        <w:t xml:space="preserve">isolates, and we occupy the last row, paying probe cost for the guarantee.</w:t>
      </w:r>
    </w:p>
    <w:p>
      <w:pPr>
        <w:pStyle w:val="BodyText"/>
      </w:pPr>
      <w:bookmarkStart w:id="147" w:name="tab:designspace"/>
      <w:bookmarkEnd w:id="147"/>
    </w:p>
    <w:bookmarkEnd w:id="148"/>
    <w:bookmarkStart w:id="155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and the</w:t>
      </w:r>
      <w:r>
        <w:t xml:space="preserve"> </w:t>
      </w:r>
      <w:r>
        <w:t xml:space="preserve">token observation of 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50" w:name="sec:results-audit"/>
    <w:p>
      <w:pPr>
        <w:pStyle w:val="Heading2"/>
      </w:pPr>
      <w:r>
        <w:t xml:space="preserve">Raw-failure audit: what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measures</w:t>
      </w:r>
    </w:p>
    <w:p>
      <w:pPr>
        <w:pStyle w:val="FirstParagraph"/>
      </w:pPr>
      <w:r>
        <w:rPr>
          <w:i/>
          <w:iCs/>
        </w:rPr>
        <w:t xml:space="preserve">Question: when a cell fails, what does the reply actually get wrong, and is the failure the mechanism this paper describes or an artifact of packaging?</w:t>
      </w:r>
    </w:p>
    <w:p>
      <w:pPr>
        <w:pStyle w:val="BodyText"/>
      </w:pPr>
      <w:r>
        <w:t xml:space="preserve">One cell in Table A1 is anomalous: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scores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while scoring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harder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under the same</w:t>
      </w:r>
      <w:r>
        <w:t xml:space="preserve"> </w:t>
      </w:r>
      <w:r>
        <w:t xml:space="preserve">source, and the pattern is stable across the five distinct single-shot Haiku runs that measure</w:t>
      </w:r>
      <w:r>
        <w:t xml:space="preserve"> </w:t>
      </w:r>
      <w:r>
        <w:t xml:space="preserve">this cell (</w:t>
      </w:r>
      <m:oMath>
        <m:r>
          <m:t>42</m:t>
        </m:r>
      </m:oMath>
      <w:r>
        <w:t xml:space="preserve">–</w:t>
      </w:r>
      <m:oMath>
        <m:r>
          <m:t>58</m:t>
        </m:r>
        <m:r>
          <m:rPr>
            <m:sty m:val="p"/>
          </m:rPr>
          <m:t>%</m:t>
        </m:r>
      </m:oMath>
      <w:r>
        <w:t xml:space="preserve">; a sixth result file,</w:t>
      </w:r>
      <w:r>
        <w:t xml:space="preserve"> </w:t>
      </w:r>
      <w:r>
        <w:rPr>
          <w:rStyle w:val="VerbatimChar"/>
        </w:rPr>
        <w:t xml:space="preserve">blackwell_haiku_singleshot_n40</w:t>
      </w:r>
      <w:r>
        <w:t xml:space="preserve">, is</w:t>
      </w:r>
      <w:r>
        <w:t xml:space="preserve"> </w:t>
      </w:r>
      <w:r>
        <w:t xml:space="preserve">byte-identical to</w:t>
      </w:r>
      <w:r>
        <w:t xml:space="preserve"> </w:t>
      </w:r>
      <w:r>
        <w:rPr>
          <w:rStyle w:val="VerbatimChar"/>
        </w:rPr>
        <w:t xml:space="preserve">blackwell_haiku_ss_n40</w:t>
      </w:r>
      <w:r>
        <w:t xml:space="preserve"> </w:t>
      </w:r>
      <w:r>
        <w:t xml:space="preserve">and is the same run, not a further</w:t>
      </w:r>
      <w:r>
        <w:t xml:space="preserve"> </w:t>
      </w:r>
      <w:r>
        <w:t xml:space="preserve">replicate). Because the</w:t>
      </w:r>
      <w:r>
        <w:t xml:space="preserve"> </w:t>
      </w:r>
      <w:r>
        <w:t xml:space="preserve">published harness does not retain raw completions, we re-drew the cell keeping every reply, the</w:t>
      </w:r>
      <w:r>
        <w:t xml:space="preserve"> </w:t>
      </w:r>
      <w:r>
        <w:t xml:space="preserve">extracted code, and the verifier’s stderr (</w:t>
      </w:r>
      <w:r>
        <w:rPr>
          <w:rStyle w:val="VerbatimChar"/>
        </w:rPr>
        <w:t xml:space="preserve">results/diag/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harness/diag/</w:t>
      </w:r>
      <w:r>
        <w:t xml:space="preserve">). The</w:t>
      </w:r>
      <w:r>
        <w:t xml:space="preserve"> </w:t>
      </w:r>
      <w:r>
        <w:t xml:space="preserve">failures are uniform. In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draws the reply calls the private contract exactly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specifies,</w:t>
      </w:r>
      <w:r>
        <w:t xml:space="preserve"> </w:t>
      </w:r>
      <w:r>
        <w:rPr>
          <w:rStyle w:val="VerbatimChar"/>
        </w:rPr>
        <w:t xml:space="preserve">ledger.post(acct, cents, memo=note)</w:t>
      </w:r>
      <w:r>
        <w:t xml:space="preserve">, and every failure is the single omitted line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: PASS coincides with the presence of that line 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7</m:t>
        </m:r>
      </m:oMath>
      <w:r>
        <w:t xml:space="preserve">), and on</w:t>
      </w:r>
      <w:r>
        <w:t xml:space="preserve"> </w:t>
      </w:r>
      <w:r>
        <w:t xml:space="preserve">the control cell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same model writes the import in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t xml:space="preserve">. The cause is prompt</w:t>
      </w:r>
      <w:r>
        <w:t xml:space="preserve"> </w:t>
      </w:r>
      <w:r>
        <w:t xml:space="preserve">wording, not the contract: this task’s prompt names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which Haiku</w:t>
      </w:r>
      <w:r>
        <w:t xml:space="preserve"> </w:t>
      </w:r>
      <w:r>
        <w:t xml:space="preserve">reads as already in scope. An import-neutralized control then re-measures all four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a verifier that binds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into the solution’s namespace when the reply omitted the</w:t>
      </w:r>
      <w:r>
        <w:t xml:space="preserve"> </w:t>
      </w:r>
      <w:r>
        <w:t xml:space="preserve">import and is otherwise identical: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under both verifiers</w:t>
      </w:r>
      <w:r>
        <w:t xml:space="preserve"> </w:t>
      </w:r>
      <w:r>
        <w:t xml:space="preserve">(neutralization leaks nothing),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rises from</w:t>
      </w:r>
      <w:r>
        <w:t xml:space="preserve"> </w:t>
      </w:r>
      <m:oMath>
        <m:r>
          <m:t>23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</m:t>
        </m:r>
        <m:r>
          <m:rPr>
            <m:sty m:val="p"/>
          </m:rPr>
          <m:t>/</m:t>
        </m:r>
        <m:r>
          <m:t>40</m:t>
        </m:r>
      </m:oMath>
      <w:r>
        <w:t xml:space="preserve">. The superset collapse on this cell is therefore real and has the mechanism the paper</w:t>
      </w:r>
      <w:r>
        <w:t xml:space="preserve"> </w:t>
      </w:r>
      <w:r>
        <w:t xml:space="preserve">describes: in the retained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replies the model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</w:t>
      </w:r>
      <w:r>
        <w:t xml:space="preserve"> </w:t>
      </w:r>
      <w:r>
        <w:t xml:space="preserve">amount and posts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With the import neutralized the</w:t>
      </w:r>
      <w:r>
        <w:t xml:space="preserve"> </w:t>
      </w:r>
      <w:r>
        <w:t xml:space="preserve">harm contrast is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, verified in sign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</w:t>
      </w:r>
      <w:r>
        <w:t xml:space="preserve"> </w:t>
      </w:r>
      <w:r>
        <w:t xml:space="preserve">(Table 4). We keep the original-protocol numbers in every table, since the</w:t>
      </w:r>
      <w:r>
        <w:t xml:space="preserve"> </w:t>
      </w:r>
      <w:r>
        <w:t xml:space="preserve">verifier is identical across models and the other five models include the import; the audit changes</w:t>
      </w:r>
      <w:r>
        <w:t xml:space="preserve"> </w:t>
      </w:r>
      <w:r>
        <w:t xml:space="preserve">the reading of one cell, not its measurement. Haiku’s verified claims rest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are unaffected.</w:t>
      </w:r>
    </w:p>
    <w:bookmarkStart w:id="149" w:name="packaging-is-not-the-confound."/>
    <w:p>
      <w:pPr>
        <w:pStyle w:val="Heading4"/>
      </w:pPr>
      <w:r>
        <w:t xml:space="preserve">Packaging is not the confound.</w:t>
      </w:r>
    </w:p>
    <w:p>
      <w:pPr>
        <w:pStyle w:val="FirstParagraph"/>
      </w:pPr>
      <w:r>
        <w:t xml:space="preserve">The same retained draws answer a second question, and</w:t>
      </w:r>
      <w:r>
        <w:t xml:space="preserve"> </w:t>
      </w:r>
      <w:r>
        <w:t xml:space="preserve">it is the one a reader should ask of any executable-verifier result: did the harness ever fail a</w:t>
      </w:r>
      <w:r>
        <w:t xml:space="preserve"> </w:t>
      </w:r>
      <w:r>
        <w:t xml:space="preserve">reply that in fact contained the right call? On this cell it did not. Across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draws the extractor returned code every time (zero empty extractions), all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and none begins with prose. Code fences are</w:t>
      </w:r>
      <w:r>
        <w:t xml:space="preserve"> </w:t>
      </w:r>
      <w:r>
        <w:t xml:space="preserve">if anything commoner among the</w:t>
      </w:r>
      <w:r>
        <w:t xml:space="preserve"> </w:t>
      </w:r>
      <w:r>
        <w:rPr>
          <w:i/>
          <w:iCs/>
        </w:rPr>
        <w:t xml:space="preserve">passing</w:t>
      </w:r>
      <w:r>
        <w:t xml:space="preserve"> </w:t>
      </w:r>
      <w:r>
        <w:t xml:space="preserve">draws (</w:t>
      </w:r>
      <m:oMath>
        <m:r>
          <m:t>5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passes against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32</m:t>
        </m:r>
      </m:oMath>
      <w:r>
        <w:t xml:space="preserve"> </w:t>
      </w:r>
      <w:r>
        <w:t xml:space="preserve">failures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;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23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fencing does not predict failure: the extractor</w:t>
      </w:r>
      <w:r>
        <w:t xml:space="preserve"> </w:t>
      </w:r>
      <w:r>
        <w:t xml:space="preserve">strips it. What the audit does show is that the import slip carries more of this cell than the</w:t>
      </w:r>
      <w:r>
        <w:t xml:space="preserve"> </w:t>
      </w:r>
      <w:r>
        <w:t xml:space="preserve">mechanism does,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failures being the missing import alone against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carrying the</w:t>
      </w:r>
      <w:r>
        <w:t xml:space="preserve"> </w:t>
      </w:r>
      <w:r>
        <w:t xml:space="preserve">wire-encoded amount. The two separate cleanly: under the neutralized verifier exactly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draws</w:t>
      </w:r>
      <w:r>
        <w:t xml:space="preserve"> </w:t>
      </w:r>
      <w:r>
        <w:t xml:space="preserve">still fail, and they are exactly the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that applied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convention to a plain-cents amount,</w:t>
      </w:r>
      <w:r>
        <w:t xml:space="preserve"> </w:t>
      </w:r>
      <w:r>
        <w:t xml:space="preserve">with no exception in either direction. Removing the artifact therefore leaves a residual harm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0.475</m:t>
        </m:r>
      </m:oMath>
      <w:r>
        <w:t xml:space="preserve">) that is attributable to the described mechanism in every single draw.</w:t>
      </w:r>
    </w:p>
    <w:bookmarkEnd w:id="149"/>
    <w:bookmarkEnd w:id="150"/>
    <w:bookmarkStart w:id="153" w:name="sec:remeasure"/>
    <w:p>
      <w:pPr>
        <w:pStyle w:val="Heading2"/>
      </w:pPr>
      <w:r>
        <w:t xml:space="preserve">Re-measurement with retention across the roster</w:t>
      </w:r>
    </w:p>
    <w:p>
      <w:pPr>
        <w:pStyle w:val="FirstParagraph"/>
      </w:pPr>
      <w:r>
        <w:t xml:space="preserve">The published harness discards raw completions, so the audit above covers the one cell for which</w:t>
      </w:r>
      <w:r>
        <w:t xml:space="preserve"> </w:t>
      </w:r>
      <w:r>
        <w:t xml:space="preserve">they were kept. We therefore re-measured every verified interference cell with retention enabled,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under the published prompt for each backend, and scored each draw twice: under the</w:t>
      </w:r>
      <w:r>
        <w:t xml:space="preserve"> </w:t>
      </w:r>
      <w:r>
        <w:t xml:space="preserve">published verifier and under the import-neutralized one. Table A3 reports it.</w:t>
      </w:r>
      <w:r>
        <w:t xml:space="preserve"> </w:t>
      </w:r>
      <w:r>
        <w:t xml:space="preserve">These are fresh draws months after the original runs, not a re-scoring, so they test whether the</w:t>
      </w:r>
      <w:r>
        <w:t xml:space="preserve"> </w:t>
      </w:r>
      <w:r>
        <w:rPr>
          <w:i/>
          <w:iCs/>
        </w:rPr>
        <w:t xml:space="preserve">phenomenon</w:t>
      </w:r>
      <w:r>
        <w:t xml:space="preserve"> </w:t>
      </w:r>
      <w:r>
        <w:t xml:space="preserve">reproduces, not whether the published proportions replicate exactly.</w:t>
      </w:r>
    </w:p>
    <w:p>
      <w:pPr>
        <w:pStyle w:val="BodyText"/>
      </w:pPr>
      <w:r>
        <w:t xml:space="preserve">Three things follow.</w:t>
      </w:r>
      <w:r>
        <w:t xml:space="preserve"> </w:t>
      </w:r>
      <w:r>
        <w:rPr>
          <w:b/>
          <w:bCs/>
        </w:rPr>
        <w:t xml:space="preserve">(i) The collapse reproduces in every cell</w:t>
      </w:r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1.000</m:t>
        </m:r>
      </m:oMath>
      <w:r>
        <w:t xml:space="preserve">; no cell failed to reproduce.</w:t>
      </w:r>
      <w:r>
        <w:t xml:space="preserve"> </w:t>
      </w:r>
      <w:r>
        <w:rPr>
          <w:b/>
          <w:bCs/>
        </w:rPr>
        <w:t xml:space="preserve">(ii) Packaging is never the cause</w:t>
      </w:r>
      <w:r>
        <w:t xml:space="preserve">: across</w:t>
      </w:r>
      <w:r>
        <w:t xml:space="preserve"> </w:t>
      </w:r>
      <w:r>
        <w:t xml:space="preserve">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retained draws of these eleven cells the extractor returned a non-empty code block every</w:t>
      </w:r>
      <w:r>
        <w:t xml:space="preserve"> </w:t>
      </w:r>
      <w:r>
        <w:t xml:space="preserve">time, so no failure is an artifact of an empty extraction or of fencing. That is weaker than a</w:t>
      </w:r>
      <w:r>
        <w:t xml:space="preserve"> </w:t>
      </w:r>
      <w:r>
        <w:t xml:space="preserve">guarantee that every reply was well-formed Python; it rules out the packaging explanation, not</w:t>
      </w:r>
      <w:r>
        <w:t xml:space="preserve"> </w:t>
      </w:r>
      <w:r>
        <w:t xml:space="preserve">every formatting one.</w:t>
      </w:r>
      <w:r>
        <w:t xml:space="preserve"> </w:t>
      </w:r>
      <w:r>
        <w:rPr>
          <w:b/>
          <w:bCs/>
        </w:rPr>
        <w:t xml:space="preserve">(iii) The import artifact suppressed the measured harm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manufacturing it.</w:t>
      </w:r>
      <w:r>
        <w:t xml:space="preserve"> </w:t>
      </w:r>
      <w:r>
        <w:t xml:space="preserve">It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not the superset arm, so neutralizing it deepens every</w:t>
      </w:r>
      <w:r>
        <w:t xml:space="preserve"> </w:t>
      </w:r>
      <w:r>
        <w:t xml:space="preserve">contrast it touches: DeepSeek’s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moves 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0.625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0.950</m:t>
        </m:r>
      </m:oMath>
      <w:r>
        <w:t xml:space="preserve">.</w:t>
      </w:r>
    </w:p>
    <w:bookmarkStart w:id="152" w:name="X6048aa77d89549cebd162582b87914a697e9c2a"/>
    <w:p>
      <w:pPr>
        <w:pStyle w:val="Heading4"/>
      </w:pPr>
      <w:r>
        <w:t xml:space="preserve">The mechanism is not universal: Sonnet refuses.</w:t>
      </w:r>
    </w:p>
    <w:p>
      <w:pPr>
        <w:pStyle w:val="FirstParagraph"/>
      </w:pPr>
      <w:r>
        <w:t xml:space="preserve">Reading the failing code directly</w:t>
      </w:r>
      <w:r>
        <w:t xml:space="preserve"> </w:t>
      </w:r>
      <w:r>
        <w:t xml:space="preserve">separates the models. We count over the draws that still fail once the import is neutralized, which</w:t>
      </w:r>
      <w:r>
        <w:t xml:space="preserve"> </w:t>
      </w:r>
      <w:r>
        <w:t xml:space="preserve">removes that confound from the attribution. On nine of the eleven cells the failure is then the one</w:t>
      </w:r>
      <w:r>
        <w:t xml:space="preserve"> </w:t>
      </w:r>
      <w:r>
        <w:t xml:space="preserve">this paper describes, the reply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 those draws per cell (</w:t>
      </w:r>
      <m:oMath>
        <m:r>
          <m:t>359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434</m:t>
        </m:r>
      </m:oMath>
      <w:r>
        <w:t xml:space="preserve"> </w:t>
      </w:r>
      <w:r>
        <w:t xml:space="preserve">across the roster, the shortfall being Sonnet). The</w:t>
      </w:r>
      <w:r>
        <w:t xml:space="preserve"> </w:t>
      </w:r>
      <w:r>
        <w:t xml:space="preserve">verifier’s own record is a stricter witness and agrees where it can speak: it logs a wire-format</w:t>
      </w:r>
      <w:r>
        <w:t xml:space="preserve"> </w:t>
      </w:r>
      <w:r>
        <w:t xml:space="preserve">string such as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the posted call in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 The two counts</w:t>
      </w:r>
      <w:r>
        <w:t xml:space="preserve"> </w:t>
      </w:r>
      <w:r>
        <w:t xml:space="preserve">separate only where a missing import raises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before the call assertion executes,</w:t>
      </w:r>
      <w:r>
        <w:t xml:space="preserve"> </w:t>
      </w:r>
      <w:r>
        <w:t xml:space="preserve">so the posted value is never recorded; every such draw still fails under the neutralized verifier</w:t>
      </w:r>
      <w:r>
        <w:t xml:space="preserve"> </w:t>
      </w:r>
      <w:r>
        <w:t xml:space="preserve">and its code computes the encoding. Sonnet is the exception, and completely so.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</w:t>
      </w:r>
      <w:r>
        <w:t xml:space="preserve"> </w:t>
      </w:r>
      <w:r>
        <w:t xml:space="preserve">draws,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, decline the task, opening with a variant of</w:t>
      </w:r>
      <w:r>
        <w:t xml:space="preserve"> </w:t>
      </w:r>
      <w:r>
        <w:t xml:space="preserve">“I’m</w:t>
      </w:r>
      <w:r>
        <w:t xml:space="preserve"> </w:t>
      </w:r>
      <w:r>
        <w:t xml:space="preserve">flagging this as a likely prompt injection attempt”</w:t>
      </w:r>
      <w:r>
        <w:t xml:space="preserve"> </w:t>
      </w:r>
      <w:r>
        <w:t xml:space="preserve">and identifying the stacked</w:t>
      </w:r>
      <w:r>
        <w:t xml:space="preserve"> </w:t>
      </w:r>
      <w:r>
        <w:rPr>
          <w:rStyle w:val="VerbatimChar"/>
        </w:rPr>
        <w:t xml:space="preserve">TEAM CONTEXT (private)</w:t>
      </w:r>
      <w:r>
        <w:t xml:space="preserve"> </w:t>
      </w:r>
      <w:r>
        <w:t xml:space="preserve">blocks as injected instructions; the encoding error accounts for</w:t>
      </w:r>
      <w:r>
        <w:t xml:space="preserve"> </w:t>
      </w:r>
      <w:r>
        <w:t xml:space="preserve">only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39</m:t>
        </m:r>
      </m:oMath>
      <w:r>
        <w:t xml:space="preserve">. No other model on any arm produced such a reply. Sonnet’s refusals are not</w:t>
      </w:r>
      <w:r>
        <w:t xml:space="preserve"> </w:t>
      </w:r>
      <w:r>
        <w:t xml:space="preserve">confined to the superset, and counting them across all of its retained arms locates the trigger</w:t>
      </w:r>
      <w:r>
        <w:t xml:space="preserve"> </w:t>
      </w:r>
      <w:r>
        <w:t xml:space="preserve">elsewhere than in the number of blocks: an arm carrying only the block that is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for</w:t>
      </w:r>
      <w:r>
        <w:t xml:space="preserve"> </w:t>
      </w:r>
      <w:r>
        <w:t xml:space="preserve">its task draws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refusals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the trap and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while an arm carrying only a</w:t>
      </w:r>
      <w:r>
        <w:t xml:space="preserve"> </w:t>
      </w:r>
      <w:r>
        <w:rPr>
          <w:i/>
          <w:iCs/>
        </w:rPr>
        <w:t xml:space="preserve">non</w:t>
      </w:r>
      <w:r>
        <w:t xml:space="preserve">-decisive block draws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the same four tasks. A single private block is therefore</w:t>
      </w:r>
      <w:r>
        <w:t xml:space="preserve"> </w:t>
      </w:r>
      <w:r>
        <w:t xml:space="preserve">enough, when it does not serve the task at hand. On that reading the superset refuses because it</w:t>
      </w:r>
      <w:r>
        <w:t xml:space="preserve"> </w:t>
      </w:r>
      <w:r>
        <w:t xml:space="preserve">always contains a block the task does not need, which is the same mismatch the collapse turns on</w:t>
      </w:r>
      <w:r>
        <w:t xml:space="preserve"> </w:t>
      </w:r>
      <w:r>
        <w:t xml:space="preserve">rather than a separate effect of stacking. We state this as the pattern the retained draws show,</w:t>
      </w:r>
      <w:r>
        <w:t xml:space="preserve"> </w:t>
      </w:r>
      <w:r>
        <w:t xml:space="preserve">not as a mechanism: it rests on one model and four tasks.</w:t>
      </w:r>
      <w:r>
        <w:t xml:space="preserve"> </w:t>
      </w:r>
      <w:r>
        <w:t xml:space="preserve">Theorem 3 is indifferent to it, since it constrains any rule whose PASS</w:t>
      </w:r>
      <w:r>
        <w:t xml:space="preserve"> </w:t>
      </w:r>
      <w:r>
        <w:t xml:space="preserve">falls under a strict superset whatever the internal cause, and Sonnet’s PASS does fall. What the</w:t>
      </w:r>
      <w:r>
        <w:t xml:space="preserve"> </w:t>
      </w:r>
      <w:r>
        <w:t xml:space="preserve">observation costs is the reading: for Sonnet the collapse is a refusal, not convention</w:t>
      </w:r>
      <w:r>
        <w:t xml:space="preserve"> </w:t>
      </w:r>
      <w:r>
        <w:t xml:space="preserve">mis-binding, and should be read with that exception in force. Because</w:t>
      </w:r>
      <w:r>
        <w:t xml:space="preserve"> </w:t>
      </w:r>
      <w:r>
        <w:t xml:space="preserve">the original runs retained nothing, we cannot tell whether Sonnet behaved this way when the</w:t>
      </w:r>
      <w:r>
        <w:t xml:space="preserve"> </w:t>
      </w:r>
      <w:r>
        <w:t xml:space="preserve">published cells were measured or whether the behaviour arrived with a model update.</w:t>
      </w:r>
    </w:p>
    <w:bookmarkStart w:id="151" w:name="tab:remeasure"/>
    <w:p>
      <w:pPr>
        <w:pStyle w:val="TableCaption"/>
      </w:pPr>
      <w:r>
        <w:t xml:space="preserve">Re-measurement with raw-completion retention,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fresh draws.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under the published verifier 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under the import-neutralized one.</w:t>
      </w:r>
      <w:r>
        <w:t xml:space="preserve"> </w:t>
      </w:r>
      <w:r>
        <w:t xml:space="preserve">“Mechanism”</w:t>
      </w:r>
      <w:r>
        <w:t xml:space="preserve"> </w:t>
      </w:r>
      <w:r>
        <w:t xml:space="preserve">counts, among the superset draws that still fail once the import is neutralized,</w:t>
      </w:r>
      <w:r>
        <w:t xml:space="preserve"> </w:t>
      </w:r>
      <w:r>
        <w:t xml:space="preserve">those that wire-encode the amount;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draws declining the task as a suspected</w:t>
      </w:r>
      <w:r>
        <w:t xml:space="preserve"> </w:t>
      </w:r>
      <w:r>
        <w:t xml:space="preserve">prompt injection, over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the arm. The two denominators therefore differ, and the</w:t>
      </w:r>
      <w:r>
        <w:t xml:space="preserve"> </w:t>
      </w:r>
      <w:r>
        <w:t xml:space="preserve">labels are not mutually exclusive: on Sonnet’s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one draw carries both flags,</w:t>
      </w:r>
      <w:r>
        <w:t xml:space="preserve"> </w:t>
      </w:r>
      <w:r>
        <w:t xml:space="preserve">and on its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one refusal-flagged draw nonetheless passed. Every row is a</w:t>
      </w:r>
      <w:r>
        <w:t xml:space="preserve"> </w:t>
      </w:r>
      <w:r>
        <w:t xml:space="preserve">single-shot re-measurement in the published regime.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-measurement with raw-completion retention, n=40 per arm, fresh draws. \Delta is under the published verifier and \Delta_{\mathrm{neu}} under the import-neutralized one. “Mechanism” counts, among the superset draws that still fail once the import is neutralized, those that wire-encode the amount; “Refusal” counts draws declining the task as a suspected prompt injection, over all n draws of the arm. The two denominators therefore differ, and the labels are not mutually exclusive: on Sonnet’s api_argorder one draw carries both flags, and on its api_post_ok one refusal-flagged draw nonetheless passed. Every row is a single-shot re-measurement in the published regim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bookmarkEnd w:id="151"/>
    <w:bookmarkEnd w:id="152"/>
    <w:bookmarkEnd w:id="153"/>
    <w:bookmarkStart w:id="154" w:name="sec:disc-mechanism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On the two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115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163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473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; the re-measured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carries no token record). One might read this</w:t>
      </w:r>
      <w:r>
        <w:t xml:space="preserve"> </w:t>
      </w:r>
      <w:r>
        <w:t xml:space="preserve">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</w:t>
      </w:r>
      <w:r>
        <w:t xml:space="preserve"> </w:t>
      </w:r>
      <w:r>
        <w:t xml:space="preserve">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 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Re-measuring the verified cells with raw</w:t>
      </w:r>
      <w:r>
        <w:t xml:space="preserve"> </w:t>
      </w:r>
      <w:r>
        <w:t xml:space="preserve">completions retained () confirms the convention-misbinding account on nine of</w:t>
      </w:r>
      <w:r>
        <w:t xml:space="preserve"> </w:t>
      </w:r>
      <w:r>
        <w:t xml:space="preserve">eleven cells by direct inspection of the failing code, but not on Sonnet’s two, where the model</w:t>
      </w:r>
      <w:r>
        <w:t xml:space="preserve"> </w:t>
      </w:r>
      <w:r>
        <w:t xml:space="preserve">instead declines the superset prompt as a suspected injection. The mechanism discussion below</w:t>
      </w:r>
      <w:r>
        <w:t xml:space="preserve"> </w:t>
      </w:r>
      <w:r>
        <w:t xml:space="preserve">therefore describes nine cells, not all eleven.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already constrain the hypothesis space from outside, the harm is not position (order</w:t>
      </w:r>
      <w:r>
        <w:t xml:space="preserve"> </w:t>
      </w:r>
      <w:r>
        <w:t xml:space="preserve">control) and not by an off-topic block of equal character length 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while labeled XML segmentation of the</w:t>
      </w:r>
      <w:r>
        <w:t xml:space="preserve"> </w:t>
      </w:r>
      <w:r>
        <w:t xml:space="preserve">same content recovers only a minority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 locates the operative</w:t>
      </w:r>
      <w:r>
        <w:t xml:space="preserve"> </w:t>
      </w:r>
      <w:r>
        <w:t xml:space="preserve">variable in convention-to-task routing rather than formatting; this is an interpretation, not a</w:t>
      </w:r>
      <w:r>
        <w:t xml:space="preserve"> </w:t>
      </w:r>
      <w:r>
        <w:t xml:space="preserve">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54"/>
    <w:bookmarkEnd w:id="155"/>
    <w:bookmarkStart w:id="295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56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in a single-shot completion (one call, no tools,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56"/>
    <w:bookmarkStart w:id="157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Claude CLI and the</w:t>
      </w:r>
      <w:r>
        <w:t xml:space="preserve"> </w:t>
      </w:r>
      <w:r>
        <w:t xml:space="preserve">Azure/OpenAI-compatible launchers are 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behind the six-model tables. Two reported runs sit</w:t>
      </w:r>
      <w:r>
        <w:t xml:space="preserve"> </w:t>
      </w:r>
      <w:r>
        <w:t xml:space="preserve">outside it, both on the agentic Claude CLI path (up to six turns per attempt) rather than the</w:t>
      </w:r>
      <w:r>
        <w:t xml:space="preserve"> </w:t>
      </w:r>
      <w:r>
        <w:t xml:space="preserve">single-shot one, and both identifiable from their run logs, which lack the</w:t>
      </w:r>
      <w:r>
        <w:t xml:space="preserve"> </w:t>
      </w:r>
      <w:r>
        <w:rPr>
          <w:rStyle w:val="VerbatimChar"/>
        </w:rPr>
        <w:t xml:space="preserve">[SINGLE-SHOT]</w:t>
      </w:r>
      <w:r>
        <w:t xml:space="preserve"> </w:t>
      </w:r>
      <w:r>
        <w:t xml:space="preserve">marker every single-shot run carries. The first is the order control of</w:t>
      </w:r>
      <w:r>
        <w:t xml:space="preserve"> </w:t>
      </w:r>
      <w:r>
        <w:t xml:space="preserve">§7.4.3, an earlier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run, reported as an auxiliary control and</w:t>
      </w:r>
      <w:r>
        <w:t xml:space="preserve"> </w:t>
      </w:r>
      <w:r>
        <w:t xml:space="preserve">entering no table of the six-model record. The second is the entire second source pair</w:t>
      </w:r>
      <w:r>
        <w:t xml:space="preserve"> </w:t>
      </w:r>
      <w:r>
        <w:t xml:space="preserve">(§7.5), measured agentically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Its role is generality, so</w:t>
      </w:r>
      <w:r>
        <w:t xml:space="preserve"> </w:t>
      </w:r>
      <w:r>
        <w:t xml:space="preserve">the regime difference is worth stating plainly: what that pair shows is that incomparability and</w:t>
      </w:r>
      <w:r>
        <w:t xml:space="preserve"> </w:t>
      </w:r>
      <w:r>
        <w:t xml:space="preserve">the superset collapse reappear in another domain</w:t>
      </w:r>
      <w:r>
        <w:t xml:space="preserve"> </w:t>
      </w:r>
      <w:r>
        <w:rPr>
          <w:i/>
          <w:iCs/>
        </w:rPr>
        <w:t xml:space="preserve">under the agentic harness</w:t>
      </w:r>
      <w:r>
        <w:t xml:space="preserve">, not that they</w:t>
      </w:r>
      <w:r>
        <w:t xml:space="preserve"> </w:t>
      </w:r>
      <w:r>
        <w:t xml:space="preserve">reappear under the single-shot one. The single-shot evidence for both phenomena is the six-model</w:t>
      </w:r>
      <w:r>
        <w:t xml:space="preserve"> </w:t>
      </w:r>
      <w:r>
        <w:t xml:space="preserve">record on the first pair.</w:t>
      </w:r>
    </w:p>
    <w:p>
      <w:pPr>
        <w:pStyle w:val="BodyText"/>
      </w:pPr>
      <w:r>
        <w:t xml:space="preserve">Four arm-only re-measurements were originally produced by ad-hoc scripts that were not kept, so</w:t>
      </w:r>
      <w:r>
        <w:t xml:space="preserve"> </w:t>
      </w:r>
      <w:r>
        <w:t xml:space="preserve">their regime could be asserted but not recovered from a run log. All four have since been</w:t>
      </w:r>
      <w:r>
        <w:t xml:space="preserve"> </w:t>
      </w:r>
      <w:r>
        <w:t xml:space="preserve">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</w:t>
      </w:r>
      <w:r>
        <w:t xml:space="preserve"> </w:t>
      </w:r>
      <w:r>
        <w:t xml:space="preserve">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This manuscript reports the</w:t>
      </w:r>
      <w:r>
        <w:t xml:space="preserve"> </w:t>
      </w:r>
      <w:r>
        <w:t xml:space="preserve">re-measurements throughout, so every cited run now has a log 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each. The between-run</w:t>
      </w:r>
      <w:r>
        <w:t xml:space="preserve"> </w:t>
      </w:r>
      <w:r>
        <w:t xml:space="preserve">movement on the Opus arm is itself a data point for §8.4: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 The GPT-5.5 rows of Table A3 come from that run.</w:t>
      </w:r>
    </w:p>
    <w:bookmarkEnd w:id="157"/>
    <w:bookmarkStart w:id="158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single-shot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blackwell_opus_ss_n40</w:t>
      </w:r>
      <w:r>
        <w:t xml:space="preserve"> </w:t>
      </w:r>
      <w:r>
        <w:t xml:space="preserve">with its arm-only re-run</w:t>
      </w:r>
      <w:r>
        <w:t xml:space="preserve"> </w:t>
      </w:r>
      <w:r>
        <w:rPr>
          <w:rStyle w:val="VerbatimChar"/>
        </w:rPr>
        <w:t xml:space="preserve">blackwell_opus_ss_W1plus_v2</w:t>
      </w:r>
      <w:r>
        <w:t xml:space="preserve"> </w:t>
      </w:r>
      <w:r>
        <w:t xml:space="preserve">and the clean single-cell re-measurements</w:t>
      </w:r>
      <w:r>
        <w:t xml:space="preserve"> </w:t>
      </w:r>
      <w:r>
        <w:rPr>
          <w:rStyle w:val="VerbatimChar"/>
        </w:rPr>
        <w:t xml:space="preserve">blackwell_opus_ss_W2_trap_v2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blackwell_haiku_ss_W1_enc_v2</w:t>
      </w:r>
      <w:r>
        <w:t xml:space="preserve">, all produced by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 and the follow-up controls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(character-matched padding,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blackwell_order_ss_n40</w:t>
      </w:r>
      <w:r>
        <w:t xml:space="preserve"> </w:t>
      </w:r>
      <w:r>
        <w:t xml:space="preserve">(order control, reversed concatenation,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blackwell_pair2_n40</w:t>
      </w:r>
      <w:r>
        <w:t xml:space="preserve"> </w:t>
      </w:r>
      <w:r>
        <w:t xml:space="preserve">(second source pair; the reported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all come from this file) and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(second source pair),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(routing-instruction ablation),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blackwell_xml_arm_v2</w:t>
      </w:r>
      <w:r>
        <w:t xml:space="preserve"> </w:t>
      </w:r>
      <w:r>
        <w:t xml:space="preserve">(structured-context ablation),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(LLM listwise reranker probe;</w:t>
      </w:r>
      <w:r>
        <w:t xml:space="preserve"> </w:t>
      </w:r>
      <w:r>
        <w:rPr>
          <w:rStyle w:val="VerbatimChar"/>
        </w:rPr>
        <w:t xml:space="preserve">harness/measure_reranker_trap.py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58"/>
    <w:bookmarkStart w:id="294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Anthropic spend was approximately $147: the</w:t>
      </w:r>
      <w:r>
        <w:t xml:space="preserve"> </w:t>
      </w:r>
      <w:r>
        <w:t xml:space="preserve">single-shot Haiku, Sonnet, and Opus runs (Opus the costliest, plus its arm-only re-run) and the</w:t>
      </w:r>
      <w:r>
        <w:t xml:space="preserve"> </w:t>
      </w:r>
      <w:r>
        <w:t xml:space="preserve">follow-up controls (padding, second pair, routing, structured-context). The non-Anthropic runs</w:t>
      </w:r>
      <w:r>
        <w:t xml:space="preserve"> </w:t>
      </w:r>
      <w:r>
        <w:t xml:space="preserve">(GPT-5.5, DeepSeek, Kimi) used Azure quota; the Azure API returns no cost field, so this figure is</w:t>
      </w:r>
      <w:r>
        <w:t xml:space="preserve"> </w:t>
      </w:r>
      <w:r>
        <w:t xml:space="preserve">the Anthropic spend, not the total across all six models. The dense/cross-encoder probe ran locally</w:t>
      </w:r>
      <w:r>
        <w:t xml:space="preserve"> </w:t>
      </w:r>
      <w:r>
        <w:t xml:space="preserve">on open weights at zero API cost.</w:t>
      </w:r>
    </w:p>
    <w:bookmarkStart w:id="293" w:name="refs"/>
    <w:bookmarkStart w:id="160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60"/>
    <w:bookmarkStart w:id="162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61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62"/>
    <w:bookmarkStart w:id="164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63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64"/>
    <w:bookmarkStart w:id="166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65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66"/>
    <w:bookmarkStart w:id="167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67"/>
    <w:bookmarkStart w:id="169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68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9"/>
    <w:bookmarkStart w:id="171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70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71"/>
    <w:bookmarkStart w:id="172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72"/>
    <w:bookmarkStart w:id="174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74"/>
    <w:bookmarkStart w:id="176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76"/>
    <w:bookmarkStart w:id="178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77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78"/>
    <w:bookmarkStart w:id="180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80"/>
    <w:bookmarkStart w:id="182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82"/>
    <w:bookmarkStart w:id="184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84"/>
    <w:bookmarkStart w:id="186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86"/>
    <w:bookmarkStart w:id="188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87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88"/>
    <w:bookmarkStart w:id="190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90"/>
    <w:bookmarkStart w:id="192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92"/>
    <w:bookmarkStart w:id="194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93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94"/>
    <w:bookmarkStart w:id="196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96"/>
    <w:bookmarkStart w:id="198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97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98"/>
    <w:bookmarkStart w:id="199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9"/>
    <w:bookmarkStart w:id="201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201"/>
    <w:bookmarkStart w:id="203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203"/>
    <w:bookmarkStart w:id="205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205"/>
    <w:bookmarkStart w:id="207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206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207"/>
    <w:bookmarkStart w:id="209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9"/>
    <w:bookmarkStart w:id="211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11"/>
    <w:bookmarkStart w:id="213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13"/>
    <w:bookmarkStart w:id="215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15"/>
    <w:bookmarkStart w:id="217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16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7"/>
    <w:bookmarkStart w:id="219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9"/>
    <w:bookmarkStart w:id="221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20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21"/>
    <w:bookmarkStart w:id="223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22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23"/>
    <w:bookmarkStart w:id="225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24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25"/>
    <w:bookmarkStart w:id="227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26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7"/>
    <w:bookmarkStart w:id="229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9"/>
    <w:bookmarkStart w:id="231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30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31"/>
    <w:bookmarkStart w:id="233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32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33"/>
    <w:bookmarkStart w:id="235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34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5"/>
    <w:bookmarkStart w:id="237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7"/>
    <w:bookmarkStart w:id="239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8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9"/>
    <w:bookmarkStart w:id="241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40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41"/>
    <w:bookmarkStart w:id="243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42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43"/>
    <w:bookmarkStart w:id="245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44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5"/>
    <w:bookmarkStart w:id="247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6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7"/>
    <w:bookmarkStart w:id="249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8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9"/>
    <w:bookmarkStart w:id="251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50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51"/>
    <w:bookmarkStart w:id="253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52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53"/>
    <w:bookmarkStart w:id="255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54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5"/>
    <w:bookmarkStart w:id="257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6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7"/>
    <w:bookmarkStart w:id="259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8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9"/>
    <w:bookmarkStart w:id="261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60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61"/>
    <w:bookmarkStart w:id="263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3"/>
    <w:bookmarkStart w:id="265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4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5"/>
    <w:bookmarkStart w:id="267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6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7"/>
    <w:bookmarkStart w:id="269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8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9"/>
    <w:bookmarkStart w:id="27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7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71"/>
    <w:bookmarkStart w:id="273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72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3"/>
    <w:bookmarkStart w:id="275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4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5"/>
    <w:bookmarkStart w:id="277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6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7"/>
    <w:bookmarkStart w:id="279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8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9"/>
    <w:bookmarkStart w:id="281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81"/>
    <w:bookmarkStart w:id="283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82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3"/>
    <w:bookmarkStart w:id="285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5"/>
    <w:bookmarkStart w:id="286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6"/>
    <w:bookmarkStart w:id="288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7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8"/>
    <w:bookmarkStart w:id="290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9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90"/>
    <w:bookmarkStart w:id="292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91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92"/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3" Target="http://www.vldb.org/pvldb/vol6/p37-dong.pdf" TargetMode="External" /><Relationship Type="http://schemas.openxmlformats.org/officeDocument/2006/relationships/hyperlink" Id="rId216" Target="https://aclanthology.org/2025.fever-1.2/" TargetMode="External" /><Relationship Type="http://schemas.openxmlformats.org/officeDocument/2006/relationships/hyperlink" Id="rId212" Target="https://aclanthology.org/2026.findings-acl.583/" TargetMode="External" /><Relationship Type="http://schemas.openxmlformats.org/officeDocument/2006/relationships/hyperlink" Id="rId256" Target="https://arxiv.org/abs/1402.4884" TargetMode="External" /><Relationship Type="http://schemas.openxmlformats.org/officeDocument/2006/relationships/hyperlink" Id="rId258" Target="https://arxiv.org/abs/2302.00093" TargetMode="External" /><Relationship Type="http://schemas.openxmlformats.org/officeDocument/2006/relationships/hyperlink" Id="rId274" Target="https://arxiv.org/abs/2302.05698" TargetMode="External" /><Relationship Type="http://schemas.openxmlformats.org/officeDocument/2006/relationships/hyperlink" Id="rId218" Target="https://arxiv.org/abs/2304.04576" TargetMode="External" /><Relationship Type="http://schemas.openxmlformats.org/officeDocument/2006/relationships/hyperlink" Id="rId260" Target="https://arxiv.org/abs/2304.09542" TargetMode="External" /><Relationship Type="http://schemas.openxmlformats.org/officeDocument/2006/relationships/hyperlink" Id="rId244" Target="https://arxiv.org/abs/2307.03172" TargetMode="External" /><Relationship Type="http://schemas.openxmlformats.org/officeDocument/2006/relationships/hyperlink" Id="rId189" Target="https://arxiv.org/abs/2401.14887" TargetMode="External" /><Relationship Type="http://schemas.openxmlformats.org/officeDocument/2006/relationships/hyperlink" Id="rId264" Target="https://arxiv.org/abs/2402.11750" TargetMode="External" /><Relationship Type="http://schemas.openxmlformats.org/officeDocument/2006/relationships/hyperlink" Id="rId272" Target="https://arxiv.org/abs/2403.08319" TargetMode="External" /><Relationship Type="http://schemas.openxmlformats.org/officeDocument/2006/relationships/hyperlink" Id="rId287" Target="https://arxiv.org/abs/2405.18253" TargetMode="External" /><Relationship Type="http://schemas.openxmlformats.org/officeDocument/2006/relationships/hyperlink" Id="rId276" Target="https://arxiv.org/abs/2407.02485" TargetMode="External" /><Relationship Type="http://schemas.openxmlformats.org/officeDocument/2006/relationships/hyperlink" Id="rId228" Target="https://arxiv.org/abs/2410.05983" TargetMode="External" /><Relationship Type="http://schemas.openxmlformats.org/officeDocument/2006/relationships/hyperlink" Id="rId270" Target="https://arxiv.org/abs/2410.07523" TargetMode="External" /><Relationship Type="http://schemas.openxmlformats.org/officeDocument/2006/relationships/hyperlink" Id="rId208" Target="https://arxiv.org/abs/2410.20247" TargetMode="External" /><Relationship Type="http://schemas.openxmlformats.org/officeDocument/2006/relationships/hyperlink" Id="rId246" Target="https://arxiv.org/abs/2411.00640" TargetMode="External" /><Relationship Type="http://schemas.openxmlformats.org/officeDocument/2006/relationships/hyperlink" Id="rId175" Target="https://arxiv.org/abs/2411.01533" TargetMode="External" /><Relationship Type="http://schemas.openxmlformats.org/officeDocument/2006/relationships/hyperlink" Id="rId230" Target="https://arxiv.org/abs/2411.06037" TargetMode="External" /><Relationship Type="http://schemas.openxmlformats.org/officeDocument/2006/relationships/hyperlink" Id="rId214" Target="https://arxiv.org/abs/2412.17031" TargetMode="External" /><Relationship Type="http://schemas.openxmlformats.org/officeDocument/2006/relationships/hyperlink" Id="rId191" Target="https://arxiv.org/abs/2503.01478" TargetMode="External" /><Relationship Type="http://schemas.openxmlformats.org/officeDocument/2006/relationships/hyperlink" Id="rId173" Target="https://arxiv.org/abs/2503.01747" TargetMode="External" /><Relationship Type="http://schemas.openxmlformats.org/officeDocument/2006/relationships/hyperlink" Id="rId240" Target="https://arxiv.org/abs/2503.04388" TargetMode="External" /><Relationship Type="http://schemas.openxmlformats.org/officeDocument/2006/relationships/hyperlink" Id="rId202" Target="https://arxiv.org/abs/2503.05491" TargetMode="External" /><Relationship Type="http://schemas.openxmlformats.org/officeDocument/2006/relationships/hyperlink" Id="rId238" Target="https://arxiv.org/abs/2504.07104" TargetMode="External" /><Relationship Type="http://schemas.openxmlformats.org/officeDocument/2006/relationships/hyperlink" Id="rId278" Target="https://arxiv.org/abs/2504.15630" TargetMode="External" /><Relationship Type="http://schemas.openxmlformats.org/officeDocument/2006/relationships/hyperlink" Id="rId181" Target="https://arxiv.org/abs/2507.03279" TargetMode="External" /><Relationship Type="http://schemas.openxmlformats.org/officeDocument/2006/relationships/hyperlink" Id="rId185" Target="https://arxiv.org/abs/2508.21184" TargetMode="External" /><Relationship Type="http://schemas.openxmlformats.org/officeDocument/2006/relationships/hyperlink" Id="rId222" Target="https://arxiv.org/abs/2510.00079" TargetMode="External" /><Relationship Type="http://schemas.openxmlformats.org/officeDocument/2006/relationships/hyperlink" Id="rId195" Target="https://arxiv.org/abs/2510.05381" TargetMode="External" /><Relationship Type="http://schemas.openxmlformats.org/officeDocument/2006/relationships/hyperlink" Id="rId280" Target="https://arxiv.org/abs/2510.11358" TargetMode="External" /><Relationship Type="http://schemas.openxmlformats.org/officeDocument/2006/relationships/hyperlink" Id="rId179" Target="https://arxiv.org/abs/2511.17908" TargetMode="External" /><Relationship Type="http://schemas.openxmlformats.org/officeDocument/2006/relationships/hyperlink" Id="rId224" Target="https://arxiv.org/abs/2512.06464" TargetMode="External" /><Relationship Type="http://schemas.openxmlformats.org/officeDocument/2006/relationships/hyperlink" Id="rId159" Target="https://arxiv.org/abs/2512.23617" TargetMode="External" /><Relationship Type="http://schemas.openxmlformats.org/officeDocument/2006/relationships/hyperlink" Id="rId226" Target="https://arxiv.org/abs/2601.05027" TargetMode="External" /><Relationship Type="http://schemas.openxmlformats.org/officeDocument/2006/relationships/hyperlink" Id="rId200" Target="https://arxiv.org/abs/2601.11273" TargetMode="External" /><Relationship Type="http://schemas.openxmlformats.org/officeDocument/2006/relationships/hyperlink" Id="rId183" Target="https://arxiv.org/abs/2601.16478" TargetMode="External" /><Relationship Type="http://schemas.openxmlformats.org/officeDocument/2006/relationships/hyperlink" Id="rId266" Target="https://arxiv.org/abs/2602.08294" TargetMode="External" /><Relationship Type="http://schemas.openxmlformats.org/officeDocument/2006/relationships/hyperlink" Id="rId250" Target="https://arxiv.org/abs/2604.06621" TargetMode="External" /><Relationship Type="http://schemas.openxmlformats.org/officeDocument/2006/relationships/hyperlink" Id="rId282" Target="https://arxiv.org/abs/2604.08920" TargetMode="External" /><Relationship Type="http://schemas.openxmlformats.org/officeDocument/2006/relationships/hyperlink" Id="rId252" Target="https://arxiv.org/abs/2605.03534" TargetMode="External" /><Relationship Type="http://schemas.openxmlformats.org/officeDocument/2006/relationships/hyperlink" Id="rId242" Target="https://arxiv.org/abs/2605.05716" TargetMode="External" /><Relationship Type="http://schemas.openxmlformats.org/officeDocument/2006/relationships/hyperlink" Id="rId284" Target="https://arxiv.org/abs/2605.06028" TargetMode="External" /><Relationship Type="http://schemas.openxmlformats.org/officeDocument/2006/relationships/hyperlink" Id="rId210" Target="https://arxiv.org/abs/2606.20047" TargetMode="External" /><Relationship Type="http://schemas.openxmlformats.org/officeDocument/2006/relationships/hyperlink" Id="rId204" Target="https://arxiv.org/abs/2608.26762" TargetMode="External" /><Relationship Type="http://schemas.openxmlformats.org/officeDocument/2006/relationships/hyperlink" Id="rId236" Target="https://doi.org/10.1007/978-1-4612-4946-7" TargetMode="External" /><Relationship Type="http://schemas.openxmlformats.org/officeDocument/2006/relationships/hyperlink" Id="rId248" Target="https://doi.org/10.1007/978-3-032-19099-4_23" TargetMode="External" /><Relationship Type="http://schemas.openxmlformats.org/officeDocument/2006/relationships/hyperlink" Id="rId291" Target="https://doi.org/10.1007/978-3-642-12275-0_32" TargetMode="External" /><Relationship Type="http://schemas.openxmlformats.org/officeDocument/2006/relationships/hyperlink" Id="rId206" Target="https://doi.org/10.1007/s10791-008-9045-0" TargetMode="External" /><Relationship Type="http://schemas.openxmlformats.org/officeDocument/2006/relationships/hyperlink" Id="rId232" Target="https://doi.org/10.1016/j.econlet.2024.112146" TargetMode="External" /><Relationship Type="http://schemas.openxmlformats.org/officeDocument/2006/relationships/hyperlink" Id="rId262" Target="https://doi.org/10.1017/CBO9780511666353" TargetMode="External" /><Relationship Type="http://schemas.openxmlformats.org/officeDocument/2006/relationships/hyperlink" Id="rId187" Target="https://doi.org/10.1093/biomet/26.4.404" TargetMode="External" /><Relationship Type="http://schemas.openxmlformats.org/officeDocument/2006/relationships/hyperlink" Id="rId254" Target="https://doi.org/10.1108/eb026647" TargetMode="External" /><Relationship Type="http://schemas.openxmlformats.org/officeDocument/2006/relationships/hyperlink" Id="rId168" Target="https://doi.org/10.1109/ISIT.2014.6875280" TargetMode="External" /><Relationship Type="http://schemas.openxmlformats.org/officeDocument/2006/relationships/hyperlink" Id="rId268" Target="https://doi.org/10.1145/1571941.1571963" TargetMode="External" /><Relationship Type="http://schemas.openxmlformats.org/officeDocument/2006/relationships/hyperlink" Id="rId177" Target="https://doi.org/10.1145/290941.291025" TargetMode="External" /><Relationship Type="http://schemas.openxmlformats.org/officeDocument/2006/relationships/hyperlink" Id="rId289" Target="https://doi.org/10.1145/3802111" TargetMode="External" /><Relationship Type="http://schemas.openxmlformats.org/officeDocument/2006/relationships/hyperlink" Id="rId234" Target="https://doi.org/10.1214/aoms/1177700372" TargetMode="External" /><Relationship Type="http://schemas.openxmlformats.org/officeDocument/2006/relationships/hyperlink" Id="rId197" Target="https://doi.org/10.1214/aoms/1177728174" TargetMode="External" /><Relationship Type="http://schemas.openxmlformats.org/officeDocument/2006/relationships/hyperlink" Id="rId170" Target="https://doi.org/10.1214/aoms/1177729032" TargetMode="External" /><Relationship Type="http://schemas.openxmlformats.org/officeDocument/2006/relationships/hyperlink" Id="rId163" Target="https://doi.org/10.5281/zenodo.20800031" TargetMode="External" /><Relationship Type="http://schemas.openxmlformats.org/officeDocument/2006/relationships/hyperlink" Id="rId161" Target="https://doi.org/10.5281/zenodo.20800175" TargetMode="External" /><Relationship Type="http://schemas.openxmlformats.org/officeDocument/2006/relationships/hyperlink" Id="rId165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20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://www.vldb.org/pvldb/vol6/p37-dong.pdf" TargetMode="External" /><Relationship Type="http://schemas.openxmlformats.org/officeDocument/2006/relationships/hyperlink" Id="rId216" Target="https://aclanthology.org/2025.fever-1.2/" TargetMode="External" /><Relationship Type="http://schemas.openxmlformats.org/officeDocument/2006/relationships/hyperlink" Id="rId212" Target="https://aclanthology.org/2026.findings-acl.583/" TargetMode="External" /><Relationship Type="http://schemas.openxmlformats.org/officeDocument/2006/relationships/hyperlink" Id="rId256" Target="https://arxiv.org/abs/1402.4884" TargetMode="External" /><Relationship Type="http://schemas.openxmlformats.org/officeDocument/2006/relationships/hyperlink" Id="rId258" Target="https://arxiv.org/abs/2302.00093" TargetMode="External" /><Relationship Type="http://schemas.openxmlformats.org/officeDocument/2006/relationships/hyperlink" Id="rId274" Target="https://arxiv.org/abs/2302.05698" TargetMode="External" /><Relationship Type="http://schemas.openxmlformats.org/officeDocument/2006/relationships/hyperlink" Id="rId218" Target="https://arxiv.org/abs/2304.04576" TargetMode="External" /><Relationship Type="http://schemas.openxmlformats.org/officeDocument/2006/relationships/hyperlink" Id="rId260" Target="https://arxiv.org/abs/2304.09542" TargetMode="External" /><Relationship Type="http://schemas.openxmlformats.org/officeDocument/2006/relationships/hyperlink" Id="rId244" Target="https://arxiv.org/abs/2307.03172" TargetMode="External" /><Relationship Type="http://schemas.openxmlformats.org/officeDocument/2006/relationships/hyperlink" Id="rId189" Target="https://arxiv.org/abs/2401.14887" TargetMode="External" /><Relationship Type="http://schemas.openxmlformats.org/officeDocument/2006/relationships/hyperlink" Id="rId264" Target="https://arxiv.org/abs/2402.11750" TargetMode="External" /><Relationship Type="http://schemas.openxmlformats.org/officeDocument/2006/relationships/hyperlink" Id="rId272" Target="https://arxiv.org/abs/2403.08319" TargetMode="External" /><Relationship Type="http://schemas.openxmlformats.org/officeDocument/2006/relationships/hyperlink" Id="rId287" Target="https://arxiv.org/abs/2405.18253" TargetMode="External" /><Relationship Type="http://schemas.openxmlformats.org/officeDocument/2006/relationships/hyperlink" Id="rId276" Target="https://arxiv.org/abs/2407.02485" TargetMode="External" /><Relationship Type="http://schemas.openxmlformats.org/officeDocument/2006/relationships/hyperlink" Id="rId228" Target="https://arxiv.org/abs/2410.05983" TargetMode="External" /><Relationship Type="http://schemas.openxmlformats.org/officeDocument/2006/relationships/hyperlink" Id="rId270" Target="https://arxiv.org/abs/2410.07523" TargetMode="External" /><Relationship Type="http://schemas.openxmlformats.org/officeDocument/2006/relationships/hyperlink" Id="rId208" Target="https://arxiv.org/abs/2410.20247" TargetMode="External" /><Relationship Type="http://schemas.openxmlformats.org/officeDocument/2006/relationships/hyperlink" Id="rId246" Target="https://arxiv.org/abs/2411.00640" TargetMode="External" /><Relationship Type="http://schemas.openxmlformats.org/officeDocument/2006/relationships/hyperlink" Id="rId175" Target="https://arxiv.org/abs/2411.01533" TargetMode="External" /><Relationship Type="http://schemas.openxmlformats.org/officeDocument/2006/relationships/hyperlink" Id="rId230" Target="https://arxiv.org/abs/2411.06037" TargetMode="External" /><Relationship Type="http://schemas.openxmlformats.org/officeDocument/2006/relationships/hyperlink" Id="rId214" Target="https://arxiv.org/abs/2412.17031" TargetMode="External" /><Relationship Type="http://schemas.openxmlformats.org/officeDocument/2006/relationships/hyperlink" Id="rId191" Target="https://arxiv.org/abs/2503.01478" TargetMode="External" /><Relationship Type="http://schemas.openxmlformats.org/officeDocument/2006/relationships/hyperlink" Id="rId173" Target="https://arxiv.org/abs/2503.01747" TargetMode="External" /><Relationship Type="http://schemas.openxmlformats.org/officeDocument/2006/relationships/hyperlink" Id="rId240" Target="https://arxiv.org/abs/2503.04388" TargetMode="External" /><Relationship Type="http://schemas.openxmlformats.org/officeDocument/2006/relationships/hyperlink" Id="rId202" Target="https://arxiv.org/abs/2503.05491" TargetMode="External" /><Relationship Type="http://schemas.openxmlformats.org/officeDocument/2006/relationships/hyperlink" Id="rId238" Target="https://arxiv.org/abs/2504.07104" TargetMode="External" /><Relationship Type="http://schemas.openxmlformats.org/officeDocument/2006/relationships/hyperlink" Id="rId278" Target="https://arxiv.org/abs/2504.15630" TargetMode="External" /><Relationship Type="http://schemas.openxmlformats.org/officeDocument/2006/relationships/hyperlink" Id="rId181" Target="https://arxiv.org/abs/2507.03279" TargetMode="External" /><Relationship Type="http://schemas.openxmlformats.org/officeDocument/2006/relationships/hyperlink" Id="rId185" Target="https://arxiv.org/abs/2508.21184" TargetMode="External" /><Relationship Type="http://schemas.openxmlformats.org/officeDocument/2006/relationships/hyperlink" Id="rId222" Target="https://arxiv.org/abs/2510.00079" TargetMode="External" /><Relationship Type="http://schemas.openxmlformats.org/officeDocument/2006/relationships/hyperlink" Id="rId195" Target="https://arxiv.org/abs/2510.05381" TargetMode="External" /><Relationship Type="http://schemas.openxmlformats.org/officeDocument/2006/relationships/hyperlink" Id="rId280" Target="https://arxiv.org/abs/2510.11358" TargetMode="External" /><Relationship Type="http://schemas.openxmlformats.org/officeDocument/2006/relationships/hyperlink" Id="rId179" Target="https://arxiv.org/abs/2511.17908" TargetMode="External" /><Relationship Type="http://schemas.openxmlformats.org/officeDocument/2006/relationships/hyperlink" Id="rId224" Target="https://arxiv.org/abs/2512.06464" TargetMode="External" /><Relationship Type="http://schemas.openxmlformats.org/officeDocument/2006/relationships/hyperlink" Id="rId159" Target="https://arxiv.org/abs/2512.23617" TargetMode="External" /><Relationship Type="http://schemas.openxmlformats.org/officeDocument/2006/relationships/hyperlink" Id="rId226" Target="https://arxiv.org/abs/2601.05027" TargetMode="External" /><Relationship Type="http://schemas.openxmlformats.org/officeDocument/2006/relationships/hyperlink" Id="rId200" Target="https://arxiv.org/abs/2601.11273" TargetMode="External" /><Relationship Type="http://schemas.openxmlformats.org/officeDocument/2006/relationships/hyperlink" Id="rId183" Target="https://arxiv.org/abs/2601.16478" TargetMode="External" /><Relationship Type="http://schemas.openxmlformats.org/officeDocument/2006/relationships/hyperlink" Id="rId266" Target="https://arxiv.org/abs/2602.08294" TargetMode="External" /><Relationship Type="http://schemas.openxmlformats.org/officeDocument/2006/relationships/hyperlink" Id="rId250" Target="https://arxiv.org/abs/2604.06621" TargetMode="External" /><Relationship Type="http://schemas.openxmlformats.org/officeDocument/2006/relationships/hyperlink" Id="rId282" Target="https://arxiv.org/abs/2604.08920" TargetMode="External" /><Relationship Type="http://schemas.openxmlformats.org/officeDocument/2006/relationships/hyperlink" Id="rId252" Target="https://arxiv.org/abs/2605.03534" TargetMode="External" /><Relationship Type="http://schemas.openxmlformats.org/officeDocument/2006/relationships/hyperlink" Id="rId242" Target="https://arxiv.org/abs/2605.05716" TargetMode="External" /><Relationship Type="http://schemas.openxmlformats.org/officeDocument/2006/relationships/hyperlink" Id="rId284" Target="https://arxiv.org/abs/2605.06028" TargetMode="External" /><Relationship Type="http://schemas.openxmlformats.org/officeDocument/2006/relationships/hyperlink" Id="rId210" Target="https://arxiv.org/abs/2606.20047" TargetMode="External" /><Relationship Type="http://schemas.openxmlformats.org/officeDocument/2006/relationships/hyperlink" Id="rId204" Target="https://arxiv.org/abs/2608.26762" TargetMode="External" /><Relationship Type="http://schemas.openxmlformats.org/officeDocument/2006/relationships/hyperlink" Id="rId236" Target="https://doi.org/10.1007/978-1-4612-4946-7" TargetMode="External" /><Relationship Type="http://schemas.openxmlformats.org/officeDocument/2006/relationships/hyperlink" Id="rId248" Target="https://doi.org/10.1007/978-3-032-19099-4_23" TargetMode="External" /><Relationship Type="http://schemas.openxmlformats.org/officeDocument/2006/relationships/hyperlink" Id="rId291" Target="https://doi.org/10.1007/978-3-642-12275-0_32" TargetMode="External" /><Relationship Type="http://schemas.openxmlformats.org/officeDocument/2006/relationships/hyperlink" Id="rId206" Target="https://doi.org/10.1007/s10791-008-9045-0" TargetMode="External" /><Relationship Type="http://schemas.openxmlformats.org/officeDocument/2006/relationships/hyperlink" Id="rId232" Target="https://doi.org/10.1016/j.econlet.2024.112146" TargetMode="External" /><Relationship Type="http://schemas.openxmlformats.org/officeDocument/2006/relationships/hyperlink" Id="rId262" Target="https://doi.org/10.1017/CBO9780511666353" TargetMode="External" /><Relationship Type="http://schemas.openxmlformats.org/officeDocument/2006/relationships/hyperlink" Id="rId187" Target="https://doi.org/10.1093/biomet/26.4.404" TargetMode="External" /><Relationship Type="http://schemas.openxmlformats.org/officeDocument/2006/relationships/hyperlink" Id="rId254" Target="https://doi.org/10.1108/eb026647" TargetMode="External" /><Relationship Type="http://schemas.openxmlformats.org/officeDocument/2006/relationships/hyperlink" Id="rId168" Target="https://doi.org/10.1109/ISIT.2014.6875280" TargetMode="External" /><Relationship Type="http://schemas.openxmlformats.org/officeDocument/2006/relationships/hyperlink" Id="rId268" Target="https://doi.org/10.1145/1571941.1571963" TargetMode="External" /><Relationship Type="http://schemas.openxmlformats.org/officeDocument/2006/relationships/hyperlink" Id="rId177" Target="https://doi.org/10.1145/290941.291025" TargetMode="External" /><Relationship Type="http://schemas.openxmlformats.org/officeDocument/2006/relationships/hyperlink" Id="rId289" Target="https://doi.org/10.1145/3802111" TargetMode="External" /><Relationship Type="http://schemas.openxmlformats.org/officeDocument/2006/relationships/hyperlink" Id="rId234" Target="https://doi.org/10.1214/aoms/1177700372" TargetMode="External" /><Relationship Type="http://schemas.openxmlformats.org/officeDocument/2006/relationships/hyperlink" Id="rId197" Target="https://doi.org/10.1214/aoms/1177728174" TargetMode="External" /><Relationship Type="http://schemas.openxmlformats.org/officeDocument/2006/relationships/hyperlink" Id="rId170" Target="https://doi.org/10.1214/aoms/1177729032" TargetMode="External" /><Relationship Type="http://schemas.openxmlformats.org/officeDocument/2006/relationships/hyperlink" Id="rId163" Target="https://doi.org/10.5281/zenodo.20800031" TargetMode="External" /><Relationship Type="http://schemas.openxmlformats.org/officeDocument/2006/relationships/hyperlink" Id="rId161" Target="https://doi.org/10.5281/zenodo.20800175" TargetMode="External" /><Relationship Type="http://schemas.openxmlformats.org/officeDocument/2006/relationships/hyperlink" Id="rId165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20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2026-09-09T10:33:37Z</dcterms:created>
  <dcterms:modified xsi:type="dcterms:W3CDTF">2026-09-09T10:33:37Z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eleven of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