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t xml:space="preserve"> </w:t>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Institute of Computer Science</w:t>
      </w:r>
      <w:r>
        <w:t xml:space="preserve"> </w:t>
      </w:r>
      <w:r>
        <w:t xml:space="preserve">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padding and reversed-order controls on one model</w:t>
      </w:r>
      <w:r>
        <w:t xml:space="preserve"> </w:t>
      </w:r>
      <w:r>
        <w:t xml:space="preserve">separate the added signal from its length and position.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5"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4"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3"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3"/>
    <w:bookmarkEnd w:id="24"/>
    <w:bookmarkEnd w:id="25"/>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6"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6"/>
    <w:bookmarkStart w:id="27"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7"/>
    <w:bookmarkStart w:id="28"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8"/>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2024)</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The padding arm</w:t>
      </w:r>
      <w:r>
        <w:t xml:space="preserve"> </w:t>
      </w:r>
      <m:oMath>
        <m:sSub>
          <m:e>
            <m:r>
              <m:t>W</m:t>
            </m:r>
          </m:e>
          <m:sub>
            <m:r>
              <m:rPr>
                <m:sty m:val="p"/>
              </m:rPr>
              <m:t>p</m:t>
            </m:r>
            <m:r>
              <m:rPr>
                <m:sty m:val="p"/>
              </m:rPr>
              <m:t>a</m:t>
            </m:r>
            <m:r>
              <m:rPr>
                <m:sty m:val="p"/>
              </m:rPr>
              <m:t>d</m:t>
            </m:r>
          </m:sub>
        </m:sSub>
      </m:oMath>
      <w:r>
        <w:t xml:space="preserve"> </w:t>
      </w:r>
      <w:r>
        <w:t xml:space="preserve">of</w:t>
      </w:r>
      <w:r>
        <w:t xml:space="preserve"> </w:t>
      </w:r>
      <w:r>
        <w:t xml:space="preserve">Appendix B reveals no coordinate any verifier checks, so it is Blackwell-equivalent</w:t>
      </w:r>
      <w:r>
        <w:t xml:space="preserve"> </w:t>
      </w:r>
      <w:r>
        <w:t xml:space="preserve">to</w:t>
      </w:r>
      <w:r>
        <w:t xml:space="preserve"> </w:t>
      </w:r>
      <m:oMath>
        <m:sSub>
          <m:e>
            <m:r>
              <m:t>W</m:t>
            </m:r>
          </m:e>
          <m:sub>
            <m:r>
              <m:t>1</m:t>
            </m:r>
          </m:sub>
        </m:sSub>
      </m:oMath>
      <w:r>
        <w:t xml:space="preserve">, yet the two score</w:t>
      </w:r>
      <w:r>
        <w:t xml:space="preserve"> </w:t>
      </w:r>
      <m:oMath>
        <m:r>
          <m:t>65</m:t>
        </m:r>
        <m:r>
          <m:rPr>
            <m:sty m:val="p"/>
          </m:rPr>
          <m:t>%</m:t>
        </m:r>
      </m:oMath>
      <w:r>
        <w:t xml:space="preserve"> </w:t>
      </w:r>
      <w:r>
        <w:t xml:space="preserve">and</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The</w:t>
      </w:r>
      <w:r>
        <w:t xml:space="preserve"> </w:t>
      </w:r>
      <m:oMath>
        <m:sSub>
          <m:e>
            <m:r>
              <m:t>δ</m:t>
            </m:r>
          </m:e>
          <m:sub>
            <m:r>
              <m:t>M</m:t>
            </m:r>
          </m:sub>
        </m:sSub>
      </m:oMath>
      <w:r>
        <w:t xml:space="preserve">-restricted order of §4.3 is therefore emphatically not read on the</w:t>
      </w:r>
      <w:r>
        <w:t xml:space="preserve"> </w:t>
      </w:r>
      <w:r>
        <w:t xml:space="preserve">quotient, and that non-invariance is what the padding control measures.</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hypotheses of</w:t>
      </w:r>
      <w:r>
        <w:rPr>
          <w:i/>
          <w:iCs/>
        </w:rPr>
        <w:t xml:space="preserve"> </w:t>
      </w:r>
      <w:r>
        <w:rPr>
          <w:i/>
          <w:iCs/>
        </w:rPr>
        <w:t xml:space="preserve">(a)</w:t>
      </w:r>
      <w:r>
        <w:rPr>
          <w:i/>
          <w:iCs/>
        </w:rPr>
        <w:t xml:space="preserve">, separation</w:t>
      </w:r>
      <w:r>
        <w:rPr>
          <w:i/>
          <w:iCs/>
        </w:rPr>
        <w:t xml:space="preserve"> </w:t>
      </w:r>
      <w:r>
        <w:rPr>
          <w:i/>
          <w:i/>
          <w:iCs/>
          <w:iCs/>
        </w:rPr>
        <w:t xml:space="preserve">and</w:t>
      </w:r>
      <w:r>
        <w:rPr>
          <w:i/>
          <w:iCs/>
        </w:rPr>
        <w:t xml:space="preserve"> </w:t>
      </w:r>
      <w:r>
        <w:rPr>
          <w:i/>
          <w:iCs/>
        </w:rPr>
        <w:t xml:space="preserve">the caps, cannot be dropped, and our own</w:t>
      </w:r>
      <w:r>
        <w:rPr>
          <w:i/>
          <w:iCs/>
        </w:rPr>
        <w:t xml:space="preserve"> </w:t>
      </w:r>
      <w:r>
        <w:rPr>
          <w:i/>
          <w:iCs/>
        </w:rPr>
        <w:t xml:space="preserve">measurements witness it:</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 A measured floor is evidence for the cap premise,</w:t>
      </w:r>
      <w:r>
        <w:t xml:space="preserve"> </w:t>
      </w:r>
      <w:r>
        <w:t xml:space="preserve">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w:t>
      </w:r>
      <w:r>
        <w:t xml:space="preserve"> </w:t>
      </w:r>
      <w:r>
        <w:t xml:space="preserve">hypotheses throughout (Remark 1).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4"/>
    <w:bookmarkEnd w:id="45"/>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6"/>
    <w:bookmarkStart w:id="47"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9"/>
    <w:bookmarkEnd w:id="50"/>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1"/>
    <w:bookmarkStart w:id="52"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2"/>
    <w:bookmarkStart w:id="53"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3"/>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w:r>
        <w:rPr>
          <w:rStyle w:val="VerbatimChar"/>
        </w:rPr>
        <w:t xml:space="preserve">none</w:t>
      </w:r>
      <w:r>
        <w:t xml:space="preserve"> </w:t>
      </w:r>
      <w:r>
        <w:t xml:space="preserve">arms at</w:t>
      </w:r>
      <w:r>
        <w:t xml:space="preserve"> </w:t>
      </w:r>
      <m:oMath>
        <m:r>
          <m:t>α</m:t>
        </m:r>
        <m:r>
          <m:rPr>
            <m:sty m:val="p"/>
          </m:rPr>
          <m:t>=</m:t>
        </m:r>
        <m:r>
          <m:t>η</m:t>
        </m:r>
        <m:r>
          <m:rPr>
            <m:sty m:val="p"/>
          </m:rPr>
          <m:t>/</m:t>
        </m:r>
        <m:r>
          <m:t>2</m:t>
        </m:r>
      </m:oMath>
      <w:r>
        <w:t xml:space="preserve">;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10"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80"/>
    <w:bookmarkStart w:id="81"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End w:id="83"/>
    <w:bookmarkStart w:id="100"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 Confidence bounds are</w:t>
      </w:r>
      <w:r>
        <w:t xml:space="preserve"> </w:t>
      </w:r>
      <w:r>
        <w:t xml:space="preserve">rounded outward (a lower bound down, an upper bound toward zero), so every printed bound is</w:t>
      </w:r>
      <w:r>
        <w:t xml:space="preserve"> </w:t>
      </w:r>
      <w:r>
        <w:t xml:space="preserve">implied by the computed one.</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Confidence bounds are rounded outward (a lower bound down, an upper bound toward zero), so every printed bound is implied by the computed one."/>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m:t>
              </m:r>
            </m:oMath>
            <w:r>
              <w:t xml:space="preserve">​</w:t>
            </w:r>
          </w:p>
        </w:tc>
        <w:tc>
          <w:tcPr/>
          <w:p>
            <w:pPr>
              <w:pStyle w:val="Compact"/>
              <w:jc w:val="center"/>
            </w:pPr>
            <m:oMath>
              <m:r>
                <m:rPr>
                  <m:sty m:val="p"/>
                </m:rPr>
                <m:t>+</m:t>
              </m:r>
              <m:r>
                <m:t>0.67</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6"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5"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0.685</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End w:id="86"/>
    <w:bookmarkStart w:id="89"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8"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Start w:id="87"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7"/>
    <w:bookmarkEnd w:id="88"/>
    <w:bookmarkEnd w:id="89"/>
    <w:bookmarkStart w:id="97"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2"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m:t>
        </m:r>
      </m:oMath>
      <w:r>
        <w:t xml:space="preserve">, so the</w:t>
      </w:r>
      <w:r>
        <w:t xml:space="preserve"> </w:t>
      </w:r>
      <w:r>
        <w:t xml:space="preserve">incomparable pair is verified;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t>1.00</m:t>
        </m:r>
      </m:oMath>
      <w:r>
        <w:t xml:space="preserve">, so</w:t>
      </w:r>
      <w:r>
        <w:t xml:space="preserve"> </w:t>
      </w:r>
      <m:oMath>
        <m:sSub>
          <m:e>
            <m:r>
              <m:t>W</m:t>
            </m:r>
          </m:e>
          <m:sub>
            <m:r>
              <m:t>1</m:t>
            </m:r>
            <m:r>
              <m:rPr>
                <m:sty m:val="p"/>
              </m:rPr>
              <m:t>+</m:t>
            </m:r>
          </m:sub>
        </m:sSub>
      </m:oMath>
      <w:r>
        <w:t xml:space="preserve"> </w:t>
      </w:r>
      <w:r>
        <w:t xml:space="preserve">verifiably fails to</w:t>
      </w:r>
      <w:r>
        <w:t xml:space="preserve"> </w:t>
      </w:r>
      <w:r>
        <w:t xml:space="preserve">dominate</w:t>
      </w:r>
      <w:r>
        <w:t xml:space="preserve"> </w:t>
      </w:r>
      <m:oMath>
        <m:sSub>
          <m:e>
            <m:r>
              <m:t>W</m:t>
            </m:r>
          </m:e>
          <m:sub>
            <m:r>
              <m:t>1</m:t>
            </m:r>
          </m:sub>
        </m:sSub>
      </m:oMath>
      <w:r>
        <w:t xml:space="preserve">, which is the anti-monotone edge; and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0.13</m:t>
        </m:r>
      </m:oMath>
      <w:r>
        <w:t xml:space="preserve">. That last</w:t>
      </w:r>
      <w:r>
        <w:t xml:space="preserve"> </w:t>
      </w:r>
      <w:r>
        <w:t xml:space="preserve">number is an</w:t>
      </w:r>
      <w:r>
        <w:t xml:space="preserve"> </w:t>
      </w:r>
      <m:oMath>
        <m:r>
          <m:t>ε</m:t>
        </m:r>
      </m:oMath>
      <w:r>
        <w:t xml:space="preserve">-dominance, not an exact one: what is verified is that</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0.13</m:t>
        </m:r>
      </m:oMath>
      <w:r>
        <w:t xml:space="preserve"> </w:t>
      </w:r>
      <w:r>
        <w:t xml:space="preserve">on some cell, so excluding</w:t>
      </w:r>
      <w:r>
        <w:t xml:space="preserve"> </w:t>
      </w:r>
      <m:oMath>
        <m:sSub>
          <m:e>
            <m:r>
              <m:t>W</m:t>
            </m:r>
          </m:e>
          <m:sub>
            <m:r>
              <m:t>2</m:t>
            </m:r>
          </m:sub>
        </m:sSub>
      </m:oMath>
      <w:r>
        <w:t xml:space="preserve"> </w:t>
      </w:r>
      <w:r>
        <w:t xml:space="preserve">from the front is licensed only up to</w:t>
      </w:r>
      <w:r>
        <w:t xml:space="preserve"> </w:t>
      </w:r>
      <w:r>
        <w:t xml:space="preserve">that margin,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does not depend on</w:t>
      </w:r>
      <w:r>
        <w:t xml:space="preserve"> </w:t>
      </w:r>
      <w:r>
        <w:t xml:space="preserve">which of the two readings holds,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 the front either way.</w:t>
      </w:r>
    </w:p>
    <w:bookmarkStart w:id="90"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All relations shown</w:t>
      </w:r>
      <w:r>
        <w:t xml:space="preserve"> </w:t>
      </w:r>
      <w:r>
        <w:t xml:space="preserve">are read off one coverage event (the</w:t>
      </w:r>
      <w:r>
        <w:t xml:space="preserve"> </w:t>
      </w:r>
      <m:oMath>
        <m:r>
          <m:t>3</m:t>
        </m:r>
        <m:r>
          <m:rPr>
            <m:sty m:val="p"/>
          </m:rPr>
          <m:t>×</m:t>
        </m:r>
        <m:r>
          <m:t>4</m:t>
        </m:r>
      </m:oMath>
      <w:r>
        <w:t xml:space="preserve"> </w:t>
      </w:r>
      <w:r>
        <w:t xml:space="preserve">intervals at per-interval level</w:t>
      </w:r>
      <w:r>
        <w:t xml:space="preserve"> </w:t>
      </w:r>
      <m:oMath>
        <m:r>
          <m:t>η</m:t>
        </m:r>
        <m:r>
          <m:rPr>
            <m:sty m:val="p"/>
          </m:rPr>
          <m:t>/</m:t>
        </m:r>
        <m:r>
          <m:t>12</m:t>
        </m:r>
      </m:oMath>
      <w:r>
        <w:t xml:space="preserve">); the</w:t>
      </w:r>
      <w:r>
        <w:t xml:space="preserve"> </w:t>
      </w:r>
      <w:r>
        <w:t xml:space="preserve">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an</w:t>
      </w:r>
      <w:r>
        <w:t xml:space="preserve"> </w:t>
      </w:r>
      <m:oMath>
        <m:r>
          <m:t>ε</m:t>
        </m:r>
      </m:oMath>
      <w:r>
        <w:t xml:space="preserve">-dominance at</w:t>
      </w:r>
      <w:r>
        <w:t xml:space="preserve"> </w:t>
      </w:r>
      <m:oMath>
        <m:r>
          <m:t>ε</m:t>
        </m:r>
        <m:r>
          <m:rPr>
            <m:sty m:val="p"/>
          </m:rPr>
          <m:t>=</m:t>
        </m:r>
        <m:r>
          <m:t>0.13</m:t>
        </m:r>
      </m:oMath>
      <w:r>
        <w:t xml:space="preserve">, not an exact one.</w:t>
      </w:r>
    </w:p>
    <w:bookmarkEnd w:id="90"/>
    <w:bookmarkStart w:id="91"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0.77</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0.26</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0.81</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0.54</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0.38</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0.41</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0.65</m:t>
              </m:r>
            </m:oMath>
            <w:r>
              <w:t xml:space="preserve">​</w:t>
            </w:r>
          </w:p>
        </w:tc>
        <w:tc>
          <w:tcPr/>
          <w:p>
            <w:pPr>
              <w:pStyle w:val="Compact"/>
            </w:pPr>
          </w:p>
        </w:tc>
      </w:tr>
    </w:tbl>
    <w:bookmarkEnd w:id="91"/>
    <w:bookmarkEnd w:id="92"/>
    <w:bookmarkStart w:id="93"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3"/>
    <w:bookmarkStart w:id="94"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and at power. Reversing the</w:t>
      </w:r>
      <w:r>
        <w:t xml:space="preserve"> </w:t>
      </w:r>
      <w:r>
        <w:t xml:space="preserve">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either: at</w:t>
      </w:r>
      <w:r>
        <w:t xml:space="preserve"> </w:t>
      </w:r>
      <m:oMath>
        <m:r>
          <m:t>n</m:t>
        </m:r>
        <m:r>
          <m:rPr>
            <m:sty m:val="p"/>
          </m:rPr>
          <m:t>=</m:t>
        </m:r>
        <m:r>
          <m:t>80</m:t>
        </m:r>
      </m:oMath>
      <w:r>
        <w:t xml:space="preserve"> </w:t>
      </w:r>
      <w:r>
        <w:t xml:space="preserve">on the full battery,</w:t>
      </w:r>
      <w:r>
        <w:t xml:space="preserve"> </w:t>
      </w:r>
      <w:r>
        <w:rPr>
          <w:rStyle w:val="VerbatimChar"/>
        </w:rPr>
        <w:t xml:space="preserve">api_post_ok</w:t>
      </w:r>
      <w:r>
        <w:t xml:space="preserve"> </w:t>
      </w:r>
      <w:r>
        <w:t xml:space="preserve">runs</w:t>
      </w:r>
      <w:r>
        <w:t xml:space="preserve"> </w:t>
      </w:r>
      <m:oMath>
        <m:r>
          <m:t>98</m:t>
        </m:r>
        <m:r>
          <m:rPr>
            <m:sty m:val="p"/>
          </m:rPr>
          <m:t>%</m:t>
        </m:r>
        <m:r>
          <m:rPr>
            <m:sty m:val="p"/>
          </m:rPr>
          <m:t>→</m:t>
        </m:r>
        <m:r>
          <m:t>1</m:t>
        </m:r>
        <m:r>
          <m:rPr>
            <m:sty m:val="p"/>
          </m:rPr>
          <m:t>%</m:t>
        </m:r>
      </m:oMath>
      <w:r>
        <w:t xml:space="preserve"> </w:t>
      </w:r>
      <w:r>
        <w:t xml:space="preserve">and</w:t>
      </w:r>
      <w:r>
        <w:t xml:space="preserve"> </w:t>
      </w:r>
      <w:r>
        <w:rPr>
          <w:rStyle w:val="VerbatimChar"/>
        </w:rPr>
        <w:t xml:space="preserve">api_argorder</w:t>
      </w:r>
      <w:r>
        <w:t xml:space="preserve"> </w:t>
      </w:r>
      <m:oMath>
        <m:r>
          <m:t>100</m:t>
        </m:r>
        <m:r>
          <m:rPr>
            <m:sty m:val="p"/>
          </m:rPr>
          <m:t>%</m:t>
        </m:r>
        <m:r>
          <m:rPr>
            <m:sty m:val="p"/>
          </m:rPr>
          <m:t>→</m:t>
        </m:r>
        <m:r>
          <m:t>44</m:t>
        </m:r>
        <m:r>
          <m:rPr>
            <m:sty m:val="p"/>
          </m:rPr>
          <m:t>%</m:t>
        </m:r>
      </m:oMath>
      <w:r>
        <w:t xml:space="preserve">, both verified harmful at the paper’s own standard (upper</w:t>
      </w:r>
      <w:r>
        <w:t xml:space="preserve"> </w:t>
      </w:r>
      <w:r>
        <w:t xml:space="preserve">bounds</w:t>
      </w:r>
      <w:r>
        <w:t xml:space="preserve"> </w:t>
      </w:r>
      <m:oMath>
        <m:r>
          <m:rPr>
            <m:sty m:val="p"/>
          </m:rPr>
          <m:t>−</m:t>
        </m:r>
        <m:r>
          <m:t>0.83</m:t>
        </m:r>
      </m:oMath>
      <w:r>
        <w:t xml:space="preserve"> </w:t>
      </w:r>
      <w:r>
        <w:t xml:space="preserve">and</w:t>
      </w:r>
      <w:r>
        <w:t xml:space="preserve"> </w:t>
      </w:r>
      <m:oMath>
        <m:r>
          <m:rPr>
            <m:sty m:val="p"/>
          </m:rPr>
          <m:t>−</m:t>
        </m:r>
        <m:r>
          <m:t>0.38</m:t>
        </m:r>
      </m:oMath>
      <w:r>
        <w:t xml:space="preserve">). Neither ordering restores the single-source arm, so the collapse is</w:t>
      </w:r>
      <w:r>
        <w:t xml:space="preserve"> </w:t>
      </w:r>
      <w:r>
        <w:t xml:space="preserve">not a primacy or recency effect.</w:t>
      </w:r>
    </w:p>
    <w:bookmarkEnd w:id="94"/>
    <w:bookmarkStart w:id="95"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5"/>
    <w:bookmarkStart w:id="96"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6"/>
    <w:bookmarkEnd w:id="97"/>
    <w:bookmarkStart w:id="99"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8"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8"/>
    <w:bookmarkEnd w:id="99"/>
    <w:bookmarkEnd w:id="100"/>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2"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1"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1"/>
    <w:bookmarkEnd w:id="102"/>
    <w:bookmarkStart w:id="105"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4"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3"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3"/>
    <w:bookmarkEnd w:id="104"/>
    <w:bookmarkEnd w:id="105"/>
    <w:bookmarkEnd w:id="106"/>
    <w:bookmarkStart w:id="109"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7" w:name="tab:policies"/>
    <w:p>
      <w:pPr>
        <w:pStyle w:val="TableCaption"/>
      </w:pPr>
      <w:r>
        <w:t xml:space="preserve">Mean PASS (%) over the four verified cells under four selection policies, per model,</w:t>
      </w:r>
      <w:r>
        <w:t xml:space="preserve"> </w:t>
      </w:r>
      <w:r>
        <w:t xml:space="preserve">computed from the per-cell PASS counts behind Table 8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8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8"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8"/>
    <w:bookmarkEnd w:id="109"/>
    <w:bookmarkEnd w:id="110"/>
    <w:bookmarkStart w:id="12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4"/>
    <w:bookmarkStart w:id="11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5"/>
    <w:bookmarkStart w:id="12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6"/>
    <w:bookmarkStart w:id="11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7"/>
    <w:bookmarkStart w:id="11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8"/>
    <w:bookmarkStart w:id="11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9"/>
    <w:bookmarkStart w:id="12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0"/>
    <w:bookmarkStart w:id="12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and the order control</w:t>
      </w:r>
      <w:r>
        <w:t xml:space="preserve"> </w:t>
      </w:r>
      <w:r>
        <w:t xml:space="preserve">is a Haiku</w:t>
      </w:r>
      <w:r>
        <w:t xml:space="preserve"> </w:t>
      </w:r>
      <m:oMath>
        <m:r>
          <m:t>n</m:t>
        </m:r>
        <m:r>
          <m:rPr>
            <m:sty m:val="p"/>
          </m:rPr>
          <m:t>=</m:t>
        </m:r>
        <m:r>
          <m:t>80</m:t>
        </m:r>
      </m:oMath>
      <w:r>
        <w:t xml:space="preserve"> </w:t>
      </w:r>
      <w:r>
        <w:t xml:space="preserve">arm; none of the four is part of the six-model record, so</w:t>
      </w:r>
      <w:r>
        <w:t xml:space="preserve"> </w:t>
      </w:r>
      <w:r>
        <w:t xml:space="preserve">“the harm is not</w:t>
      </w:r>
      <w:r>
        <w:t xml:space="preserve"> </w:t>
      </w:r>
      <w:r>
        <w:t xml:space="preserve">length or position”</w:t>
      </w:r>
      <w:r>
        <w:t xml:space="preserve"> </w:t>
      </w:r>
      <w:r>
        <w:t xml:space="preserve">is established on one model, not across the roster. The 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 tokens, and because</w:t>
      </w:r>
      <w:r>
        <w:t xml:space="preserve"> </w:t>
      </w:r>
      <m:oMath>
        <m:sSub>
          <m:e>
            <m:r>
              <m:t>W</m:t>
            </m:r>
          </m:e>
          <m:sub>
            <m:r>
              <m:t>2</m:t>
            </m:r>
          </m:sub>
        </m:sSub>
      </m:oMath>
      <w:r>
        <w:t xml:space="preserve"> </w:t>
      </w:r>
      <w:r>
        <w:t xml:space="preserve">is symbol-dense while the filler is plain prose the two arms are not tokenizer-matched. The</w:t>
      </w:r>
      <w:r>
        <w:t xml:space="preserve"> </w:t>
      </w:r>
      <w:r>
        <w:t xml:space="preserve">filler is also off-topic for the</w:t>
      </w:r>
      <w:r>
        <w:t xml:space="preserve"> </w:t>
      </w:r>
      <w:r>
        <w:rPr>
          <w:rStyle w:val="VerbatimChar"/>
        </w:rPr>
        <w:t xml:space="preserve">ledger</w:t>
      </w:r>
      <w:r>
        <w:t xml:space="preserve"> </w:t>
      </w:r>
      <w:r>
        <w:t xml:space="preserve">module. A tokenizer-matched control, an on-topic</w:t>
      </w:r>
      <w:r>
        <w:t xml:space="preserve"> </w:t>
      </w:r>
      <w:r>
        <w:t xml:space="preserve">but verifier-irrelevant control, and any of these across the roster remain untested.</w:t>
      </w:r>
    </w:p>
    <w:bookmarkEnd w:id="121"/>
    <w:bookmarkStart w:id="12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2"/>
    <w:bookmarkStart w:id="12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3"/>
    <w:bookmarkEnd w:id="124"/>
    <w:bookmarkEnd w:id="125"/>
    <w:bookmarkStart w:id="126"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6"/>
    <w:bookmarkStart w:id="12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To be precise about where each kind of contribution is recorded: the co-authors’ contributions to</w:t>
      </w:r>
      <w:r>
        <w:t xml:space="preserve"> </w:t>
      </w:r>
      <w:r>
        <w:t xml:space="preserve">conceptualization, methodology, formal analysis, validation and revision were made in discussion</w:t>
      </w:r>
      <w:r>
        <w:t xml:space="preserve"> </w:t>
      </w:r>
      <w:r>
        <w:t xml:space="preserve">and review and so leave no trace in the repository, whereas the implementation is fully traceable</w:t>
      </w:r>
      <w:r>
        <w:t xml:space="preserve"> </w:t>
      </w:r>
      <w:r>
        <w:t xml:space="preserve">there. The commit history of the artifact repository is authored solely by A.B., who wrote the</w:t>
      </w:r>
      <w:r>
        <w:t xml:space="preserve"> </w:t>
      </w:r>
      <w:r>
        <w:t xml:space="preserve">measurement harness, executed every run, and produced the raw records and analysis scripts. The</w:t>
      </w:r>
      <w:r>
        <w:t xml:space="preserve"> </w:t>
      </w:r>
      <w:r>
        <w:t xml:space="preserve">generative-AI assistance described in the Acknowledgments is a tool: it holds no authorship and no</w:t>
      </w:r>
      <w:r>
        <w:t xml:space="preserve"> </w:t>
      </w:r>
      <w:r>
        <w:t xml:space="preserve">CRediT role.</w:t>
      </w:r>
    </w:p>
    <w:bookmarkEnd w:id="127"/>
    <w:bookmarkStart w:id="12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8"/>
    <w:bookmarkStart w:id="12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9"/>
    <w:bookmarkStart w:id="130" w:name="informed-consent-statement"/>
    <w:p>
      <w:pPr>
        <w:pStyle w:val="Heading1"/>
      </w:pPr>
      <w:r>
        <w:t xml:space="preserve">Informed Consent Statement</w:t>
      </w:r>
    </w:p>
    <w:p>
      <w:pPr>
        <w:pStyle w:val="FirstParagraph"/>
      </w:pPr>
      <w:r>
        <w:t xml:space="preserve">Not applicable.</w:t>
      </w:r>
    </w:p>
    <w:bookmarkEnd w:id="130"/>
    <w:bookmarkStart w:id="13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w:t>
      </w:r>
      <w:r>
        <w:t xml:space="preserve"> </w:t>
      </w:r>
      <w:r>
        <w:rPr>
          <w:rStyle w:val="VerbatimChar"/>
        </w:rPr>
        <w:t xml:space="preserve">results/MANIFEST.md</w:t>
      </w:r>
      <w:r>
        <w:t xml:space="preserve"> </w:t>
      </w:r>
      <w:r>
        <w:t xml:space="preserve">pins every record by SHA-256 and maps each</w:t>
      </w:r>
      <w:r>
        <w:t xml:space="preserve"> </w:t>
      </w:r>
      <w:r>
        <w:t xml:space="preserve">table and figure to the files it is computed from. The repository’s full commit history is</w:t>
      </w:r>
      <w:r>
        <w:t xml:space="preserve"> </w:t>
      </w:r>
      <w:r>
        <w:t xml:space="preserve">published with it and is authored solely by the corresponding author, with the generative-AI</w:t>
      </w:r>
      <w:r>
        <w:t xml:space="preserve"> </w:t>
      </w:r>
      <w:r>
        <w:t xml:space="preserve">assistance of the Acknowledgments recorded per commit in</w:t>
      </w:r>
      <w:r>
        <w:t xml:space="preserve"> </w:t>
      </w:r>
      <w:r>
        <w:rPr>
          <w:rStyle w:val="VerbatimChar"/>
        </w:rPr>
        <w:t xml:space="preserve">Co-Authored-By</w:t>
      </w:r>
      <w:r>
        <w:t xml:space="preserve"> </w:t>
      </w:r>
      <w:r>
        <w:t xml:space="preserve">trailers, so the</w:t>
      </w:r>
      <w:r>
        <w:t xml:space="preserve"> </w:t>
      </w:r>
      <w:r>
        <w:t xml:space="preserve">provenance of every artifact is inspectable. No data were withheld; every reported figure is</w:t>
      </w:r>
      <w:r>
        <w:t xml:space="preserve"> </w:t>
      </w:r>
      <w:r>
        <w:t xml:space="preserve">computed from those files by the released scripts.</w:t>
      </w:r>
    </w:p>
    <w:bookmarkEnd w:id="131"/>
    <w:bookmarkStart w:id="132"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32"/>
    <w:bookmarkStart w:id="133"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every number reported here is a pass rate</w:t>
      </w:r>
      <w:r>
        <w:t xml:space="preserve"> </w:t>
      </w:r>
      <w:r>
        <w:t xml:space="preserve">obtained by querying commercial language models through their public APIs</w:t>
      </w:r>
      <w:r>
        <w:t xml:space="preserve"> </w:t>
      </w:r>
      <w:r>
        <w:t xml:space="preserve">(§7.3); those systems are the measured subject.</w:t>
      </w:r>
      <w:r>
        <w:t xml:space="preserve"> </w:t>
      </w:r>
      <w:r>
        <w:rPr>
          <w:i/>
          <w:iCs/>
        </w:rPr>
        <w:t xml:space="preserve">As a tool:</w:t>
      </w:r>
      <w:r>
        <w:t xml:space="preserve"> </w:t>
      </w:r>
      <w:r>
        <w:t xml:space="preserve">the</w:t>
      </w:r>
      <w:r>
        <w:t xml:space="preserve"> </w:t>
      </w:r>
      <w:r>
        <w:t xml:space="preserve">assistance described in the Acknowledgments. No result, table or figure was produced by a language</w:t>
      </w:r>
      <w:r>
        <w:t xml:space="preserve"> </w:t>
      </w:r>
      <w:r>
        <w:t xml:space="preserve">model acting as an author or an analyst. Every reported quantity is computed from the released raw</w:t>
      </w:r>
      <w:r>
        <w:t xml:space="preserve"> </w:t>
      </w:r>
      <w:r>
        <w:t xml:space="preserve">run records by the released scripts, and each was checked against the frozen manifest of those</w:t>
      </w:r>
      <w:r>
        <w:t xml:space="preserve"> </w:t>
      </w:r>
      <w:r>
        <w:t xml:space="preserve">records (</w:t>
      </w:r>
      <w:r>
        <w:rPr>
          <w:rStyle w:val="VerbatimChar"/>
        </w:rPr>
        <w:t xml:space="preserve">results/MANIFEST.md</w:t>
      </w:r>
      <w:r>
        <w:t xml:space="preserve">, which pins every file by SHA-256 and maps each table and</w:t>
      </w:r>
      <w:r>
        <w:t xml:space="preserve"> </w:t>
      </w:r>
      <w:r>
        <w:t xml:space="preserve">figure to the files it is computed from).</w:t>
      </w:r>
    </w:p>
    <w:bookmarkEnd w:id="133"/>
    <w:bookmarkStart w:id="134" w:name="conflicts-of-interest"/>
    <w:p>
      <w:pPr>
        <w:pStyle w:val="Heading1"/>
      </w:pPr>
      <w:r>
        <w:t xml:space="preserve">Conflicts of Interest</w:t>
      </w:r>
    </w:p>
    <w:p>
      <w:pPr>
        <w:pStyle w:val="FirstParagraph"/>
      </w:pPr>
      <w:r>
        <w:t xml:space="preserve">The authors declare no conflict of interest.</w:t>
      </w:r>
    </w:p>
    <w:bookmarkEnd w:id="134"/>
    <w:bookmarkStart w:id="135"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5"/>
    <w:bookmarkStart w:id="147" w:name="app:proofs"/>
    <w:p>
      <w:pPr>
        <w:pStyle w:val="Heading1"/>
      </w:pPr>
      <w:r>
        <w:t xml:space="preserve">Deferred proofs and technical material</w:t>
      </w:r>
    </w:p>
    <w:bookmarkStart w:id="13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6"/>
    <w:bookmarkStart w:id="13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7"/>
    <w:bookmarkStart w:id="138"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8"/>
    <w:bookmarkStart w:id="139"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9"/>
    <w:bookmarkStart w:id="14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40"/>
    <w:bookmarkStart w:id="14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41"/>
    <w:bookmarkStart w:id="142"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42"/>
    <w:bookmarkStart w:id="14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3"/>
    <w:bookmarkStart w:id="145" w:name="relation-to-llm-evaluation-statistics"/>
    <w:p>
      <w:pPr>
        <w:pStyle w:val="Heading2"/>
      </w:pPr>
      <w:r>
        <w:t xml:space="preserve">Relation to LLM-evaluation statistics</w:t>
      </w:r>
    </w:p>
    <w:bookmarkStart w:id="144"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4"/>
    <w:bookmarkEnd w:id="145"/>
    <w:bookmarkStart w:id="146"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6"/>
    <w:bookmarkEnd w:id="147"/>
    <w:bookmarkStart w:id="154" w:name="app:record"/>
    <w:p>
      <w:pPr>
        <w:pStyle w:val="Heading1"/>
      </w:pPr>
      <w:r>
        <w:t xml:space="preserve">Extended experimental record</w:t>
      </w:r>
    </w:p>
    <w:bookmarkStart w:id="148"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8"/>
    <w:bookmarkStart w:id="153"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9"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9"/>
    <w:bookmarkStart w:id="150"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50"/>
    <w:bookmarkStart w:id="151"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51"/>
    <w:bookmarkStart w:id="152"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52"/>
    <w:bookmarkEnd w:id="153"/>
    <w:bookmarkEnd w:id="154"/>
    <w:bookmarkStart w:id="300"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5"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5"/>
    <w:bookmarkStart w:id="156"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6"/>
    <w:bookmarkStart w:id="157"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7"/>
    <w:bookmarkStart w:id="29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98" w:name="refs"/>
    <w:bookmarkStart w:id="159"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8">
        <w:r>
          <w:rPr>
            <w:rStyle w:val="Hyperlink"/>
          </w:rPr>
          <w:t xml:space="preserve">https://arxiv.org/abs/2512.23617</w:t>
        </w:r>
      </w:hyperlink>
      <w:r>
        <w:t xml:space="preserve">.</w:t>
      </w:r>
    </w:p>
    <w:bookmarkEnd w:id="159"/>
    <w:bookmarkStart w:id="161"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60">
        <w:r>
          <w:rPr>
            <w:rStyle w:val="Hyperlink"/>
          </w:rPr>
          <w:t xml:space="preserve">https://doi.org/10.5281/zenodo.20800175</w:t>
        </w:r>
      </w:hyperlink>
      <w:r>
        <w:t xml:space="preserve">.</w:t>
      </w:r>
    </w:p>
    <w:bookmarkEnd w:id="161"/>
    <w:bookmarkStart w:id="163"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2">
        <w:r>
          <w:rPr>
            <w:rStyle w:val="Hyperlink"/>
          </w:rPr>
          <w:t xml:space="preserve">https://doi.org/10.5281/zenodo.20800031</w:t>
        </w:r>
      </w:hyperlink>
      <w:r>
        <w:t xml:space="preserve">.</w:t>
      </w:r>
    </w:p>
    <w:bookmarkEnd w:id="163"/>
    <w:bookmarkStart w:id="165"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64">
        <w:r>
          <w:rPr>
            <w:rStyle w:val="Hyperlink"/>
          </w:rPr>
          <w:t xml:space="preserve">https://doi.org/10.5281/zenodo.20800209</w:t>
        </w:r>
      </w:hyperlink>
      <w:r>
        <w:t xml:space="preserve">.</w:t>
      </w:r>
    </w:p>
    <w:bookmarkEnd w:id="165"/>
    <w:bookmarkStart w:id="166"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6"/>
    <w:bookmarkStart w:id="168"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7">
        <w:r>
          <w:rPr>
            <w:rStyle w:val="Hyperlink"/>
          </w:rPr>
          <w:t xml:space="preserve">https://doi.org/10.1109/ISIT.2014.6875280</w:t>
        </w:r>
      </w:hyperlink>
      <w:r>
        <w:t xml:space="preserve">.</w:t>
      </w:r>
    </w:p>
    <w:bookmarkEnd w:id="168"/>
    <w:bookmarkStart w:id="170"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9">
        <w:r>
          <w:rPr>
            <w:rStyle w:val="Hyperlink"/>
          </w:rPr>
          <w:t xml:space="preserve">https://doi.org/10.1214/aoms/1177729032</w:t>
        </w:r>
      </w:hyperlink>
      <w:r>
        <w:t xml:space="preserve">.</w:t>
      </w:r>
    </w:p>
    <w:bookmarkEnd w:id="170"/>
    <w:bookmarkStart w:id="171"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71"/>
    <w:bookmarkStart w:id="173"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72">
        <w:r>
          <w:rPr>
            <w:rStyle w:val="Hyperlink"/>
          </w:rPr>
          <w:t xml:space="preserve">https://arxiv.org/abs/2503.01747</w:t>
        </w:r>
      </w:hyperlink>
      <w:r>
        <w:t xml:space="preserve">.</w:t>
      </w:r>
    </w:p>
    <w:bookmarkEnd w:id="173"/>
    <w:bookmarkStart w:id="175"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4">
        <w:r>
          <w:rPr>
            <w:rStyle w:val="Hyperlink"/>
          </w:rPr>
          <w:t xml:space="preserve">https://arxiv.org/abs/2411.01533</w:t>
        </w:r>
      </w:hyperlink>
      <w:r>
        <w:t xml:space="preserve">.</w:t>
      </w:r>
    </w:p>
    <w:bookmarkEnd w:id="175"/>
    <w:bookmarkStart w:id="177"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6">
        <w:r>
          <w:rPr>
            <w:rStyle w:val="Hyperlink"/>
          </w:rPr>
          <w:t xml:space="preserve">https://doi.org/10.1145/290941.291025</w:t>
        </w:r>
      </w:hyperlink>
      <w:r>
        <w:t xml:space="preserve">.</w:t>
      </w:r>
    </w:p>
    <w:bookmarkEnd w:id="177"/>
    <w:bookmarkStart w:id="179"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8">
        <w:r>
          <w:rPr>
            <w:rStyle w:val="Hyperlink"/>
          </w:rPr>
          <w:t xml:space="preserve">https://arxiv.org/abs/2511.17908</w:t>
        </w:r>
      </w:hyperlink>
      <w:r>
        <w:t xml:space="preserve">.</w:t>
      </w:r>
    </w:p>
    <w:bookmarkEnd w:id="179"/>
    <w:bookmarkStart w:id="181"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80">
        <w:r>
          <w:rPr>
            <w:rStyle w:val="Hyperlink"/>
          </w:rPr>
          <w:t xml:space="preserve">https://arxiv.org/abs/2507.03279</w:t>
        </w:r>
      </w:hyperlink>
      <w:r>
        <w:t xml:space="preserve">.</w:t>
      </w:r>
    </w:p>
    <w:bookmarkEnd w:id="181"/>
    <w:bookmarkStart w:id="183"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82">
        <w:r>
          <w:rPr>
            <w:rStyle w:val="Hyperlink"/>
          </w:rPr>
          <w:t xml:space="preserve">https://arxiv.org/abs/2601.16478</w:t>
        </w:r>
      </w:hyperlink>
      <w:r>
        <w:t xml:space="preserve">.</w:t>
      </w:r>
    </w:p>
    <w:bookmarkEnd w:id="183"/>
    <w:bookmarkStart w:id="185"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4">
        <w:r>
          <w:rPr>
            <w:rStyle w:val="Hyperlink"/>
          </w:rPr>
          <w:t xml:space="preserve">https://arxiv.org/abs/2508.21184</w:t>
        </w:r>
      </w:hyperlink>
      <w:r>
        <w:t xml:space="preserve">.</w:t>
      </w:r>
    </w:p>
    <w:bookmarkEnd w:id="185"/>
    <w:bookmarkStart w:id="18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6">
        <w:r>
          <w:rPr>
            <w:rStyle w:val="Hyperlink"/>
          </w:rPr>
          <w:t xml:space="preserve">https://doi.org/10.1093/biomet/26.4.404</w:t>
        </w:r>
      </w:hyperlink>
      <w:r>
        <w:t xml:space="preserve">.</w:t>
      </w:r>
    </w:p>
    <w:bookmarkEnd w:id="187"/>
    <w:bookmarkStart w:id="189"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8">
        <w:r>
          <w:rPr>
            <w:rStyle w:val="Hyperlink"/>
          </w:rPr>
          <w:t xml:space="preserve">https://arxiv.org/abs/2401.14887</w:t>
        </w:r>
      </w:hyperlink>
      <w:r>
        <w:t xml:space="preserve">.</w:t>
      </w:r>
    </w:p>
    <w:bookmarkEnd w:id="189"/>
    <w:bookmarkStart w:id="191"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90">
        <w:r>
          <w:rPr>
            <w:rStyle w:val="Hyperlink"/>
          </w:rPr>
          <w:t xml:space="preserve">https://arxiv.org/abs/2503.01478</w:t>
        </w:r>
      </w:hyperlink>
      <w:r>
        <w:t xml:space="preserve">.</w:t>
      </w:r>
    </w:p>
    <w:bookmarkEnd w:id="191"/>
    <w:bookmarkStart w:id="193"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92">
        <w:r>
          <w:rPr>
            <w:rStyle w:val="Hyperlink"/>
          </w:rPr>
          <w:t xml:space="preserve">http://www.vldb.org/pvldb/vol6/p37-dong.pdf</w:t>
        </w:r>
      </w:hyperlink>
      <w:r>
        <w:t xml:space="preserve">.</w:t>
      </w:r>
    </w:p>
    <w:bookmarkEnd w:id="193"/>
    <w:bookmarkStart w:id="195"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4">
        <w:r>
          <w:rPr>
            <w:rStyle w:val="Hyperlink"/>
          </w:rPr>
          <w:t xml:space="preserve">https://arxiv.org/abs/2510.05381</w:t>
        </w:r>
      </w:hyperlink>
      <w:r>
        <w:t xml:space="preserve">.</w:t>
      </w:r>
    </w:p>
    <w:bookmarkEnd w:id="195"/>
    <w:bookmarkStart w:id="197"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6">
        <w:r>
          <w:rPr>
            <w:rStyle w:val="Hyperlink"/>
          </w:rPr>
          <w:t xml:space="preserve">https://doi.org/10.1214/aoms/1177728174</w:t>
        </w:r>
      </w:hyperlink>
      <w:r>
        <w:t xml:space="preserve">.</w:t>
      </w:r>
    </w:p>
    <w:bookmarkEnd w:id="197"/>
    <w:bookmarkStart w:id="198"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8"/>
    <w:bookmarkStart w:id="200"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9">
        <w:r>
          <w:rPr>
            <w:rStyle w:val="Hyperlink"/>
          </w:rPr>
          <w:t xml:space="preserve">https://arxiv.org/abs/2601.11273</w:t>
        </w:r>
      </w:hyperlink>
      <w:r>
        <w:t xml:space="preserve">.</w:t>
      </w:r>
    </w:p>
    <w:bookmarkEnd w:id="200"/>
    <w:bookmarkStart w:id="202"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201">
        <w:r>
          <w:rPr>
            <w:rStyle w:val="Hyperlink"/>
          </w:rPr>
          <w:t xml:space="preserve">https://arxiv.org/abs/2503.05491</w:t>
        </w:r>
      </w:hyperlink>
      <w:r>
        <w:t xml:space="preserve">.</w:t>
      </w:r>
    </w:p>
    <w:bookmarkEnd w:id="202"/>
    <w:bookmarkStart w:id="204"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3">
        <w:r>
          <w:rPr>
            <w:rStyle w:val="Hyperlink"/>
          </w:rPr>
          <w:t xml:space="preserve">https://arxiv.org/abs/2608.26762</w:t>
        </w:r>
      </w:hyperlink>
      <w:r>
        <w:t xml:space="preserve">.</w:t>
      </w:r>
    </w:p>
    <w:bookmarkEnd w:id="204"/>
    <w:bookmarkStart w:id="206"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5">
        <w:r>
          <w:rPr>
            <w:rStyle w:val="Hyperlink"/>
          </w:rPr>
          <w:t xml:space="preserve">https://doi.org/10.1007/s10791-008-9045-0</w:t>
        </w:r>
      </w:hyperlink>
      <w:r>
        <w:t xml:space="preserve">.</w:t>
      </w:r>
    </w:p>
    <w:bookmarkEnd w:id="206"/>
    <w:bookmarkStart w:id="208"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7">
        <w:r>
          <w:rPr>
            <w:rStyle w:val="Hyperlink"/>
          </w:rPr>
          <w:t xml:space="preserve">https://arxiv.org/abs/2410.20247</w:t>
        </w:r>
      </w:hyperlink>
      <w:r>
        <w:t xml:space="preserve">.</w:t>
      </w:r>
    </w:p>
    <w:bookmarkEnd w:id="208"/>
    <w:bookmarkStart w:id="210"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9">
        <w:r>
          <w:rPr>
            <w:rStyle w:val="Hyperlink"/>
          </w:rPr>
          <w:t xml:space="preserve">https://arxiv.org/abs/2606.20047</w:t>
        </w:r>
      </w:hyperlink>
      <w:r>
        <w:t xml:space="preserve">.</w:t>
      </w:r>
    </w:p>
    <w:bookmarkEnd w:id="210"/>
    <w:bookmarkStart w:id="212"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11">
        <w:r>
          <w:rPr>
            <w:rStyle w:val="Hyperlink"/>
          </w:rPr>
          <w:t xml:space="preserve">https://aclanthology.org/2026.findings-acl.583/</w:t>
        </w:r>
      </w:hyperlink>
      <w:r>
        <w:t xml:space="preserve">.</w:t>
      </w:r>
    </w:p>
    <w:bookmarkEnd w:id="212"/>
    <w:bookmarkStart w:id="214"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3">
        <w:r>
          <w:rPr>
            <w:rStyle w:val="Hyperlink"/>
          </w:rPr>
          <w:t xml:space="preserve">https://arxiv.org/abs/2002.08909</w:t>
        </w:r>
      </w:hyperlink>
      <w:r>
        <w:t xml:space="preserve">.</w:t>
      </w:r>
    </w:p>
    <w:bookmarkEnd w:id="214"/>
    <w:bookmarkStart w:id="21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15">
        <w:r>
          <w:rPr>
            <w:rStyle w:val="Hyperlink"/>
          </w:rPr>
          <w:t xml:space="preserve">https://arxiv.org/abs/2412.17031</w:t>
        </w:r>
      </w:hyperlink>
      <w:r>
        <w:t xml:space="preserve">.</w:t>
      </w:r>
    </w:p>
    <w:bookmarkEnd w:id="216"/>
    <w:bookmarkStart w:id="21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7">
        <w:r>
          <w:rPr>
            <w:rStyle w:val="Hyperlink"/>
          </w:rPr>
          <w:t xml:space="preserve">https://aclanthology.org/2025.fever-1.2/</w:t>
        </w:r>
      </w:hyperlink>
      <w:r>
        <w:t xml:space="preserve">.</w:t>
      </w:r>
    </w:p>
    <w:bookmarkEnd w:id="218"/>
    <w:bookmarkStart w:id="22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9">
        <w:r>
          <w:rPr>
            <w:rStyle w:val="Hyperlink"/>
          </w:rPr>
          <w:t xml:space="preserve">https://arxiv.org/abs/2304.04576</w:t>
        </w:r>
      </w:hyperlink>
      <w:r>
        <w:t xml:space="preserve">.</w:t>
      </w:r>
    </w:p>
    <w:bookmarkEnd w:id="220"/>
    <w:bookmarkStart w:id="22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21">
        <w:r>
          <w:rPr>
            <w:rStyle w:val="Hyperlink"/>
          </w:rPr>
          <w:t xml:space="preserve">https://www.trychroma.com/research/context-rot</w:t>
        </w:r>
      </w:hyperlink>
      <w:r>
        <w:t xml:space="preserve">.</w:t>
      </w:r>
    </w:p>
    <w:bookmarkEnd w:id="222"/>
    <w:bookmarkStart w:id="22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23">
        <w:r>
          <w:rPr>
            <w:rStyle w:val="Hyperlink"/>
          </w:rPr>
          <w:t xml:space="preserve">https://arxiv.org/abs/2510.00079</w:t>
        </w:r>
      </w:hyperlink>
      <w:r>
        <w:t xml:space="preserve">.</w:t>
      </w:r>
    </w:p>
    <w:bookmarkEnd w:id="224"/>
    <w:bookmarkStart w:id="22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5">
        <w:r>
          <w:rPr>
            <w:rStyle w:val="Hyperlink"/>
          </w:rPr>
          <w:t xml:space="preserve">https://arxiv.org/abs/2512.06464</w:t>
        </w:r>
      </w:hyperlink>
      <w:r>
        <w:t xml:space="preserve">.</w:t>
      </w:r>
    </w:p>
    <w:bookmarkEnd w:id="226"/>
    <w:bookmarkStart w:id="22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7">
        <w:r>
          <w:rPr>
            <w:rStyle w:val="Hyperlink"/>
          </w:rPr>
          <w:t xml:space="preserve">https://arxiv.org/abs/2601.05027</w:t>
        </w:r>
      </w:hyperlink>
      <w:r>
        <w:t xml:space="preserve">.</w:t>
      </w:r>
    </w:p>
    <w:bookmarkEnd w:id="228"/>
    <w:bookmarkStart w:id="23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9">
        <w:r>
          <w:rPr>
            <w:rStyle w:val="Hyperlink"/>
          </w:rPr>
          <w:t xml:space="preserve">https://arxiv.org/abs/2410.05983</w:t>
        </w:r>
      </w:hyperlink>
      <w:r>
        <w:t xml:space="preserve">.</w:t>
      </w:r>
    </w:p>
    <w:bookmarkEnd w:id="230"/>
    <w:bookmarkStart w:id="23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31">
        <w:r>
          <w:rPr>
            <w:rStyle w:val="Hyperlink"/>
          </w:rPr>
          <w:t xml:space="preserve">https://arxiv.org/abs/2411.06037</w:t>
        </w:r>
      </w:hyperlink>
      <w:r>
        <w:t xml:space="preserve">.</w:t>
      </w:r>
    </w:p>
    <w:bookmarkEnd w:id="232"/>
    <w:bookmarkStart w:id="234" w:name="ref-khan2025blackwell"/>
    <w:p>
      <w:pPr>
        <w:pStyle w:val="Bibliography"/>
      </w:pPr>
      <w:r>
        <w:t xml:space="preserve">Khan, M. Ali, Haomiao Yu, and Zhixiang Zhang. 2024.</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245: 112146.</w:t>
      </w:r>
      <w:r>
        <w:t xml:space="preserve"> </w:t>
      </w:r>
      <w:hyperlink r:id="rId233">
        <w:r>
          <w:rPr>
            <w:rStyle w:val="Hyperlink"/>
          </w:rPr>
          <w:t xml:space="preserve">https://doi.org/10.1016/j.econlet.2024.112146</w:t>
        </w:r>
      </w:hyperlink>
      <w:r>
        <w:t xml:space="preserve">.</w:t>
      </w:r>
    </w:p>
    <w:bookmarkEnd w:id="234"/>
    <w:bookmarkStart w:id="236"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35">
        <w:r>
          <w:rPr>
            <w:rStyle w:val="Hyperlink"/>
          </w:rPr>
          <w:t xml:space="preserve">https://doi.org/10.1145/3397271.3401075</w:t>
        </w:r>
      </w:hyperlink>
      <w:r>
        <w:t xml:space="preserve">.</w:t>
      </w:r>
    </w:p>
    <w:bookmarkEnd w:id="236"/>
    <w:bookmarkStart w:id="238"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7">
        <w:r>
          <w:rPr>
            <w:rStyle w:val="Hyperlink"/>
          </w:rPr>
          <w:t xml:space="preserve">https://doi.org/10.1214/aoms/1177700372</w:t>
        </w:r>
      </w:hyperlink>
      <w:r>
        <w:t xml:space="preserve">.</w:t>
      </w:r>
    </w:p>
    <w:bookmarkEnd w:id="238"/>
    <w:bookmarkStart w:id="240"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9">
        <w:r>
          <w:rPr>
            <w:rStyle w:val="Hyperlink"/>
          </w:rPr>
          <w:t xml:space="preserve">https://doi.org/10.1007/978-1-4612-4946-7</w:t>
        </w:r>
      </w:hyperlink>
      <w:r>
        <w:t xml:space="preserve">.</w:t>
      </w:r>
    </w:p>
    <w:bookmarkEnd w:id="240"/>
    <w:bookmarkStart w:id="242"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41">
        <w:r>
          <w:rPr>
            <w:rStyle w:val="Hyperlink"/>
          </w:rPr>
          <w:t xml:space="preserve">https://arxiv.org/abs/2504.07104</w:t>
        </w:r>
      </w:hyperlink>
      <w:r>
        <w:t xml:space="preserve">.</w:t>
      </w:r>
    </w:p>
    <w:bookmarkEnd w:id="242"/>
    <w:bookmarkStart w:id="244"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43">
        <w:r>
          <w:rPr>
            <w:rStyle w:val="Hyperlink"/>
          </w:rPr>
          <w:t xml:space="preserve">https://arxiv.org/abs/2503.04388</w:t>
        </w:r>
      </w:hyperlink>
      <w:r>
        <w:t xml:space="preserve">.</w:t>
      </w:r>
    </w:p>
    <w:bookmarkEnd w:id="244"/>
    <w:bookmarkStart w:id="246"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45">
        <w:r>
          <w:rPr>
            <w:rStyle w:val="Hyperlink"/>
          </w:rPr>
          <w:t xml:space="preserve">https://arxiv.org/abs/2605.05716</w:t>
        </w:r>
      </w:hyperlink>
      <w:r>
        <w:t xml:space="preserve">.</w:t>
      </w:r>
    </w:p>
    <w:bookmarkEnd w:id="246"/>
    <w:bookmarkStart w:id="248"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7">
        <w:r>
          <w:rPr>
            <w:rStyle w:val="Hyperlink"/>
          </w:rPr>
          <w:t xml:space="preserve">https://arxiv.org/abs/2307.03172</w:t>
        </w:r>
      </w:hyperlink>
      <w:r>
        <w:t xml:space="preserve">.</w:t>
      </w:r>
    </w:p>
    <w:bookmarkEnd w:id="248"/>
    <w:bookmarkStart w:id="250"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9">
        <w:r>
          <w:rPr>
            <w:rStyle w:val="Hyperlink"/>
          </w:rPr>
          <w:t xml:space="preserve">https://arxiv.org/abs/2411.00640</w:t>
        </w:r>
      </w:hyperlink>
      <w:r>
        <w:t xml:space="preserve">.</w:t>
      </w:r>
    </w:p>
    <w:bookmarkEnd w:id="250"/>
    <w:bookmarkStart w:id="252"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51">
        <w:r>
          <w:rPr>
            <w:rStyle w:val="Hyperlink"/>
          </w:rPr>
          <w:t xml:space="preserve">https://doi.org/10.1007/978-3-032-19099-4_23</w:t>
        </w:r>
      </w:hyperlink>
      <w:r>
        <w:t xml:space="preserve">.</w:t>
      </w:r>
    </w:p>
    <w:bookmarkEnd w:id="252"/>
    <w:bookmarkStart w:id="25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53">
        <w:r>
          <w:rPr>
            <w:rStyle w:val="Hyperlink"/>
          </w:rPr>
          <w:t xml:space="preserve">https://arxiv.org/abs/2604.06621</w:t>
        </w:r>
      </w:hyperlink>
      <w:r>
        <w:t xml:space="preserve">.</w:t>
      </w:r>
    </w:p>
    <w:bookmarkEnd w:id="254"/>
    <w:bookmarkStart w:id="25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55">
        <w:r>
          <w:rPr>
            <w:rStyle w:val="Hyperlink"/>
          </w:rPr>
          <w:t xml:space="preserve">https://arxiv.org/abs/2605.03534</w:t>
        </w:r>
      </w:hyperlink>
      <w:r>
        <w:t xml:space="preserve">.</w:t>
      </w:r>
    </w:p>
    <w:bookmarkEnd w:id="256"/>
    <w:bookmarkStart w:id="25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7">
        <w:r>
          <w:rPr>
            <w:rStyle w:val="Hyperlink"/>
          </w:rPr>
          <w:t xml:space="preserve">https://doi.org/10.1108/eb026647</w:t>
        </w:r>
      </w:hyperlink>
      <w:r>
        <w:t xml:space="preserve">.</w:t>
      </w:r>
    </w:p>
    <w:bookmarkEnd w:id="258"/>
    <w:bookmarkStart w:id="26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9">
        <w:r>
          <w:rPr>
            <w:rStyle w:val="Hyperlink"/>
          </w:rPr>
          <w:t xml:space="preserve">https://arxiv.org/abs/1402.4884</w:t>
        </w:r>
      </w:hyperlink>
      <w:r>
        <w:t xml:space="preserve">.</w:t>
      </w:r>
    </w:p>
    <w:bookmarkEnd w:id="260"/>
    <w:bookmarkStart w:id="26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61">
        <w:r>
          <w:rPr>
            <w:rStyle w:val="Hyperlink"/>
          </w:rPr>
          <w:t xml:space="preserve">https://arxiv.org/abs/2302.00093</w:t>
        </w:r>
      </w:hyperlink>
      <w:r>
        <w:t xml:space="preserve">.</w:t>
      </w:r>
    </w:p>
    <w:bookmarkEnd w:id="262"/>
    <w:bookmarkStart w:id="264"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63">
        <w:r>
          <w:rPr>
            <w:rStyle w:val="Hyperlink"/>
          </w:rPr>
          <w:t xml:space="preserve">https://arxiv.org/abs/2301.12652</w:t>
        </w:r>
      </w:hyperlink>
      <w:r>
        <w:t xml:space="preserve">.</w:t>
      </w:r>
    </w:p>
    <w:bookmarkEnd w:id="264"/>
    <w:bookmarkStart w:id="266"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65">
        <w:r>
          <w:rPr>
            <w:rStyle w:val="Hyperlink"/>
          </w:rPr>
          <w:t xml:space="preserve">https://arxiv.org/abs/2304.09542</w:t>
        </w:r>
      </w:hyperlink>
      <w:r>
        <w:t xml:space="preserve">.</w:t>
      </w:r>
    </w:p>
    <w:bookmarkEnd w:id="266"/>
    <w:bookmarkStart w:id="268"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7">
        <w:r>
          <w:rPr>
            <w:rStyle w:val="Hyperlink"/>
          </w:rPr>
          <w:t xml:space="preserve">https://doi.org/10.1017/CBO9780511666353</w:t>
        </w:r>
      </w:hyperlink>
      <w:r>
        <w:t xml:space="preserve">.</w:t>
      </w:r>
    </w:p>
    <w:bookmarkEnd w:id="268"/>
    <w:bookmarkStart w:id="270"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9">
        <w:r>
          <w:rPr>
            <w:rStyle w:val="Hyperlink"/>
          </w:rPr>
          <w:t xml:space="preserve">https://arxiv.org/abs/2402.11750</w:t>
        </w:r>
      </w:hyperlink>
      <w:r>
        <w:t xml:space="preserve">.</w:t>
      </w:r>
    </w:p>
    <w:bookmarkEnd w:id="270"/>
    <w:bookmarkStart w:id="272"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71">
        <w:r>
          <w:rPr>
            <w:rStyle w:val="Hyperlink"/>
          </w:rPr>
          <w:t xml:space="preserve">https://arxiv.org/abs/2602.08294</w:t>
        </w:r>
      </w:hyperlink>
      <w:r>
        <w:t xml:space="preserve">.</w:t>
      </w:r>
    </w:p>
    <w:bookmarkEnd w:id="272"/>
    <w:bookmarkStart w:id="274"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73">
        <w:r>
          <w:rPr>
            <w:rStyle w:val="Hyperlink"/>
          </w:rPr>
          <w:t xml:space="preserve">https://doi.org/10.1145/1571941.1571963</w:t>
        </w:r>
      </w:hyperlink>
      <w:r>
        <w:t xml:space="preserve">.</w:t>
      </w:r>
    </w:p>
    <w:bookmarkEnd w:id="274"/>
    <w:bookmarkStart w:id="27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75">
        <w:r>
          <w:rPr>
            <w:rStyle w:val="Hyperlink"/>
          </w:rPr>
          <w:t xml:space="preserve">https://arxiv.org/abs/2410.07523</w:t>
        </w:r>
      </w:hyperlink>
      <w:r>
        <w:t xml:space="preserve">.</w:t>
      </w:r>
    </w:p>
    <w:bookmarkEnd w:id="276"/>
    <w:bookmarkStart w:id="278"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7">
        <w:r>
          <w:rPr>
            <w:rStyle w:val="Hyperlink"/>
          </w:rPr>
          <w:t xml:space="preserve">https://arxiv.org/abs/2403.08319</w:t>
        </w:r>
      </w:hyperlink>
      <w:r>
        <w:t xml:space="preserve">.</w:t>
      </w:r>
    </w:p>
    <w:bookmarkEnd w:id="278"/>
    <w:bookmarkStart w:id="280"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9">
        <w:r>
          <w:rPr>
            <w:rStyle w:val="Hyperlink"/>
          </w:rPr>
          <w:t xml:space="preserve">https://arxiv.org/abs/2302.05698</w:t>
        </w:r>
      </w:hyperlink>
      <w:r>
        <w:t xml:space="preserve">.</w:t>
      </w:r>
    </w:p>
    <w:bookmarkEnd w:id="280"/>
    <w:bookmarkStart w:id="282"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81">
        <w:r>
          <w:rPr>
            <w:rStyle w:val="Hyperlink"/>
          </w:rPr>
          <w:t xml:space="preserve">https://arxiv.org/abs/2407.02485</w:t>
        </w:r>
      </w:hyperlink>
      <w:r>
        <w:t xml:space="preserve">.</w:t>
      </w:r>
    </w:p>
    <w:bookmarkEnd w:id="282"/>
    <w:bookmarkStart w:id="284"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83">
        <w:r>
          <w:rPr>
            <w:rStyle w:val="Hyperlink"/>
          </w:rPr>
          <w:t xml:space="preserve">https://arxiv.org/abs/2504.15630</w:t>
        </w:r>
      </w:hyperlink>
      <w:r>
        <w:t xml:space="preserve">.</w:t>
      </w:r>
    </w:p>
    <w:bookmarkEnd w:id="284"/>
    <w:bookmarkStart w:id="286"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85">
        <w:r>
          <w:rPr>
            <w:rStyle w:val="Hyperlink"/>
          </w:rPr>
          <w:t xml:space="preserve">https://arxiv.org/abs/2510.11358</w:t>
        </w:r>
      </w:hyperlink>
      <w:r>
        <w:t xml:space="preserve">.</w:t>
      </w:r>
    </w:p>
    <w:bookmarkEnd w:id="286"/>
    <w:bookmarkStart w:id="288"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7">
        <w:r>
          <w:rPr>
            <w:rStyle w:val="Hyperlink"/>
          </w:rPr>
          <w:t xml:space="preserve">https://arxiv.org/abs/2604.08920</w:t>
        </w:r>
      </w:hyperlink>
      <w:r>
        <w:t xml:space="preserve">.</w:t>
      </w:r>
    </w:p>
    <w:bookmarkEnd w:id="288"/>
    <w:bookmarkStart w:id="290"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9">
        <w:r>
          <w:rPr>
            <w:rStyle w:val="Hyperlink"/>
          </w:rPr>
          <w:t xml:space="preserve">https://arxiv.org/abs/2605.06028</w:t>
        </w:r>
      </w:hyperlink>
      <w:r>
        <w:t xml:space="preserve">.</w:t>
      </w:r>
    </w:p>
    <w:bookmarkEnd w:id="290"/>
    <w:bookmarkStart w:id="29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91"/>
    <w:bookmarkStart w:id="29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92">
        <w:r>
          <w:rPr>
            <w:rStyle w:val="Hyperlink"/>
          </w:rPr>
          <w:t xml:space="preserve">https://arxiv.org/abs/2405.18253</w:t>
        </w:r>
      </w:hyperlink>
      <w:r>
        <w:t xml:space="preserve">.</w:t>
      </w:r>
    </w:p>
    <w:bookmarkEnd w:id="293"/>
    <w:bookmarkStart w:id="295"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94">
        <w:r>
          <w:rPr>
            <w:rStyle w:val="Hyperlink"/>
          </w:rPr>
          <w:t xml:space="preserve">https://doi.org/10.1145/3802111</w:t>
        </w:r>
      </w:hyperlink>
      <w:r>
        <w:t xml:space="preserve">.</w:t>
      </w:r>
    </w:p>
    <w:bookmarkEnd w:id="295"/>
    <w:bookmarkStart w:id="297"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96">
        <w:r>
          <w:rPr>
            <w:rStyle w:val="Hyperlink"/>
          </w:rPr>
          <w:t xml:space="preserve">https://doi.org/10.1007/978-3-642-12275-0_32</w:t>
        </w:r>
      </w:hyperlink>
      <w:r>
        <w:t xml:space="preserve">.</w:t>
      </w:r>
    </w:p>
    <w:bookmarkEnd w:id="297"/>
    <w:bookmarkEnd w:id="298"/>
    <w:bookmarkEnd w:id="299"/>
    <w:bookmarkEnd w:id="3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2026-09-09T04:35:41Z</dcterms:created>
  <dcterms:modified xsi:type="dcterms:W3CDTF">2026-09-09T04:35:41Z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padding and reversed-order controls on one model separate the added signal from its length and position.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