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Context Selection Is a Partial Order:</w:t>
      </w:r>
      <w:r>
        <w:br/>
      </w:r>
      <w:r>
        <w:t xml:space="preserve">A Blackwell Framework and Certified LLM Evidence</w:t>
      </w:r>
    </w:p>
    <w:p>
      <w:pPr>
        <w:pStyle w:val="Author"/>
      </w:pPr>
      <w:r>
        <w:t xml:space="preserve">Andriy Bilous</w:t>
      </w:r>
      <w:r>
        <w:br/>
      </w:r>
      <w:r>
        <w:t xml:space="preserve">Department of Information Systems and Networks</w:t>
      </w:r>
      <w:r>
        <w:br/>
      </w:r>
      <w:r>
        <w:t xml:space="preserve">Lviv Polytechnic National University, Lviv, Ukraine</w:t>
      </w:r>
      <w:r>
        <w:br/>
      </w:r>
      <w:r>
        <w:t xml:space="preserve">ORCID: 0009-0006-5467-7932</w:t>
      </w:r>
      <w:r>
        <w:br/>
      </w:r>
      <w:r>
        <w:rPr>
          <w:rStyle w:val="VerbatimChar"/>
        </w:rPr>
        <w:t xml:space="preserve">andriy.bilous@uitware.com</w:t>
      </w:r>
    </w:p>
    <w:p>
      <w:pPr>
        <w:pStyle w:val="Author"/>
      </w:pPr>
      <w:r>
        <w:t xml:space="preserve">Oleksandr Reminnyi</w:t>
      </w:r>
      <w:r>
        <w:br/>
      </w:r>
      <w:r>
        <w:t xml:space="preserve">Department of Computerized Automatic Systems</w:t>
      </w:r>
      <w:r>
        <w:br/>
      </w:r>
      <w:r>
        <w:t xml:space="preserve">Lviv Polytechnic National University, Lviv, Ukraine</w:t>
      </w:r>
      <w:r>
        <w:br/>
      </w:r>
      <w:r>
        <w:t xml:space="preserve">ORCID: 0009-0005-5119-3695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Context selection for language models is almost universally posed as a</w:t>
      </w:r>
      <w:r>
        <w:t xml:space="preserve"> </w:t>
      </w:r>
      <w:r>
        <w:rPr>
          <w:i/>
          <w:iCs/>
        </w:rPr>
        <w:t xml:space="preserve">scalar</w:t>
      </w:r>
      <w:r>
        <w:t xml:space="preserve"> </w:t>
      </w:r>
      <w:r>
        <w:t xml:space="preserve">ranking problem: score each candidate source, take the top-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We argue this collapses a partial order. Modeling each context source as a</w:t>
      </w:r>
      <w:r>
        <w:t xml:space="preserve"> </w:t>
      </w:r>
      <w:r>
        <w:t xml:space="preserve">statistical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on the task’s latent requirement, we transport</w:t>
      </w:r>
      <w:r>
        <w:t xml:space="preserve"> </w:t>
      </w:r>
      <w:r>
        <w:t xml:space="preserve">Blackwell’s comparison of experiments </w:t>
      </w:r>
      <w:r>
        <w:t xml:space="preserve">(</w:t>
      </w:r>
      <w:hyperlink w:anchor="ref-blackwell1953">
        <w:r>
          <w:rPr>
            <w:rStyle w:val="Hyperlink"/>
          </w:rPr>
          <w:t xml:space="preserve">Blackwell 1953</w:t>
        </w:r>
      </w:hyperlink>
      <w:r>
        <w:t xml:space="preserve">)</w:t>
      </w:r>
      <w:r>
        <w:t xml:space="preserve"> </w:t>
      </w:r>
      <w:r>
        <w:t xml:space="preserve">to context</w:t>
      </w:r>
      <w:r>
        <w:t xml:space="preserve"> </w:t>
      </w:r>
      <w:r>
        <w:t xml:space="preserve">selection: when two sources are Blackwell-incomparable, no query-independent</w:t>
      </w:r>
      <w:r>
        <w:t xml:space="preserve"> </w:t>
      </w:r>
      <w:r>
        <w:t xml:space="preserve">scalar can rank them correctly across all tasks, a formal account of the</w:t>
      </w:r>
      <w:r>
        <w:t xml:space="preserve"> </w:t>
      </w:r>
      <w:r>
        <w:t xml:space="preserve">field’s</w:t>
      </w:r>
      <w:r>
        <w:t xml:space="preserve"> </w:t>
      </w:r>
      <w:r>
        <w:t xml:space="preserve">“relevance-does-not-transfer”</w:t>
      </w:r>
      <w:r>
        <w:t xml:space="preserve"> </w:t>
      </w:r>
      <w:r>
        <w:t xml:space="preserve">folklore. To make the order measurable</w:t>
      </w:r>
      <w:r>
        <w:t xml:space="preserve"> </w:t>
      </w:r>
      <w:r>
        <w:t xml:space="preserve">on real models behind executable verifiers, we define a decision-restricted value-deficiency</w:t>
      </w:r>
      <w:r>
        <w:t xml:space="preserve"> </w:t>
      </w:r>
      <w:r>
        <w:rPr>
          <w:i/>
          <w:iCs/>
        </w:rPr>
        <w:t xml:space="preserve">surrogate</w:t>
      </w:r>
      <w:r>
        <w:t xml:space="preserve"> </w:t>
      </w:r>
      <w:r>
        <w:t xml:space="preserve">and equip it with a distribution-free finite-sample</w:t>
      </w:r>
      <w:r>
        <w:t xml:space="preserve"> </w:t>
      </w:r>
      <w:r>
        <w:rPr>
          <w:i/>
          <w:iCs/>
        </w:rPr>
        <w:t xml:space="preserve">certificate</w:t>
      </w:r>
      <w:r>
        <w:t xml:space="preserve">. On six language models across four vendors we certify</w:t>
      </w:r>
      <w:r>
        <w:t xml:space="preserve"> </w:t>
      </w:r>
      <w:r>
        <w:t xml:space="preserve">(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confidence, both directions) that two private context sources are</w:t>
      </w:r>
      <w:r>
        <w:t xml:space="preserve"> </w:t>
      </w:r>
      <w:r>
        <w:t xml:space="preserve">empirically incomparable. Representative lexical, dense bi-encoder, and</w:t>
      </w:r>
      <w:r>
        <w:t xml:space="preserve"> </w:t>
      </w:r>
      <w:r>
        <w:t xml:space="preserve">cross-encoder rankers all prefer the wrong source on a confound-controlled</w:t>
      </w:r>
      <w:r>
        <w:t xml:space="preserve"> </w:t>
      </w:r>
      <w:r>
        <w:t xml:space="preserve">trap, while an LLM listwise reranker that reads the decisive content escapes,</w:t>
      </w:r>
      <w:r>
        <w:t xml:space="preserve"> </w:t>
      </w:r>
      <w:r>
        <w:t xml:space="preserve">the topicality boundary the theory predicts. We also show that supplying a strict</w:t>
      </w:r>
      <w:r>
        <w:t xml:space="preserve"> </w:t>
      </w:r>
      <w:r>
        <w:rPr>
          <w:i/>
          <w:iCs/>
        </w:rPr>
        <w:t xml:space="preserve">superset</w:t>
      </w:r>
      <w:r>
        <w:t xml:space="preserve"> </w:t>
      </w:r>
      <w:r>
        <w:t xml:space="preserve">of a sufficient source collapses certified pass rates from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to as low as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 with order, length-padding, and</w:t>
      </w:r>
      <w:r>
        <w:t xml:space="preserve"> </w:t>
      </w:r>
      <w:r>
        <w:t xml:space="preserve">routing-instruction controls attributing the harm to the added signal, not</w:t>
      </w:r>
      <w:r>
        <w:t xml:space="preserve"> </w:t>
      </w:r>
      <w:r>
        <w:t xml:space="preserve">position or length. The conclusion is methodological: context</w:t>
      </w:r>
      <w:r>
        <w:t xml:space="preserve"> </w:t>
      </w:r>
      <w:r>
        <w:t xml:space="preserve">selection is a partial-order problem, and the right operational object is a</w:t>
      </w:r>
      <w:r>
        <w:t xml:space="preserve"> </w:t>
      </w:r>
      <w:r>
        <w:t xml:space="preserve">certified deficiency surrogate, not a scalar. The constructive selection rule</w:t>
      </w:r>
      <w:r>
        <w:t xml:space="preserve"> </w:t>
      </w:r>
      <w:r>
        <w:t xml:space="preserve">this implies is developed in a companion paper; scaling certified selection to</w:t>
      </w:r>
      <w:r>
        <w:t xml:space="preserve"> </w:t>
      </w:r>
      <w:r>
        <w:t xml:space="preserve">corpus retrieval is the central problem we leave open.</w:t>
      </w:r>
    </w:p>
    <w:bookmarkStart w:id="16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Production language-model systems spend much of their budget deciding</w:t>
      </w:r>
      <w:r>
        <w:t xml:space="preserve"> </w:t>
      </w:r>
      <w:r>
        <w:rPr>
          <w:i/>
          <w:iCs/>
        </w:rPr>
        <w:t xml:space="preserve">what context to place in the prompt</w:t>
      </w:r>
      <w:r>
        <w:t xml:space="preserve">. Retrieval-augmented generation ranks</w:t>
      </w:r>
      <w:r>
        <w:t xml:space="preserve"> </w:t>
      </w:r>
      <w:r>
        <w:t xml:space="preserve">passages, in-context learning selects demonstrations, and agentic coding tools</w:t>
      </w:r>
      <w:r>
        <w:t xml:space="preserve"> </w:t>
      </w:r>
      <w:r>
        <w:t xml:space="preserve">choose which files and conventions to surface. Across all of these, the</w:t>
      </w:r>
      <w:r>
        <w:t xml:space="preserve"> </w:t>
      </w:r>
      <w:r>
        <w:t xml:space="preserve">operative tool is a</w:t>
      </w:r>
      <w:r>
        <w:t xml:space="preserve"> </w:t>
      </w:r>
      <w:r>
        <w:rPr>
          <w:b/>
          <w:bCs/>
        </w:rPr>
        <w:t xml:space="preserve">scalar score</w:t>
      </w:r>
      <w:r>
        <w:t xml:space="preserve">, lexical or embedding relevance,</w:t>
      </w:r>
      <w:r>
        <w:t xml:space="preserve"> </w:t>
      </w:r>
      <w:r>
        <w:t xml:space="preserve">mutual information,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 </w:t>
      </w:r>
      <w:r>
        <w:t xml:space="preserve">(</w:t>
      </w:r>
      <w:hyperlink w:anchor="ref-ethayarajh2022">
        <w:r>
          <w:rPr>
            <w:rStyle w:val="Hyperlink"/>
          </w:rPr>
          <w:t xml:space="preserve">Ethayarajh et al. 2022</w:t>
        </w:r>
      </w:hyperlink>
      <w:r>
        <w:t xml:space="preserve">)</w:t>
      </w:r>
      <w:r>
        <w:t xml:space="preserve">,</w:t>
      </w:r>
      <w:r>
        <w:t xml:space="preserve"> </w:t>
      </w:r>
      <w:r>
        <w:t xml:space="preserve">expected information gain, used to impose a total order and retain the top</w:t>
      </w:r>
      <w:r>
        <w:t xml:space="preserve"> </w:t>
      </w:r>
      <w:r>
        <w:t xml:space="preserve">candidates. The scalar is convenient: it sorts, thresholds, and composes. We</w:t>
      </w:r>
      <w:r>
        <w:t xml:space="preserve"> </w:t>
      </w:r>
      <w:r>
        <w:t xml:space="preserve">argue it is also the wrong abstraction, and that a classical apparatus from</w:t>
      </w:r>
      <w:r>
        <w:t xml:space="preserve"> </w:t>
      </w:r>
      <w:r>
        <w:t xml:space="preserve">statistical decision theory says precisely why.</w:t>
      </w:r>
    </w:p>
    <w:bookmarkStart w:id="9" w:name="X2abf0849039852c2efd6e0deadbd09e41a7187f"/>
    <w:p>
      <w:pPr>
        <w:pStyle w:val="Heading4"/>
      </w:pPr>
      <w:r>
        <w:t xml:space="preserve">A folklore observation, restated as structure.</w:t>
      </w:r>
    </w:p>
    <w:p>
      <w:pPr>
        <w:pStyle w:val="FirstParagraph"/>
      </w:pPr>
      <w:r>
        <w:t xml:space="preserve">A persistent, informal observation undercuts the scalar paradigm:</w:t>
      </w:r>
      <w:r>
        <w:t xml:space="preserve"> </w:t>
      </w:r>
      <w:r>
        <w:rPr>
          <w:i/>
          <w:iCs/>
        </w:rPr>
        <w:t xml:space="preserve">relevance</w:t>
      </w:r>
      <w:r>
        <w:rPr>
          <w:i/>
          <w:iCs/>
        </w:rPr>
        <w:t xml:space="preserve"> </w:t>
      </w:r>
      <w:r>
        <w:rPr>
          <w:i/>
          <w:iCs/>
        </w:rPr>
        <w:t xml:space="preserve">does not transfer across tasks</w:t>
      </w:r>
      <w:r>
        <w:t xml:space="preserve">. A source that helps one task hurts another;</w:t>
      </w:r>
      <w:r>
        <w:t xml:space="preserve"> </w:t>
      </w:r>
      <w:r>
        <w:t xml:space="preserve">“the best context”</w:t>
      </w:r>
      <w:r>
        <w:t xml:space="preserve"> </w:t>
      </w:r>
      <w:r>
        <w:t xml:space="preserve">is task-dependent. This is usually treated as a modeling</w:t>
      </w:r>
      <w:r>
        <w:t xml:space="preserve"> </w:t>
      </w:r>
      <w:r>
        <w:t xml:space="preserve">nuisance to be engineered around with better rankers. We show it is the</w:t>
      </w:r>
      <w:r>
        <w:t xml:space="preserve"> </w:t>
      </w:r>
      <w:r>
        <w:t xml:space="preserve">signature of a</w:t>
      </w:r>
      <w:r>
        <w:t xml:space="preserve"> </w:t>
      </w:r>
      <w:r>
        <w:rPr>
          <w:i/>
          <w:iCs/>
        </w:rPr>
        <w:t xml:space="preserve">partial order</w:t>
      </w:r>
      <w:r>
        <w:t xml:space="preserve">. We model a context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statistical experiment on the task’s latent requirement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(the object a</w:t>
      </w:r>
      <w:r>
        <w:t xml:space="preserve"> </w:t>
      </w:r>
      <w:r>
        <w:t xml:space="preserve">verifier checks; §</w:t>
      </w:r>
      <w:hyperlink w:anchor="sec:formalization">
        <w:r>
          <w:rPr>
            <w:rStyle w:val="Hyperlink"/>
          </w:rPr>
          <w:t xml:space="preserve">3</w:t>
        </w:r>
      </w:hyperlink>
      <w:r>
        <w:t xml:space="preserve">), which lets us import two classical</w:t>
      </w:r>
      <w:r>
        <w:t xml:space="preserve"> </w:t>
      </w:r>
      <w:r>
        <w:t xml:space="preserve">tools. Blackwell’s order ranks experiments by garbling: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iff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is a noised (garbled) version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’s, and, by the</w:t>
      </w:r>
      <w:r>
        <w:t xml:space="preserve"> </w:t>
      </w:r>
      <w:r>
        <w:t xml:space="preserve">Blackwell–Sherman–Stein theorem, this holds</w:t>
      </w:r>
      <w:r>
        <w:t xml:space="preserve"> </w:t>
      </w:r>
      <w:r>
        <w:rPr>
          <w:i/>
          <w:iCs/>
        </w:rPr>
        <w:t xml:space="preserve">iff</w:t>
      </w:r>
      <w:r>
        <w:t xml:space="preserve"> </w:t>
      </w:r>
      <w:r>
        <w:t xml:space="preserve">an idealized</w:t>
      </w:r>
      <w:r>
        <w:t xml:space="preserve"> </w:t>
      </w:r>
      <w:r>
        <w:t xml:space="preserve">decision-maker does at least as well 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with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decision problem </w:t>
      </w:r>
      <w:r>
        <w:t xml:space="preserve">(</w:t>
      </w:r>
      <w:hyperlink w:anchor="ref-blackwell1953">
        <w:r>
          <w:rPr>
            <w:rStyle w:val="Hyperlink"/>
          </w:rPr>
          <w:t xml:space="preserve">Blackwell 1953</w:t>
        </w:r>
      </w:hyperlink>
      <w:r>
        <w:t xml:space="preserve">;</w:t>
      </w:r>
      <w:r>
        <w:t xml:space="preserve"> </w:t>
      </w:r>
      <w:hyperlink w:anchor="ref-torgersen1991">
        <w:r>
          <w:rPr>
            <w:rStyle w:val="Hyperlink"/>
          </w:rPr>
          <w:t xml:space="preserve">Torgersen 1991</w:t>
        </w:r>
      </w:hyperlink>
      <w:r>
        <w:t xml:space="preserve">)</w:t>
      </w:r>
      <w:r>
        <w:t xml:space="preserve">. The order is</w:t>
      </w:r>
      <w:r>
        <w:t xml:space="preserve"> </w:t>
      </w:r>
      <w:r>
        <w:rPr>
          <w:i/>
          <w:iCs/>
        </w:rPr>
        <w:t xml:space="preserve">partial</w:t>
      </w:r>
      <w:r>
        <w:t xml:space="preserve">: many source pairs are incomparable, neither garbling the other.</w:t>
      </w:r>
      <w:r>
        <w:t xml:space="preserve"> </w:t>
      </w:r>
      <w:r>
        <w:t xml:space="preserve">Incomparability is exactly the regime in which no scalar summary can be faithful,</w:t>
      </w:r>
      <w:r>
        <w:t xml:space="preserve"> </w:t>
      </w:r>
      <w:r>
        <w:t xml:space="preserve">because a scalar is a total order and a total order extending a strict partial</w:t>
      </w:r>
      <w:r>
        <w:t xml:space="preserve"> </w:t>
      </w:r>
      <w:r>
        <w:t xml:space="preserve">order must invert at least one incomparable pair on some task.</w:t>
      </w:r>
    </w:p>
    <w:bookmarkEnd w:id="9"/>
    <w:bookmarkStart w:id="10" w:name="what-is-and-is-not-new."/>
    <w:p>
      <w:pPr>
        <w:pStyle w:val="Heading4"/>
      </w:pPr>
      <w:r>
        <w:t xml:space="preserve">What is and is not new.</w:t>
      </w:r>
    </w:p>
    <w:p>
      <w:pPr>
        <w:pStyle w:val="FirstParagraph"/>
      </w:pPr>
      <w:r>
        <w:t xml:space="preserve">The machinery, the garbling order, the Blackwell–Sherman–Stein equivalence, Le Cam’s</w:t>
      </w:r>
      <w:r>
        <w:t xml:space="preserve"> </w:t>
      </w:r>
      <w:r>
        <w:t xml:space="preserve">deficiency, is classical; our contribution is the application, the incomparability framing, and a</w:t>
      </w:r>
      <w:r>
        <w:t xml:space="preserve"> </w:t>
      </w:r>
      <w:r>
        <w:t xml:space="preserve">certified estimator (§</w:t>
      </w:r>
      <w:hyperlink w:anchor="sec:related">
        <w:r>
          <w:rPr>
            <w:rStyle w:val="Hyperlink"/>
          </w:rPr>
          <w:t xml:space="preserve">2</w:t>
        </w:r>
      </w:hyperlink>
      <w:r>
        <w:t xml:space="preserve">). One gap the framing must respect, and that we close,</w:t>
      </w:r>
      <w:r>
        <w:t xml:space="preserve"> </w:t>
      </w:r>
      <w:r>
        <w:t xml:space="preserve">concerns the decision rule: Blackwell’s theorem is about the</w:t>
      </w:r>
      <w:r>
        <w:t xml:space="preserve"> </w:t>
      </w:r>
      <w:r>
        <w:rPr>
          <w:i/>
          <w:iCs/>
        </w:rPr>
        <w:t xml:space="preserve">optimal</w:t>
      </w:r>
      <w:r>
        <w:t xml:space="preserve"> </w:t>
      </w:r>
      <w:r>
        <w:t xml:space="preserve">(Bayes) use of an</w:t>
      </w:r>
      <w:r>
        <w:t xml:space="preserve"> </w:t>
      </w:r>
      <w:r>
        <w:t xml:space="preserve">experiment, whereas every quantity we measure,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is evaluated at a single fixed sub-optimal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We</w:t>
      </w:r>
      <w:r>
        <w:t xml:space="preserve"> </w:t>
      </w:r>
      <w:r>
        <w:t xml:space="preserve">therefore develop the order in a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register with a one-way bridge to the</w:t>
      </w:r>
      <w:r>
        <w:t xml:space="preserve"> </w:t>
      </w:r>
      <w:r>
        <w:t xml:space="preserve">idealized order (§</w:t>
      </w:r>
      <w:hyperlink w:anchor="sec:order">
        <w:r>
          <w:rPr>
            <w:rStyle w:val="Hyperlink"/>
          </w:rPr>
          <w:t xml:space="preserve">4</w:t>
        </w:r>
      </w:hyperlink>
      <w:r>
        <w:t xml:space="preserve">), confine every empirical claim to the restricted object, and</w:t>
      </w:r>
      <w:r>
        <w:t xml:space="preserve"> </w:t>
      </w:r>
      <w:r>
        <w:t xml:space="preserve">name the estimator a decision-restricted</w:t>
      </w:r>
      <w:r>
        <w:t xml:space="preserve"> </w:t>
      </w:r>
      <w:r>
        <w:rPr>
          <w:i/>
          <w:iCs/>
        </w:rPr>
        <w:t xml:space="preserve">value-deficiency surrogate</w:t>
      </w:r>
      <w:r>
        <w:t xml:space="preserve">, not a Le Cam</w:t>
      </w:r>
      <w:r>
        <w:t xml:space="preserve"> </w:t>
      </w:r>
      <w:r>
        <w:t xml:space="preserve">deficiency (§</w:t>
      </w:r>
      <w:hyperlink w:anchor="sec:estimator">
        <w:r>
          <w:rPr>
            <w:rStyle w:val="Hyperlink"/>
          </w:rPr>
          <w:t xml:space="preserve">6</w:t>
        </w:r>
      </w:hyperlink>
      <w:r>
        <w:t xml:space="preserve">).</w:t>
      </w:r>
    </w:p>
    <w:bookmarkEnd w:id="10"/>
    <w:bookmarkStart w:id="11" w:name="X9dd93aab3e7d4daf67ece92ba62beeb03b6ebb5"/>
    <w:p>
      <w:pPr>
        <w:pStyle w:val="Heading4"/>
      </w:pPr>
      <w:r>
        <w:t xml:space="preserve">A latent-coordinate model that makes the order non-vacuous.</w:t>
      </w:r>
    </w:p>
    <w:p>
      <w:pPr>
        <w:pStyle w:val="FirstParagraph"/>
      </w:pPr>
      <w:r>
        <w:t xml:space="preserve">Fixed strings would naively be Blackwell-trivial constant experiments. We model the latent</w:t>
      </w:r>
      <w:r>
        <w:t xml:space="preserve"> </w:t>
      </w:r>
      <w:r>
        <w:t xml:space="preserve">requirement as a vector of coordinates and each source as a deterministic experiment observing a</w:t>
      </w:r>
      <w:r>
        <w:t xml:space="preserve"> </w:t>
      </w:r>
      <w:r>
        <w:rPr>
          <w:i/>
          <w:iCs/>
        </w:rPr>
        <w:t xml:space="preserve">projection</w:t>
      </w:r>
      <w:r>
        <w:t xml:space="preserve">; comparison reduces to refinement of the projections’</w:t>
      </w:r>
      <w:r>
        <w:t xml:space="preserve"> </w:t>
      </w:r>
      <m:oMath>
        <m:r>
          <m:t>σ</m:t>
        </m:r>
      </m:oMath>
      <w:r>
        <w:t xml:space="preserve">-algebras, and</w:t>
      </w:r>
      <w:r>
        <w:t xml:space="preserve"> </w:t>
      </w:r>
      <w:r>
        <w:t xml:space="preserve">incomparability is mutual non-refinement, a property we establish for our concrete pair (Lemma </w:t>
      </w:r>
      <w:hyperlink w:anchor="lem:noref">
        <w:r>
          <w:rPr>
            <w:rStyle w:val="Hyperlink"/>
          </w:rPr>
          <w:t xml:space="preserve">1</w:t>
        </w:r>
      </w:hyperlink>
      <w:r>
        <w:t xml:space="preserve">).</w:t>
      </w:r>
    </w:p>
    <w:bookmarkEnd w:id="11"/>
    <w:bookmarkStart w:id="12" w:name="empirical-findings."/>
    <w:p>
      <w:pPr>
        <w:pStyle w:val="Heading4"/>
      </w:pPr>
      <w:r>
        <w:t xml:space="preserve">Empirical findings.</w:t>
      </w:r>
    </w:p>
    <w:p>
      <w:pPr>
        <w:pStyle w:val="FirstParagraph"/>
      </w:pPr>
      <w:r>
        <w:t xml:space="preserve">We instantiate the theory on two private, equally on-topic conventions about the</w:t>
      </w:r>
      <w:r>
        <w:t xml:space="preserve"> </w:t>
      </w:r>
      <w:r>
        <w:t xml:space="preserve">same module: an API call contract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wire-encoding invariant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), with a four-cell verifier battery using executable</w:t>
      </w:r>
      <w:r>
        <w:t xml:space="preserve"> </w:t>
      </w:r>
      <w:r>
        <w:t xml:space="preserve">PASS</w:t>
      </w:r>
      <m:oMath>
        <m:r>
          <m:rPr>
            <m:sty m:val="p"/>
          </m:rPr>
          <m:t>/</m:t>
        </m:r>
      </m:oMath>
      <w:r>
        <w:t xml:space="preserve">FAIL judgments (return code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PASS). This imposes a</w:t>
      </w:r>
      <w:r>
        <w:t xml:space="preserve"> </w:t>
      </w:r>
      <w:r>
        <w:t xml:space="preserve">restriction: the battery is a fixed, adversarially constructed</w:t>
      </w:r>
      <w:r>
        <w:t xml:space="preserve"> </w:t>
      </w:r>
      <w:r>
        <w:t xml:space="preserve">opposition, not a sampled task distribution, and the certified incomparability is</w:t>
      </w:r>
      <w:r>
        <w:t xml:space="preserve"> </w:t>
      </w:r>
      <w:r>
        <w:t xml:space="preserve">carried by one API cell and one encoding cell; we report the effective support</w:t>
      </w:r>
      <w:r>
        <w:t xml:space="preserve"> </w:t>
      </w:r>
      <w:r>
        <w:t xml:space="preserve">explicitly and do not call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a</w:t>
      </w:r>
      <w:r>
        <w:t xml:space="preserve"> </w:t>
      </w:r>
      <w:r>
        <w:t xml:space="preserve">“distribution.”</w:t>
      </w:r>
      <w:r>
        <w:t xml:space="preserve"> </w:t>
      </w:r>
      <w:r>
        <w:t xml:space="preserve">On this instrument</w:t>
      </w:r>
      <w:r>
        <w:t xml:space="preserve"> </w:t>
      </w:r>
      <w:r>
        <w:t xml:space="preserve">we obtain, on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model calls with no modeled numbers: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Certified empirical incomparability on all six models.</w:t>
      </w:r>
      <w:r>
        <w:t xml:space="preserve"> </w:t>
      </w:r>
      <w:r>
        <w:t xml:space="preserve">The</w:t>
      </w:r>
      <w:r>
        <w:t xml:space="preserve"> </w:t>
      </w:r>
      <w:r>
        <w:t xml:space="preserve">uniform certificate clears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directions:</w:t>
      </w:r>
      <w:r>
        <w:t xml:space="preserve"> </w:t>
      </w:r>
      <w:r>
        <w:t xml:space="preserve">the two-sided lower bounds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/</m:t>
        </m:r>
        <m:r>
          <m:t> </m:t>
        </m:r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Haiku-4.5</w:t>
      </w:r>
      <w:r>
        <w:t xml:space="preserve"> </w:t>
      </w:r>
      <m:oMath>
        <m:r>
          <m:rPr>
            <m:sty m:val="p"/>
          </m:rPr>
          <m:t>+</m:t>
        </m:r>
        <m:r>
          <m:t>0.88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+</m:t>
        </m:r>
        <m:r>
          <m:t>0.83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),</w:t>
      </w:r>
      <w:r>
        <w:t xml:space="preserve"> </w:t>
      </w:r>
      <w:r>
        <w:t xml:space="preserve">Sonnet-4.6</w:t>
      </w:r>
      <w:r>
        <w:t xml:space="preserve"> </w:t>
      </w:r>
      <m:oMath>
        <m:r>
          <m:rPr>
            <m:sty m:val="p"/>
          </m:rPr>
          <m:t>+</m:t>
        </m:r>
        <m:r>
          <m:t>0.76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+</m:t>
        </m:r>
        <m:r>
          <m:t>0.76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),</w:t>
      </w:r>
      <w:r>
        <w:t xml:space="preserve"> </w:t>
      </w:r>
      <w:r>
        <w:t xml:space="preserve">Opus-4.8</w:t>
      </w:r>
      <w:r>
        <w:t xml:space="preserve"> </w:t>
      </w:r>
      <m:oMath>
        <m:r>
          <m:rPr>
            <m:sty m:val="p"/>
          </m:rPr>
          <m:t>+</m:t>
        </m:r>
        <m:r>
          <m:t>0.55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+</m:t>
        </m:r>
        <m:r>
          <m:t>0.55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),</w:t>
      </w:r>
      <w:r>
        <w:t xml:space="preserve"> </w:t>
      </w:r>
      <w:r>
        <w:t xml:space="preserve">GPT-5.5</w:t>
      </w:r>
      <w:r>
        <w:t xml:space="preserve"> </w:t>
      </w:r>
      <m:oMath>
        <m:r>
          <m:rPr>
            <m:sty m:val="p"/>
          </m:rPr>
          <m:t>+</m:t>
        </m:r>
        <m:r>
          <m:t>0.76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+</m:t>
        </m:r>
        <m:r>
          <m:t>0.76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),</w:t>
      </w:r>
      <w:r>
        <w:t xml:space="preserve"> </w:t>
      </w:r>
      <w:r>
        <w:t xml:space="preserve">DeepSeek-V4-Pro</w:t>
      </w:r>
      <w:r>
        <w:t xml:space="preserve"> </w:t>
      </w:r>
      <m:oMath>
        <m:r>
          <m:rPr>
            <m:sty m:val="p"/>
          </m:rPr>
          <m:t>+</m:t>
        </m:r>
        <m:r>
          <m:t>0.347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+</m:t>
        </m:r>
        <m:r>
          <m:t>0.715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), and</w:t>
      </w:r>
      <w:r>
        <w:t xml:space="preserve"> </w:t>
      </w:r>
      <w:r>
        <w:t xml:space="preserve">Kimi-K2.6</w:t>
      </w:r>
      <w:r>
        <w:t xml:space="preserve"> </w:t>
      </w:r>
      <m:oMath>
        <m:r>
          <m:rPr>
            <m:sty m:val="p"/>
          </m:rPr>
          <m:t>+</m:t>
        </m:r>
        <m:r>
          <m:t>0.675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+</m:t>
        </m:r>
        <m:r>
          <m:t>0.762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). Incomparability is therefore not a</w:t>
      </w:r>
      <w:r>
        <w:t xml:space="preserve"> </w:t>
      </w:r>
      <w:r>
        <w:t xml:space="preserve">single-lab artifact.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Representative topical rankers mis-rank the pair.</w:t>
      </w:r>
      <w:r>
        <w:t xml:space="preserve"> </w:t>
      </w:r>
      <w:r>
        <w:t xml:space="preserve">On a trap task</w:t>
      </w:r>
      <w:r>
        <w:t xml:space="preserve"> </w:t>
      </w:r>
      <w:r>
        <w:t xml:space="preserve">saturated with encoding vocabulary, query-conditioned lexical relevance scores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&lt;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0.44</m:t>
        </m:r>
      </m:oMath>
      <w:r>
        <w:t xml:space="preserve"> </w:t>
      </w:r>
      <w:r>
        <w:t xml:space="preserve">(ranking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≻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), yet</w:t>
      </w:r>
      <w:r>
        <w:t xml:space="preserve"> </w:t>
      </w:r>
      <w:r>
        <w:t xml:space="preserve">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(e.g. </w:t>
      </w:r>
      <m:oMath>
        <m:r>
          <m:t>96</m:t>
        </m:r>
      </m:oMath>
      <w:r>
        <w:t xml:space="preserve">–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), and the</w:t>
      </w:r>
      <w:r>
        <w:t xml:space="preserve"> </w:t>
      </w:r>
      <w:r>
        <w:t xml:space="preserve">same mis-rank is realized by two dense bi-encoders and a cross-encoder</w:t>
      </w:r>
      <w:r>
        <w:t xml:space="preserve"> </w:t>
      </w:r>
      <w:r>
        <w:t xml:space="preserve">reranker, while an LLM listwise reranker ranks the trap correctly</w:t>
      </w:r>
      <w:r>
        <w:t xml:space="preserve"> </w:t>
      </w:r>
      <w:r>
        <w:t xml:space="preserve">(§</w:t>
      </w:r>
      <w:hyperlink w:anchor="sec:results-misrank">
        <w:r>
          <w:rPr>
            <w:rStyle w:val="Hyperlink"/>
          </w:rPr>
          <w:t xml:space="preserve">7.4.2</w:t>
        </w:r>
      </w:hyperlink>
      <w:r>
        <w:t xml:space="preserve">). On the honest tasks every ranker agrees with</w:t>
      </w:r>
      <w:r>
        <w:t xml:space="preserve"> </w:t>
      </w:r>
      <w:r>
        <w:t xml:space="preserve">PASS; failure occurs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where surface relevance diverges from</w:t>
      </w:r>
      <w:r>
        <w:t xml:space="preserve"> </w:t>
      </w:r>
      <w:r>
        <w:t xml:space="preserve">verifier-decisive content, exactly the boundary</w:t>
      </w:r>
      <w:r>
        <w:t xml:space="preserve"> </w:t>
      </w:r>
      <w:r>
        <w:t xml:space="preserve">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predicts: topical feature-based</w:t>
      </w:r>
      <w:r>
        <w:t xml:space="preserve"> </w:t>
      </w:r>
      <w:r>
        <w:t xml:space="preserve">rankers must fail there, while rankers that read the decisive coordinate can</w:t>
      </w:r>
      <w:r>
        <w:t xml:space="preserve"> </w:t>
      </w:r>
      <w:r>
        <w:t xml:space="preserve">escape.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Certified anti-monotonicity.</w:t>
      </w:r>
      <w:r>
        <w:t xml:space="preserve"> </w:t>
      </w:r>
      <w:r>
        <w:t xml:space="preserve">The superset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literally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signal, sharply degrades the API cells:</w:t>
      </w:r>
      <w:r>
        <w:t xml:space="preserve"> </w:t>
      </w:r>
      <w:r>
        <w:t xml:space="preserve">Sonnet and Kimi collapse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(interference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1.00</m:t>
        </m:r>
      </m:oMath>
      <w:r>
        <w:t xml:space="preserve">,</w:t>
      </w:r>
      <w:r>
        <w:t xml:space="preserve"> </w:t>
      </w:r>
      <w:r>
        <w:t xml:space="preserve">certified upper bound</w:t>
      </w:r>
      <w:r>
        <w:t xml:space="preserve"> </w:t>
      </w:r>
      <m:oMath>
        <m:r>
          <m:rPr>
            <m:sty m:val="p"/>
          </m:rPr>
          <m:t>≤</m:t>
        </m:r>
        <m:r>
          <m:rPr>
            <m:sty m:val="p"/>
          </m:rPr>
          <m:t>−</m:t>
        </m:r>
        <m:r>
          <m:t>0.69</m:t>
        </m:r>
      </m:oMath>
      <w:r>
        <w:t xml:space="preserve">); GPT-5.5 certifies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0.60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. The interference certificate clears on at least one</w:t>
      </w:r>
      <w:r>
        <w:t xml:space="preserve"> </w:t>
      </w:r>
      <w:r>
        <w:t xml:space="preserve">cell for five of six models (Opus reproduces,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0.75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0.80</m:t>
        </m:r>
      </m:oMath>
      <w:r>
        <w:t xml:space="preserve">, but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is too few to certify; we give the power argument in</w:t>
      </w:r>
      <w:r>
        <w:t xml:space="preserve"> </w:t>
      </w:r>
      <w:r>
        <w:t xml:space="preserve">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). An order control shows the harm does not recover</w:t>
      </w:r>
      <w:r>
        <w:t xml:space="preserve"> </w:t>
      </w:r>
      <w:r>
        <w:t xml:space="preserve">under reordering, so it is not a lost-in-the-middle artifact, and a</w:t>
      </w:r>
      <w:r>
        <w:t xml:space="preserve"> </w:t>
      </w:r>
      <w:r>
        <w:t xml:space="preserve">length-matched padding control shows equal-length irrelevant text is</w:t>
      </w:r>
      <w:r>
        <w:t xml:space="preserve"> </w:t>
      </w:r>
      <w:r>
        <w:t xml:space="preserve">harmless, so it is not a token-count artifact either. One</w:t>
      </w:r>
      <w:r>
        <w:t xml:space="preserve"> </w:t>
      </w:r>
      <w:r>
        <w:t xml:space="preserve">caveat: the effect is large and robust across the capability ladder but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monotone in capability (Sonnet, the middle model, is the starkest;</w:t>
      </w:r>
      <w:r>
        <w:t xml:space="preserve"> </w:t>
      </w:r>
      <w:r>
        <w:t xml:space="preserve">Opus, the strongest, less so), so we claim no capability trend.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supporting observation: private-context value is model-relative.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-arm baselines span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–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guessability across vendors</w:t>
      </w:r>
      <w:r>
        <w:t xml:space="preserve"> </w:t>
      </w:r>
      <w:r>
        <w:t xml:space="preserve">(§</w:t>
      </w:r>
      <w:hyperlink w:anchor="sec:results-moat">
        <w:r>
          <w:rPr>
            <w:rStyle w:val="Hyperlink"/>
          </w:rPr>
          <w:t xml:space="preserve">7.4.4</w:t>
        </w:r>
      </w:hyperlink>
      <w:r>
        <w:t xml:space="preserve">), an empirical instance of the theory’s</w:t>
      </w:r>
      <w:r>
        <w:t xml:space="preserve"> </w:t>
      </w:r>
      <m:oMath>
        <m:r>
          <m:t>θ</m:t>
        </m:r>
      </m:oMath>
      <w:r>
        <w:t xml:space="preserve">-dependence; we report it as supporting evidence that caps which cells</w:t>
      </w:r>
      <w:r>
        <w:t xml:space="preserve"> </w:t>
      </w:r>
      <w:r>
        <w:t xml:space="preserve">can be certified per model, not as a headline claim.</w:t>
      </w:r>
    </w:p>
    <w:bookmarkEnd w:id="12"/>
    <w:bookmarkStart w:id="13" w:name="methodological-asymmetry."/>
    <w:p>
      <w:pPr>
        <w:pStyle w:val="Heading4"/>
      </w:pPr>
      <w:r>
        <w:t xml:space="preserve">Methodological asymmetry.</w:t>
      </w:r>
    </w:p>
    <w:p>
      <w:pPr>
        <w:pStyle w:val="FirstParagraph"/>
      </w:pPr>
      <w:r>
        <w:t xml:space="preserve">The Anthropic models run agentically (</w:t>
      </w:r>
      <w:r>
        <w:rPr>
          <w:rStyle w:val="VerbatimChar"/>
        </w:rPr>
        <w:t xml:space="preserve">claude -p</w:t>
      </w:r>
      <w:r>
        <w:t xml:space="preserve">, up to six turns); the</w:t>
      </w:r>
      <w:r>
        <w:t xml:space="preserve"> </w:t>
      </w:r>
      <w:r>
        <w:t xml:space="preserve">non-Anthropic models run single-shot (completion plus code extraction via an</w:t>
      </w:r>
      <w:r>
        <w:t xml:space="preserve"> </w:t>
      </w:r>
      <w:r>
        <w:t xml:space="preserve">OpenAI-style API). We flag this throughout: vendor is confounded with harness, so</w:t>
      </w:r>
      <w:r>
        <w:t xml:space="preserve"> </w:t>
      </w:r>
      <w:r>
        <w:t xml:space="preserve">every</w:t>
      </w:r>
      <w:r>
        <w:t xml:space="preserve"> </w:t>
      </w:r>
      <w:r>
        <w:rPr>
          <w:i/>
          <w:iCs/>
        </w:rPr>
        <w:t xml:space="preserve">cross-vendor magnitude</w:t>
      </w:r>
      <w:r>
        <w:t xml:space="preserve"> </w:t>
      </w:r>
      <w:r>
        <w:t xml:space="preserve">comparison (the value spectrum, the</w:t>
      </w:r>
      <w:r>
        <w:t xml:space="preserve"> </w:t>
      </w:r>
      <w:r>
        <w:t xml:space="preserve">interference ladder) inherits that confound, whereas the binary within-model</w:t>
      </w:r>
      <w:r>
        <w:t xml:space="preserve"> </w:t>
      </w:r>
      <w:r>
        <w:t xml:space="preserve">claims do not. The single-shot setting is arguably a</w:t>
      </w:r>
      <w:r>
        <w:t xml:space="preserve"> </w:t>
      </w:r>
      <w:r>
        <w:rPr>
          <w:i/>
          <w:iCs/>
        </w:rPr>
        <w:t xml:space="preserve">cleaner</w:t>
      </w:r>
      <w:r>
        <w:t xml:space="preserve"> </w:t>
      </w:r>
      <w:r>
        <w:t xml:space="preserve">probe of</w:t>
      </w:r>
      <w:r>
        <w:t xml:space="preserve"> </w:t>
      </w:r>
      <w:r>
        <w:t xml:space="preserve">whether a model uses supplied context, since it removes the agentic-exploration</w:t>
      </w:r>
      <w:r>
        <w:t xml:space="preserve"> </w:t>
      </w:r>
      <w:r>
        <w:t xml:space="preserve">confound; we treat the asymmetry as a limitation to be reported, not explained</w:t>
      </w:r>
      <w:r>
        <w:t xml:space="preserve"> </w:t>
      </w:r>
      <w:r>
        <w:t xml:space="preserve">away.</w:t>
      </w:r>
    </w:p>
    <w:bookmarkEnd w:id="13"/>
    <w:bookmarkStart w:id="14" w:name="contributions."/>
    <w:p>
      <w:pPr>
        <w:pStyle w:val="Heading4"/>
      </w:pPr>
      <w:r>
        <w:t xml:space="preserve">Contributions.</w:t>
      </w:r>
    </w:p>
    <w:p>
      <w:pPr>
        <w:pStyle w:val="FirstParagraph"/>
      </w:pPr>
      <w:r>
        <w:t xml:space="preserve">The paper makes one claim, context selection is a partial-order</w:t>
      </w:r>
      <w:r>
        <w:t xml:space="preserve"> </w:t>
      </w:r>
      <w:r>
        <w:t xml:space="preserve">problem rather than a scalar-ranking problem, and contributes exactly the three pieces that</w:t>
      </w:r>
      <w:r>
        <w:t xml:space="preserve"> </w:t>
      </w:r>
      <w:r>
        <w:t xml:space="preserve">claim needs.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Theory: context sources form a Blackwell partial order</w:t>
      </w:r>
      <w:r>
        <w:t xml:space="preserve"> </w:t>
      </w:r>
      <w:r>
        <w:t xml:space="preserve">(§</w:t>
      </w:r>
      <w:hyperlink w:anchor="sec:order">
        <w:r>
          <w:rPr>
            <w:rStyle w:val="Hyperlink"/>
          </w:rPr>
          <w:t xml:space="preserve">4</w:t>
        </w:r>
      </w:hyperlink>
      <w:r>
        <w:t xml:space="preserve">, §</w:t>
      </w:r>
      <w:hyperlink w:anchor="sec:incomparability">
        <w:r>
          <w:rPr>
            <w:rStyle w:val="Hyperlink"/>
          </w:rPr>
          <w:t xml:space="preserve">5</w:t>
        </w:r>
      </w:hyperlink>
      <w:r>
        <w:t xml:space="preserve">). We formalize context sources as statistical</w:t>
      </w:r>
      <w:r>
        <w:t xml:space="preserve"> </w:t>
      </w:r>
      <w:r>
        <w:t xml:space="preserve">experiments on the task’s latent requirement, instantiate the Blackwell garbling order with its</w:t>
      </w:r>
      <w:r>
        <w:t xml:space="preserve"> </w:t>
      </w:r>
      <w:r>
        <w:t xml:space="preserve">for-all-tasks dominance guarantee via the Blackwell–Sherman–Stein theorem, define the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 the experiments probe, and prove a one-way bridging lemma between</w:t>
      </w:r>
      <w:r>
        <w:t xml:space="preserve"> </w:t>
      </w:r>
      <w:r>
        <w:t xml:space="preserve">them. The central consequence is incomparability: Blackwell-incomparable sources cannot be</w:t>
      </w:r>
      <w:r>
        <w:t xml:space="preserve"> </w:t>
      </w:r>
      <w:r>
        <w:t xml:space="preserve">ranked by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query-independent scalar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for all tasks</w:t>
      </w:r>
      <w:r>
        <w:t xml:space="preserve"> </w:t>
      </w:r>
      <w:r>
        <w:t xml:space="preserve">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), with the query-conditioned topical case isolated separately</w:t>
      </w:r>
      <w:r>
        <w:t xml:space="preserve"> </w:t>
      </w:r>
      <w:r>
        <w:t xml:space="preserve">(Proposition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). Information retrieval has long argued that no single</w:t>
      </w:r>
      <w:r>
        <w:t xml:space="preserve"> </w:t>
      </w:r>
      <w:r>
        <w:t xml:space="preserve">fixed document score is optimal once documents interact (§</w:t>
      </w:r>
      <w:hyperlink w:anchor="sec:related-ir">
        <w:r>
          <w:rPr>
            <w:rStyle w:val="Hyperlink"/>
          </w:rPr>
          <w:t xml:space="preserve">[sec:related-ir]</w:t>
        </w:r>
      </w:hyperlink>
      <w:r>
        <w:t xml:space="preserve">); we derive the</w:t>
      </w:r>
      <w:r>
        <w:t xml:space="preserve"> </w:t>
      </w:r>
      <w:r>
        <w:t xml:space="preserve">impossibility as a theorem in the Blackwell frame.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Certificate: a measurable deficiency surrogate with finite-sample</w:t>
      </w:r>
      <w:r>
        <w:rPr>
          <w:b/>
          <w:bCs/>
        </w:rPr>
        <w:t xml:space="preserve"> </w:t>
      </w:r>
      <w:r>
        <w:rPr>
          <w:b/>
          <w:bCs/>
        </w:rPr>
        <w:t xml:space="preserve">guarantees</w:t>
      </w:r>
      <w:r>
        <w:t xml:space="preserve"> </w:t>
      </w:r>
      <w:r>
        <w:t xml:space="preserve">(§</w:t>
      </w:r>
      <w:hyperlink w:anchor="sec:estimator">
        <w:r>
          <w:rPr>
            <w:rStyle w:val="Hyperlink"/>
          </w:rPr>
          <w:t xml:space="preserve">6</w:t>
        </w:r>
      </w:hyperlink>
      <w:r>
        <w:t xml:space="preserve">). We define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rPr>
                    <m:sty m:val="p"/>
                  </m:rPr>
                  <m:t>sup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]</m:t>
            </m:r>
          </m:e>
        </m:d>
      </m:oMath>
      <w:r>
        <w:t xml:space="preserve">, a</w:t>
      </w:r>
      <w:r>
        <w:t xml:space="preserve"> </w:t>
      </w:r>
      <w:r>
        <w:t xml:space="preserve">decision-restricted value-deficiency surrogate (named as such, not as a Le Cam</w:t>
      </w:r>
      <w:r>
        <w:t xml:space="preserve"> </w:t>
      </w:r>
      <w:r>
        <w:t xml:space="preserve">deficiency), and a distribution-free uniform certificate: exact</w:t>
      </w:r>
      <w:r>
        <w:t xml:space="preserve"> </w:t>
      </w:r>
      <w:r>
        <w:t xml:space="preserve">Clopper–Pearson intervals </w:t>
      </w:r>
      <w:r>
        <w:t xml:space="preserve">(</w:t>
      </w:r>
      <w:hyperlink w:anchor="ref-clopperpearson1934">
        <w:r>
          <w:rPr>
            <w:rStyle w:val="Hyperlink"/>
          </w:rPr>
          <w:t xml:space="preserve">Clopper and Pearson 1934</w:t>
        </w:r>
      </w:hyperlink>
      <w:r>
        <w:t xml:space="preserve">)</w:t>
      </w:r>
      <w:r>
        <w:t xml:space="preserve"> </w:t>
      </w:r>
      <w:r>
        <w:t xml:space="preserve">at Bonferroni</w:t>
      </w:r>
      <w:r>
        <w:t xml:space="preserve"> </w:t>
      </w:r>
      <w:r>
        <w:t xml:space="preserve">level </w:t>
      </w:r>
      <w:r>
        <w:t xml:space="preserve">(</w:t>
      </w:r>
      <w:hyperlink w:anchor="ref-bonferroni1936">
        <w:r>
          <w:rPr>
            <w:rStyle w:val="Hyperlink"/>
          </w:rPr>
          <w:t xml:space="preserve">Bonferroni 1936</w:t>
        </w:r>
      </w:hyperlink>
      <w:r>
        <w:t xml:space="preserve">)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valid jointly on</w:t>
      </w:r>
      <w:r>
        <w:t xml:space="preserve"> </w:t>
      </w:r>
      <w:r>
        <w:t xml:space="preserve">a single event, so that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certifies a positive value gap at</w:t>
      </w:r>
      <w:r>
        <w:t xml:space="preserve"> </w:t>
      </w:r>
      <w:r>
        <w:t xml:space="preserve">confidence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; we argue why a naive DKW bound </w:t>
      </w:r>
      <w:r>
        <w:t xml:space="preserve">(</w:t>
      </w:r>
      <w:hyperlink w:anchor="ref-dvoretzky1956">
        <w:r>
          <w:rPr>
            <w:rStyle w:val="Hyperlink"/>
          </w:rPr>
          <w:t xml:space="preserve">Dvoretzky et al. 1956</w:t>
        </w:r>
      </w:hyperlink>
      <w:r>
        <w:t xml:space="preserve">)</w:t>
      </w:r>
      <w:r>
        <w:t xml:space="preserve"> </w:t>
      </w:r>
      <w:r>
        <w:t xml:space="preserve">under-covers the</w:t>
      </w:r>
      <w:r>
        <w:t xml:space="preserve"> </w:t>
      </w:r>
      <w:r>
        <w:t xml:space="preserve">supremum, and give the matching interference certificate. This is the instrument that makes the</w:t>
      </w:r>
      <w:r>
        <w:t xml:space="preserve"> </w:t>
      </w:r>
      <w:r>
        <w:t xml:space="preserve">partial order testable on a real model behind a real verifier.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Evidence: certified incomparability and scalar-ranking failure on</w:t>
      </w:r>
      <w:r>
        <w:rPr>
          <w:b/>
          <w:bCs/>
        </w:rPr>
        <w:t xml:space="preserve"> </w:t>
      </w:r>
      <w:r>
        <w:rPr>
          <w:b/>
          <w:bCs/>
        </w:rPr>
        <w:t xml:space="preserve">live models</w:t>
      </w:r>
      <w:r>
        <w:t xml:space="preserve"> </w:t>
      </w:r>
      <w:r>
        <w:t xml:space="preserve">(§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). Certified empirical incomparability on six models across</w:t>
      </w:r>
      <w:r>
        <w:t xml:space="preserve"> </w:t>
      </w:r>
      <w:r>
        <w:t xml:space="preserve">four vendors; the ranker-spectrum mis-rank on a confound-controlled trap (lexical cosine, dense</w:t>
      </w:r>
      <w:r>
        <w:t xml:space="preserve"> </w:t>
      </w:r>
      <w:r>
        <w:t xml:space="preserve">bi-encoders, and a cross-encoder all fail; an LLM listwise reranker that reads the decisive</w:t>
      </w:r>
      <w:r>
        <w:t xml:space="preserve"> </w:t>
      </w:r>
      <w:r>
        <w:t xml:space="preserve">content escapes, exactly the topicality boundary the theory draws); and certified</w:t>
      </w:r>
      <w:r>
        <w:t xml:space="preserve"> </w:t>
      </w:r>
      <w:r>
        <w:t xml:space="preserve">anti-monotonicity, a strict superset of a sufficient source collapsing PASS, with order,</w:t>
      </w:r>
      <w:r>
        <w:t xml:space="preserve"> </w:t>
      </w:r>
      <w:r>
        <w:t xml:space="preserve">length-padding, and routing-instruction controls, all with the scope limits stated in</w:t>
      </w:r>
      <w:r>
        <w:t xml:space="preserve"> </w:t>
      </w:r>
      <w:r>
        <w:t xml:space="preserve">§</w:t>
      </w:r>
      <w:hyperlink w:anchor="sec:limitations">
        <w:r>
          <w:rPr>
            <w:rStyle w:val="Hyperlink"/>
          </w:rPr>
          <w:t xml:space="preserve">8.5</w:t>
        </w:r>
      </w:hyperlink>
      <w:r>
        <w:t xml:space="preserve">.</w:t>
      </w:r>
    </w:p>
    <w:bookmarkEnd w:id="14"/>
    <w:bookmarkStart w:id="15" w:name="roadmap."/>
    <w:p>
      <w:pPr>
        <w:pStyle w:val="Heading4"/>
      </w:pPr>
      <w:r>
        <w:t xml:space="preserve">Roadmap.</w:t>
      </w:r>
    </w:p>
    <w:p>
      <w:pPr>
        <w:pStyle w:val="FirstParagraph"/>
      </w:pPr>
      <w:r>
        <w:t xml:space="preserve">§</w:t>
      </w:r>
      <w:hyperlink w:anchor="sec:relat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positions the work against scalar context-selection criteria</w:t>
      </w:r>
      <w:r>
        <w:t xml:space="preserve"> </w:t>
      </w:r>
      <w:r>
        <w:t xml:space="preserve">and the recent transport of comparison-of-experiments into machine learning, and</w:t>
      </w:r>
      <w:r>
        <w:t xml:space="preserve"> </w:t>
      </w:r>
      <w:r>
        <w:t xml:space="preserve">frames our delta as application-plus-framing-plus-estimator rather than new core</w:t>
      </w:r>
      <w:r>
        <w:t xml:space="preserve"> </w:t>
      </w:r>
      <w:r>
        <w:t xml:space="preserve">mathematics. §</w:t>
      </w:r>
      <w:hyperlink w:anchor="sec:formalizat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gives the latent-coordinate experiment</w:t>
      </w:r>
      <w:r>
        <w:t xml:space="preserve"> </w:t>
      </w:r>
      <w:r>
        <w:t xml:space="preserve">model and defines</w:t>
      </w:r>
      <w:r>
        <w:t xml:space="preserve"> </w:t>
      </w:r>
      <m:oMath>
        <m:r>
          <m:t>θ</m:t>
        </m:r>
      </m:oMath>
      <w:r>
        <w:t xml:space="preserve">. §</w:t>
      </w:r>
      <w:hyperlink w:anchor="sec:order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develops the partial order, the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order, the non-refinement construction, and the bridging lemma, and §</w:t>
      </w:r>
      <w:hyperlink w:anchor="sec:incomparability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proves</w:t>
      </w:r>
      <w:r>
        <w:t xml:space="preserve"> </w:t>
      </w:r>
      <w:r>
        <w:t xml:space="preserve">the source-level incomparability statement and isolates the query-conditioned</w:t>
      </w:r>
      <w:r>
        <w:t xml:space="preserve"> </w:t>
      </w:r>
      <w:r>
        <w:t xml:space="preserve">case (C1). §</w:t>
      </w:r>
      <w:hyperlink w:anchor="sec:estimator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defines the surrogate, the uniform certificate,</w:t>
      </w:r>
      <w:r>
        <w:t xml:space="preserve"> </w:t>
      </w:r>
      <w:r>
        <w:t xml:space="preserve">and the interference certificate, and relates the surrogate to the true Le Cam</w:t>
      </w:r>
      <w:r>
        <w:t xml:space="preserve"> </w:t>
      </w:r>
      <w:r>
        <w:t xml:space="preserve">deficiency (C2). 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reports the six-model program with full</w:t>
      </w:r>
      <w:r>
        <w:t xml:space="preserve"> </w:t>
      </w:r>
      <w:r>
        <w:t xml:space="preserve">per-cell tables (C3). §</w:t>
      </w:r>
      <w:hyperlink w:anchor="sec:limitations">
        <w:r>
          <w:rPr>
            <w:rStyle w:val="Hyperlink"/>
          </w:rPr>
          <w:t xml:space="preserve">8.5</w:t>
        </w:r>
      </w:hyperlink>
      <w:r>
        <w:t xml:space="preserve"> </w:t>
      </w:r>
      <w:r>
        <w:t xml:space="preserve">states threats to validity and</w:t>
      </w:r>
      <w:r>
        <w:t xml:space="preserve"> </w:t>
      </w:r>
      <w:r>
        <w:t xml:space="preserve">scope, and §</w:t>
      </w:r>
      <w:hyperlink w:anchor="sec:conclusion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concludes. Proofs of the two central impossibility results</w:t>
      </w:r>
      <w:r>
        <w:t xml:space="preserve"> </w:t>
      </w:r>
      <w:r>
        <w:t xml:space="preserve">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, 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) accompany their</w:t>
      </w:r>
      <w:r>
        <w:t xml:space="preserve"> </w:t>
      </w:r>
      <w:r>
        <w:t xml:space="preserve">statements; the remaining proofs and technical material are deferred to</w:t>
      </w:r>
      <w:r>
        <w:t xml:space="preserve"> </w:t>
      </w:r>
      <w:r>
        <w:t xml:space="preserve">Appendix </w:t>
      </w:r>
      <w:hyperlink w:anchor="app:proofs">
        <w:r>
          <w:rPr>
            <w:rStyle w:val="Hyperlink"/>
          </w:rPr>
          <w:t xml:space="preserve">10</w:t>
        </w:r>
      </w:hyperlink>
      <w:r>
        <w:t xml:space="preserve">, the extended experimental record to Appendix </w:t>
      </w:r>
      <w:hyperlink w:anchor="app:record">
        <w:r>
          <w:rPr>
            <w:rStyle w:val="Hyperlink"/>
          </w:rPr>
          <w:t xml:space="preserve">11</w:t>
        </w:r>
      </w:hyperlink>
      <w:r>
        <w:t xml:space="preserve">, and</w:t>
      </w:r>
      <w:r>
        <w:t xml:space="preserve"> </w:t>
      </w:r>
      <w:r>
        <w:t xml:space="preserve">protocol and artifact details to Appendix </w:t>
      </w:r>
      <w:hyperlink w:anchor="app:repro">
        <w:r>
          <w:rPr>
            <w:rStyle w:val="Hyperlink"/>
          </w:rPr>
          <w:t xml:space="preserve">12</w:t>
        </w:r>
      </w:hyperlink>
      <w:r>
        <w:t xml:space="preserve">. Every reference has been verified</w:t>
      </w:r>
      <w:r>
        <w:t xml:space="preserve"> </w:t>
      </w:r>
      <w:r>
        <w:t xml:space="preserve">against arXiv/DBLP/publisher records.</w:t>
      </w:r>
    </w:p>
    <w:bookmarkEnd w:id="15"/>
    <w:bookmarkEnd w:id="16"/>
    <w:bookmarkStart w:id="24" w:name="sec:related"/>
    <w:p>
      <w:pPr>
        <w:pStyle w:val="Heading1"/>
      </w:pPr>
      <w:r>
        <w:t xml:space="preserve">Related Work</w:t>
      </w:r>
    </w:p>
    <w:bookmarkStart w:id="17" w:name="positioning."/>
    <w:p>
      <w:pPr>
        <w:pStyle w:val="Heading4"/>
      </w:pPr>
      <w:r>
        <w:t xml:space="preserve">Positioning.</w:t>
      </w:r>
    </w:p>
    <w:p>
      <w:pPr>
        <w:pStyle w:val="FirstParagraph"/>
      </w:pPr>
      <w:r>
        <w:t xml:space="preserve">The machinery we use, Blackwell’s garbling order </w:t>
      </w:r>
      <w:r>
        <w:t xml:space="preserve">(</w:t>
      </w:r>
      <w:hyperlink w:anchor="ref-blackwell1953">
        <w:r>
          <w:rPr>
            <w:rStyle w:val="Hyperlink"/>
          </w:rPr>
          <w:t xml:space="preserve">Blackwell 1953</w:t>
        </w:r>
      </w:hyperlink>
      <w:r>
        <w:t xml:space="preserve">)</w:t>
      </w:r>
      <w:r>
        <w:t xml:space="preserve"> </w:t>
      </w:r>
      <w:r>
        <w:t xml:space="preserve">and Le Cam’s</w:t>
      </w:r>
      <w:r>
        <w:t xml:space="preserve"> </w:t>
      </w:r>
      <w:r>
        <w:t xml:space="preserve">deficiency </w:t>
      </w:r>
      <w:r>
        <w:t xml:space="preserve">(</w:t>
      </w:r>
      <w:hyperlink w:anchor="ref-lecam1964">
        <w:r>
          <w:rPr>
            <w:rStyle w:val="Hyperlink"/>
          </w:rPr>
          <w:t xml:space="preserve">Le Cam 1964</w:t>
        </w:r>
      </w:hyperlink>
      <w:r>
        <w:t xml:space="preserve">,</w:t>
      </w:r>
      <w:r>
        <w:t xml:space="preserve"> </w:t>
      </w:r>
      <w:hyperlink w:anchor="ref-lecam1986">
        <w:r>
          <w:rPr>
            <w:rStyle w:val="Hyperlink"/>
          </w:rPr>
          <w:t xml:space="preserve">1986</w:t>
        </w:r>
      </w:hyperlink>
      <w:r>
        <w:t xml:space="preserve">)</w:t>
      </w:r>
      <w:r>
        <w:t xml:space="preserve">, is classical, and we claim no new core mathematics.</w:t>
      </w:r>
      <w:r>
        <w:t xml:space="preserve"> </w:t>
      </w:r>
      <w:r>
        <w:t xml:space="preserve">Our contribution is an</w:t>
      </w:r>
      <w:r>
        <w:t xml:space="preserve"> </w:t>
      </w:r>
      <w:r>
        <w:rPr>
          <w:i/>
          <w:iCs/>
        </w:rPr>
        <w:t xml:space="preserve">application</w:t>
      </w:r>
      <w:r>
        <w:t xml:space="preserve">, a</w:t>
      </w:r>
      <w:r>
        <w:t xml:space="preserve"> </w:t>
      </w:r>
      <w:r>
        <w:rPr>
          <w:i/>
          <w:iCs/>
        </w:rPr>
        <w:t xml:space="preserve">framing</w:t>
      </w:r>
      <w:r>
        <w:t xml:space="preserve">, and an</w:t>
      </w:r>
      <w:r>
        <w:t xml:space="preserve"> </w:t>
      </w:r>
      <w:r>
        <w:rPr>
          <w:i/>
          <w:iCs/>
        </w:rPr>
        <w:t xml:space="preserve">estimator</w:t>
      </w:r>
      <w:r>
        <w:t xml:space="preserve">:</w:t>
      </w:r>
      <w:r>
        <w:t xml:space="preserve"> </w:t>
      </w:r>
      <w:r>
        <w:t xml:space="preserve">(i) we treat each candidate context source for a language model as a statistical experiment</w:t>
      </w:r>
      <w:r>
        <w:t xml:space="preserve"> </w:t>
      </w:r>
      <w:r>
        <w:t xml:space="preserve">on the task’s latent requirement and rank sources by the Blackwell order, with a</w:t>
      </w:r>
      <w:r>
        <w:t xml:space="preserve"> </w:t>
      </w:r>
      <w:r>
        <w:t xml:space="preserve">decision-independent, for-all-tasks dominance guarantee (§</w:t>
      </w:r>
      <w:hyperlink w:anchor="sec:order">
        <w:r>
          <w:rPr>
            <w:rStyle w:val="Hyperlink"/>
          </w:rPr>
          <w:t xml:space="preserve">4</w:t>
        </w:r>
      </w:hyperlink>
      <w:r>
        <w:t xml:space="preserve">);</w:t>
      </w:r>
      <w:r>
        <w:t xml:space="preserve"> </w:t>
      </w:r>
      <w:r>
        <w:t xml:space="preserve">(ii) we observe, as an application-level corollary of Blackwell’s theorem, that</w:t>
      </w:r>
      <w:r>
        <w:t xml:space="preserve"> </w:t>
      </w:r>
      <w:r>
        <w:t xml:space="preserve">Blackwell-</w:t>
      </w:r>
      <w:r>
        <w:rPr>
          <w:i/>
          <w:iCs/>
        </w:rPr>
        <w:t xml:space="preserve">incomparable</w:t>
      </w:r>
      <w:r>
        <w:t xml:space="preserve"> </w:t>
      </w:r>
      <w:r>
        <w:t xml:space="preserve">sources cannot be ranked by any scalar score for all tasks</w:t>
      </w:r>
      <w:r>
        <w:t xml:space="preserve"> </w:t>
      </w:r>
      <w:r>
        <w:t xml:space="preserve">(§</w:t>
      </w:r>
      <w:hyperlink w:anchor="sec:incomparability">
        <w:r>
          <w:rPr>
            <w:rStyle w:val="Hyperlink"/>
          </w:rPr>
          <w:t xml:space="preserve">5</w:t>
        </w:r>
      </w:hyperlink>
      <w:r>
        <w:t xml:space="preserve">), which converts the empirical folklore that</w:t>
      </w:r>
      <w:r>
        <w:t xml:space="preserve"> </w:t>
      </w:r>
      <w:r>
        <w:t xml:space="preserve">“relevance does</w:t>
      </w:r>
      <w:r>
        <w:t xml:space="preserve"> </w:t>
      </w:r>
      <w:r>
        <w:t xml:space="preserve">not transfer across tasks”</w:t>
      </w:r>
      <w:r>
        <w:t xml:space="preserve"> </w:t>
      </w:r>
      <w:r>
        <w:t xml:space="preserve">into a theorem, formalizing within the Blackwell frame a</w:t>
      </w:r>
      <w:r>
        <w:t xml:space="preserve"> </w:t>
      </w:r>
      <w:r>
        <w:t xml:space="preserve">limitation that information retrieval has long recognized for interacting documents</w:t>
      </w:r>
      <w:r>
        <w:t xml:space="preserve"> </w:t>
      </w:r>
      <w:r>
        <w:t xml:space="preserve">(§</w:t>
      </w:r>
      <w:hyperlink w:anchor="sec:related-ir">
        <w:r>
          <w:rPr>
            <w:rStyle w:val="Hyperlink"/>
          </w:rPr>
          <w:t xml:space="preserve">[sec:related-ir]</w:t>
        </w:r>
      </w:hyperlink>
      <w:r>
        <w:t xml:space="preserve">); and</w:t>
      </w:r>
      <w:r>
        <w:t xml:space="preserve"> </w:t>
      </w:r>
      <w:r>
        <w:t xml:space="preserve">(iii) we supply a Le Cam-inspired, decision-restricted value-deficiency</w:t>
      </w:r>
      <w:r>
        <w:t xml:space="preserve"> </w:t>
      </w:r>
      <w:r>
        <w:rPr>
          <w:i/>
          <w:iCs/>
        </w:rPr>
        <w:t xml:space="preserve">surrogate</w:t>
      </w:r>
      <w:r>
        <w:t xml:space="preserve"> </w:t>
      </w:r>
      <w:r>
        <w:t xml:space="preserve">with a</w:t>
      </w:r>
      <w:r>
        <w:t xml:space="preserve"> </w:t>
      </w:r>
      <w:r>
        <w:t xml:space="preserve">distribution-free finite-sample certificate that is auditable on a real model with a real</w:t>
      </w:r>
      <w:r>
        <w:t xml:space="preserve"> </w:t>
      </w:r>
      <w:r>
        <w:t xml:space="preserve">verifier (§</w:t>
      </w:r>
      <w:hyperlink w:anchor="sec:estimator">
        <w:r>
          <w:rPr>
            <w:rStyle w:val="Hyperlink"/>
          </w:rPr>
          <w:t xml:space="preserve">6</w:t>
        </w:r>
      </w:hyperlink>
      <w:r>
        <w:t xml:space="preserve">). To our knowledge,</w:t>
      </w:r>
      <w:r>
        <w:t xml:space="preserve"> </w:t>
      </w:r>
      <w:r>
        <w:t xml:space="preserve">no prior work applies the comparison of experiments to selecting inference-time context for</w:t>
      </w:r>
      <w:r>
        <w:t xml:space="preserve"> </w:t>
      </w:r>
      <w:r>
        <w:t xml:space="preserve">language models.</w:t>
      </w:r>
    </w:p>
    <w:bookmarkEnd w:id="17"/>
    <w:bookmarkStart w:id="19" w:name="sec:related-scalar"/>
    <w:p>
      <w:pPr>
        <w:pStyle w:val="Heading2"/>
      </w:pPr>
      <w:r>
        <w:t xml:space="preserve">Scalar selection and its limits in information retrieval</w:t>
      </w:r>
    </w:p>
    <w:p>
      <w:pPr>
        <w:pStyle w:val="FirstParagraph"/>
      </w:pPr>
      <w:bookmarkStart w:id="18" w:name="sec:related-ir"/>
      <w:bookmarkEnd w:id="18"/>
    </w:p>
    <w:p>
      <w:pPr>
        <w:pStyle w:val="BodyText"/>
      </w:pPr>
      <w:r>
        <w:t xml:space="preserve">Context and demonstration selection is dominated by</w:t>
      </w:r>
      <w:r>
        <w:t xml:space="preserve"> </w:t>
      </w:r>
      <w:r>
        <w:rPr>
          <w:i/>
          <w:iCs/>
        </w:rPr>
        <w:t xml:space="preserve">scalar</w:t>
      </w:r>
      <w:r>
        <w:t xml:space="preserve"> </w:t>
      </w:r>
      <w:r>
        <w:t xml:space="preserve">criteria, each inducing a total</w:t>
      </w:r>
      <w:r>
        <w:t xml:space="preserve"> </w:t>
      </w:r>
      <w:r>
        <w:t xml:space="preserve">order and a top-</w:t>
      </w:r>
      <m:oMath>
        <m:r>
          <m:t>k</m:t>
        </m:r>
      </m:oMath>
      <w:r>
        <w:t xml:space="preserve"> </w:t>
      </w:r>
      <w:r>
        <w:t xml:space="preserve">prefix: topical relevance, lexical or learned </w:t>
      </w:r>
      <w:r>
        <w:t xml:space="preserve">(</w:t>
      </w:r>
      <w:hyperlink w:anchor="ref-rankrag2024">
        <w:r>
          <w:rPr>
            <w:rStyle w:val="Hyperlink"/>
          </w:rPr>
          <w:t xml:space="preserve">Yu et al. 2024</w:t>
        </w:r>
      </w:hyperlink>
      <w:r>
        <w:t xml:space="preserve">)</w:t>
      </w:r>
      <w:r>
        <w:t xml:space="preserve">;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 </w:t>
      </w:r>
      <w:r>
        <w:t xml:space="preserve">(</w:t>
      </w:r>
      <w:hyperlink w:anchor="ref-ethayarajh2022">
        <w:r>
          <w:rPr>
            <w:rStyle w:val="Hyperlink"/>
          </w:rPr>
          <w:t xml:space="preserve">Ethayarajh et al. 2022</w:t>
        </w:r>
      </w:hyperlink>
      <w:r>
        <w:t xml:space="preserve">;</w:t>
      </w:r>
      <w:r>
        <w:t xml:space="preserve"> </w:t>
      </w:r>
      <w:hyperlink w:anchor="ref-cale2025">
        <w:r>
          <w:rPr>
            <w:rStyle w:val="Hyperlink"/>
          </w:rPr>
          <w:t xml:space="preserve">Yuan et al. 2025</w:t>
        </w:r>
      </w:hyperlink>
      <w:r>
        <w:t xml:space="preserve">)</w:t>
      </w:r>
      <w:r>
        <w:t xml:space="preserve">; expected information gain and Bayesian</w:t>
      </w:r>
      <w:r>
        <w:t xml:space="preserve"> </w:t>
      </w:r>
      <w:r>
        <w:t xml:space="preserve">experimental design </w:t>
      </w:r>
      <w:r>
        <w:t xml:space="preserve">(</w:t>
      </w:r>
      <w:hyperlink w:anchor="ref-bedllm2026">
        <w:r>
          <w:rPr>
            <w:rStyle w:val="Hyperlink"/>
          </w:rPr>
          <w:t xml:space="preserve">Choudhury et al. 2025</w:t>
        </w:r>
      </w:hyperlink>
      <w:r>
        <w:t xml:space="preserve">;</w:t>
      </w:r>
      <w:r>
        <w:t xml:space="preserve"> </w:t>
      </w:r>
      <w:hyperlink w:anchor="ref-conformalip2025">
        <w:r>
          <w:rPr>
            <w:rStyle w:val="Hyperlink"/>
          </w:rPr>
          <w:t xml:space="preserve">Chan et al. 2025</w:t>
        </w:r>
      </w:hyperlink>
      <w:r>
        <w:t xml:space="preserve">)</w:t>
      </w:r>
      <w:r>
        <w:t xml:space="preserve">; game-theoretic and influence-based</w:t>
      </w:r>
      <w:r>
        <w:t xml:space="preserve"> </w:t>
      </w:r>
      <w:r>
        <w:t xml:space="preserve">demonstration valuation </w:t>
      </w:r>
      <w:r>
        <w:t xml:space="preserve">(</w:t>
      </w:r>
      <w:hyperlink w:anchor="ref-demoshapley2024">
        <w:r>
          <w:rPr>
            <w:rStyle w:val="Hyperlink"/>
          </w:rPr>
          <w:t xml:space="preserve">Xie et al. 2024</w:t>
        </w:r>
      </w:hyperlink>
      <w:r>
        <w:t xml:space="preserve">;</w:t>
      </w:r>
      <w:r>
        <w:t xml:space="preserve"> </w:t>
      </w:r>
      <w:hyperlink w:anchor="ref-inficl2024">
        <w:r>
          <w:rPr>
            <w:rStyle w:val="Hyperlink"/>
          </w:rPr>
          <w:t xml:space="preserve">Vinay et al. 2024</w:t>
        </w:r>
      </w:hyperlink>
      <w:r>
        <w:t xml:space="preserve">)</w:t>
      </w:r>
      <w:r>
        <w:t xml:space="preserve">; and binary sufficient-context</w:t>
      </w:r>
      <w:r>
        <w:t xml:space="preserve"> </w:t>
      </w:r>
      <w:r>
        <w:t xml:space="preserve">detection </w:t>
      </w:r>
      <w:r>
        <w:t xml:space="preserve">(</w:t>
      </w:r>
      <w:hyperlink w:anchor="ref-sufficientcontext2024">
        <w:r>
          <w:rPr>
            <w:rStyle w:val="Hyperlink"/>
          </w:rPr>
          <w:t xml:space="preserve">Joren et al. 2024</w:t>
        </w:r>
      </w:hyperlink>
      <w:r>
        <w:t xml:space="preserve">)</w:t>
      </w:r>
      <w:r>
        <w:t xml:space="preserve">. Each collapses the comparison of two sources to one real</w:t>
      </w:r>
      <w:r>
        <w:t xml:space="preserve"> </w:t>
      </w:r>
      <w:r>
        <w:t xml:space="preserve">number and is therefore a scalar of the kind the paper rules out</w:t>
      </w:r>
      <w:r>
        <w:t xml:space="preserve"> </w:t>
      </w:r>
      <w:r>
        <w:t xml:space="preserve">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 query-independent scores,</w:t>
      </w:r>
      <w:r>
        <w:t xml:space="preserve"> </w:t>
      </w:r>
      <w:r>
        <w:t xml:space="preserve">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 topical query-conditioned ones): not a</w:t>
      </w:r>
      <w:r>
        <w:t xml:space="preserve"> </w:t>
      </w:r>
      <w:r>
        <w:t xml:space="preserve">competitor to out-perform but an instance of the excluded class (we prove</w:t>
      </w:r>
      <w:r>
        <w:t xml:space="preserve"> </w:t>
      </w:r>
      <w:r>
        <w:t xml:space="preserve">Blackwell-monotonicity for the closest neighbour,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information, in</w:t>
      </w:r>
      <w:r>
        <w:t xml:space="preserve"> </w:t>
      </w:r>
      <w:r>
        <w:t xml:space="preserve">Proposition </w:t>
      </w:r>
      <w:hyperlink w:anchor="prop:vinfo-monotone">
        <w:r>
          <w:rPr>
            <w:rStyle w:val="Hyperlink"/>
          </w:rPr>
          <w:t xml:space="preserve">1</w:t>
        </w:r>
      </w:hyperlink>
      <w:r>
        <w:t xml:space="preserve">, and conjecture it for the rest). Two families sit at the</w:t>
      </w:r>
      <w:r>
        <w:t xml:space="preserve"> </w:t>
      </w:r>
      <w:r>
        <w:t xml:space="preserve">boundary of the class. Listwise LLM rerankers </w:t>
      </w:r>
      <w:r>
        <w:t xml:space="preserve">(</w:t>
      </w:r>
      <w:hyperlink w:anchor="ref-sun2023rankgpt">
        <w:r>
          <w:rPr>
            <w:rStyle w:val="Hyperlink"/>
          </w:rPr>
          <w:t xml:space="preserve">Sun et al. 2023</w:t>
        </w:r>
      </w:hyperlink>
      <w:r>
        <w:t xml:space="preserve">)</w:t>
      </w:r>
      <w:r>
        <w:t xml:space="preserve"> </w:t>
      </w:r>
      <w:r>
        <w:t xml:space="preserve">are query-conditioned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functions, outside the theorem’s scope, though they carry no dominance guarantee of any</w:t>
      </w:r>
      <w:r>
        <w:t xml:space="preserve"> </w:t>
      </w:r>
      <w:r>
        <w:t xml:space="preserve">kind; and diversity-aware selection, from MMR </w:t>
      </w:r>
      <w:r>
        <w:t xml:space="preserve">(</w:t>
      </w:r>
      <w:hyperlink w:anchor="ref-carbonell1998">
        <w:r>
          <w:rPr>
            <w:rStyle w:val="Hyperlink"/>
          </w:rPr>
          <w:t xml:space="preserve">Carbonell and Goldstein 1998</w:t>
        </w:r>
      </w:hyperlink>
      <w:r>
        <w:t xml:space="preserve">)</w:t>
      </w:r>
      <w:r>
        <w:t xml:space="preserve"> </w:t>
      </w:r>
      <w:r>
        <w:t xml:space="preserve">to</w:t>
      </w:r>
      <w:r>
        <w:t xml:space="preserve"> </w:t>
      </w:r>
      <w:r>
        <w:t xml:space="preserve">DPPs </w:t>
      </w:r>
      <w:r>
        <w:t xml:space="preserve">(</w:t>
      </w:r>
      <w:hyperlink w:anchor="ref-ye2023ceil">
        <w:r>
          <w:rPr>
            <w:rStyle w:val="Hyperlink"/>
          </w:rPr>
          <w:t xml:space="preserve">Ye et al. 2023</w:t>
        </w:r>
      </w:hyperlink>
      <w:r>
        <w:t xml:space="preserve">)</w:t>
      </w:r>
      <w:r>
        <w:t xml:space="preserve"> </w:t>
      </w:r>
      <w:r>
        <w:t xml:space="preserve">and submodular coverage </w:t>
      </w:r>
      <w:r>
        <w:t xml:space="preserve">(</w:t>
      </w:r>
      <w:hyperlink w:anchor="ref-huang2025gammacover">
        <w:r>
          <w:rPr>
            <w:rStyle w:val="Hyperlink"/>
          </w:rPr>
          <w:t xml:space="preserve">Huang 2025</w:t>
        </w:r>
      </w:hyperlink>
      <w:r>
        <w:t xml:space="preserve">)</w:t>
      </w:r>
      <w:r>
        <w:t xml:space="preserve">, optimizes set</w:t>
      </w:r>
      <w:r>
        <w:t xml:space="preserve"> </w:t>
      </w:r>
      <w:r>
        <w:t xml:space="preserve">objectives over embedding geometry, whose partial-order-grounded analogue (certified coverage of</w:t>
      </w:r>
      <w:r>
        <w:t xml:space="preserve"> </w:t>
      </w:r>
      <w:r>
        <w:t xml:space="preserve">latent coordinates) we develop in a companion paper.</w:t>
      </w:r>
    </w:p>
    <w:p>
      <w:pPr>
        <w:pStyle w:val="BodyText"/>
      </w:pPr>
      <w:r>
        <w:t xml:space="preserve">The limits of scalar relevance are one of the oldest themes in information retrieval, and we</w:t>
      </w:r>
      <w:r>
        <w:t xml:space="preserve"> </w:t>
      </w:r>
      <w:r>
        <w:t xml:space="preserve">position inside that lineage rather than apart from it: the Probability Ranking</w:t>
      </w:r>
      <w:r>
        <w:t xml:space="preserve"> </w:t>
      </w:r>
      <w:r>
        <w:t xml:space="preserve">Principle </w:t>
      </w:r>
      <w:r>
        <w:t xml:space="preserve">(</w:t>
      </w:r>
      <w:hyperlink w:anchor="ref-robertson1977">
        <w:r>
          <w:rPr>
            <w:rStyle w:val="Hyperlink"/>
          </w:rPr>
          <w:t xml:space="preserve">Robertson 1977</w:t>
        </w:r>
      </w:hyperlink>
      <w:r>
        <w:t xml:space="preserve">)</w:t>
      </w:r>
      <w:r>
        <w:t xml:space="preserve"> </w:t>
      </w:r>
      <w:r>
        <w:t xml:space="preserve">is optimal only under an independence assumption, its failure once</w:t>
      </w:r>
      <w:r>
        <w:t xml:space="preserve"> </w:t>
      </w:r>
      <w:r>
        <w:t xml:space="preserve">documents interact is long documented </w:t>
      </w:r>
      <w:r>
        <w:t xml:space="preserve">(</w:t>
      </w:r>
      <w:hyperlink w:anchor="ref-fuhr2008">
        <w:r>
          <w:rPr>
            <w:rStyle w:val="Hyperlink"/>
          </w:rPr>
          <w:t xml:space="preserve">Fuhr 2008</w:t>
        </w:r>
      </w:hyperlink>
      <w:r>
        <w:t xml:space="preserve">;</w:t>
      </w:r>
      <w:r>
        <w:t xml:space="preserve"> </w:t>
      </w:r>
      <w:hyperlink w:anchor="ref-carbonell1998">
        <w:r>
          <w:rPr>
            <w:rStyle w:val="Hyperlink"/>
          </w:rPr>
          <w:t xml:space="preserve">Carbonell and Goldstein 1998</w:t>
        </w:r>
      </w:hyperlink>
      <w:r>
        <w:t xml:space="preserve">)</w:t>
      </w:r>
      <w:r>
        <w:t xml:space="preserve">, and the LLM-era version,</w:t>
      </w:r>
      <w:r>
        <w:t xml:space="preserve"> </w:t>
      </w:r>
      <w:r>
        <w:t xml:space="preserve">relevance-maximizing retrieval degrading answer quality, is measured</w:t>
      </w:r>
      <w:r>
        <w:t xml:space="preserve"> </w:t>
      </w:r>
      <w:r>
        <w:t xml:space="preserve">directly </w:t>
      </w:r>
      <w:r>
        <w:t xml:space="preserve">(</w:t>
      </w:r>
      <w:hyperlink w:anchor="ref-relevanceutility2025">
        <w:r>
          <w:rPr>
            <w:rStyle w:val="Hyperlink"/>
          </w:rPr>
          <w:t xml:space="preserve">LeVine and Varjavand 2025</w:t>
        </w:r>
      </w:hyperlink>
      <w:r>
        <w:t xml:space="preserve">;</w:t>
      </w:r>
      <w:r>
        <w:t xml:space="preserve"> </w:t>
      </w:r>
      <w:hyperlink w:anchor="ref-sureRAG2026">
        <w:r>
          <w:rPr>
            <w:rStyle w:val="Hyperlink"/>
          </w:rPr>
          <w:t xml:space="preserve">Qiu et al. 2026</w:t>
        </w:r>
      </w:hyperlink>
      <w:r>
        <w:t xml:space="preserve">)</w:t>
      </w:r>
      <w:r>
        <w:t xml:space="preserve">. Our delta is the</w:t>
      </w:r>
      <w:r>
        <w:t xml:space="preserve"> </w:t>
      </w:r>
      <w:r>
        <w:rPr>
          <w:i/>
          <w:iCs/>
        </w:rPr>
        <w:t xml:space="preserve">form</w:t>
      </w:r>
      <w:r>
        <w:t xml:space="preserve"> </w:t>
      </w:r>
      <w:r>
        <w:t xml:space="preserve">of the statement:</w:t>
      </w:r>
      <w:r>
        <w:t xml:space="preserve"> </w:t>
      </w:r>
      <w:r>
        <w:t xml:space="preserve">the failure becomes a theorem in the comparison-of-experiments frame, with the precise structural</w:t>
      </w:r>
      <w:r>
        <w:t xml:space="preserve"> </w:t>
      </w:r>
      <w:r>
        <w:t xml:space="preserve">condition, Blackwell incomparability, under which every query-independent scalar must mis-rank,</w:t>
      </w:r>
      <w:r>
        <w:t xml:space="preserve"> </w:t>
      </w:r>
      <w:r>
        <w:t xml:space="preserve">and a certified live instance on six production models.</w:t>
      </w:r>
    </w:p>
    <w:bookmarkEnd w:id="19"/>
    <w:bookmarkStart w:id="20" w:name="sec:related-taskdep"/>
    <w:p>
      <w:pPr>
        <w:pStyle w:val="Heading2"/>
      </w:pPr>
      <w:r>
        <w:t xml:space="preserve">Task-dependence and context degradation</w:t>
      </w:r>
    </w:p>
    <w:p>
      <w:pPr>
        <w:pStyle w:val="FirstParagraph"/>
      </w:pPr>
      <w:r>
        <w:t xml:space="preserve">That added context can degrade performance is by now well documented: a single irrelevant</w:t>
      </w:r>
      <w:r>
        <w:t xml:space="preserve"> </w:t>
      </w:r>
      <w:r>
        <w:t xml:space="preserve">sentence tanks reasoning </w:t>
      </w:r>
      <w:r>
        <w:t xml:space="preserve">(</w:t>
      </w:r>
      <w:hyperlink w:anchor="ref-shi2023distracted">
        <w:r>
          <w:rPr>
            <w:rStyle w:val="Hyperlink"/>
          </w:rPr>
          <w:t xml:space="preserve">Shi et al. 2023</w:t>
        </w:r>
      </w:hyperlink>
      <w:r>
        <w:t xml:space="preserve">)</w:t>
      </w:r>
      <w:r>
        <w:t xml:space="preserve">; position matters </w:t>
      </w:r>
      <w:r>
        <w:t xml:space="preserve">(</w:t>
      </w:r>
      <w:hyperlink w:anchor="ref-liu2024lost">
        <w:r>
          <w:rPr>
            <w:rStyle w:val="Hyperlink"/>
          </w:rPr>
          <w:t xml:space="preserve">Liu et al. 2024</w:t>
        </w:r>
      </w:hyperlink>
      <w:r>
        <w:t xml:space="preserve">)</w:t>
      </w:r>
      <w:r>
        <w:t xml:space="preserve">;</w:t>
      </w:r>
      <w:r>
        <w:t xml:space="preserve"> </w:t>
      </w:r>
      <w:r>
        <w:t xml:space="preserve">high-scoring distractors hurt while random noise can help </w:t>
      </w:r>
      <w:r>
        <w:t xml:space="preserve">(</w:t>
      </w:r>
      <w:hyperlink w:anchor="ref-cuconasu2024noise">
        <w:r>
          <w:rPr>
            <w:rStyle w:val="Hyperlink"/>
          </w:rPr>
          <w:t xml:space="preserve">Cuconasu et al. 2024</w:t>
        </w:r>
      </w:hyperlink>
      <w:r>
        <w:t xml:space="preserve">)</w:t>
      </w:r>
      <w:r>
        <w:t xml:space="preserve">; retrieval</w:t>
      </w:r>
      <w:r>
        <w:t xml:space="preserve"> </w:t>
      </w:r>
      <w:r>
        <w:t xml:space="preserve">curves are inverted-U in passage count </w:t>
      </w:r>
      <w:r>
        <w:t xml:space="preserve">(</w:t>
      </w:r>
      <w:hyperlink w:anchor="ref-jin2024longrag">
        <w:r>
          <w:rPr>
            <w:rStyle w:val="Hyperlink"/>
          </w:rPr>
          <w:t xml:space="preserve">Jin et al. 2024</w:t>
        </w:r>
      </w:hyperlink>
      <w:r>
        <w:t xml:space="preserve">)</w:t>
      </w:r>
      <w:r>
        <w:t xml:space="preserve">; document count hurts at fixed</w:t>
      </w:r>
      <w:r>
        <w:t xml:space="preserve"> </w:t>
      </w:r>
      <w:r>
        <w:t xml:space="preserve">length </w:t>
      </w:r>
      <w:r>
        <w:t xml:space="preserve">(</w:t>
      </w:r>
      <w:hyperlink w:anchor="ref-levy2025moredocs">
        <w:r>
          <w:rPr>
            <w:rStyle w:val="Hyperlink"/>
          </w:rPr>
          <w:t xml:space="preserve">Levy et al. 2025</w:t>
        </w:r>
      </w:hyperlink>
      <w:r>
        <w:t xml:space="preserve">)</w:t>
      </w:r>
      <w:r>
        <w:t xml:space="preserve">; added length alone hurts </w:t>
      </w:r>
      <w:r>
        <w:t xml:space="preserve">(</w:t>
      </w:r>
      <w:hyperlink w:anchor="ref-contexthurts2025">
        <w:r>
          <w:rPr>
            <w:rStyle w:val="Hyperlink"/>
          </w:rPr>
          <w:t xml:space="preserve">Du et al. 2025</w:t>
        </w:r>
      </w:hyperlink>
      <w:r>
        <w:t xml:space="preserve">)</w:t>
      </w:r>
      <w:r>
        <w:t xml:space="preserve">; and the effect</w:t>
      </w:r>
      <w:r>
        <w:t xml:space="preserve"> </w:t>
      </w:r>
      <w:r>
        <w:t xml:space="preserve">persists across model generations </w:t>
      </w:r>
      <w:r>
        <w:t xml:space="preserve">(</w:t>
      </w:r>
      <w:hyperlink w:anchor="ref-hong2025contextrot">
        <w:r>
          <w:rPr>
            <w:rStyle w:val="Hyperlink"/>
          </w:rPr>
          <w:t xml:space="preserve">Hong et al. 2025</w:t>
        </w:r>
      </w:hyperlink>
      <w:r>
        <w:t xml:space="preserve">)</w:t>
      </w:r>
      <w:r>
        <w:t xml:space="preserve"> </w:t>
      </w:r>
      <w:r>
        <w:t xml:space="preserve">and agent-scaffold</w:t>
      </w:r>
      <w:r>
        <w:t xml:space="preserve"> </w:t>
      </w:r>
      <w:r>
        <w:t xml:space="preserve">components </w:t>
      </w:r>
      <w:r>
        <w:t xml:space="preserve">(</w:t>
      </w:r>
      <w:hyperlink w:anchor="ref-longcontextdegrade2026">
        <w:r>
          <w:rPr>
            <w:rStyle w:val="Hyperlink"/>
          </w:rPr>
          <w:t xml:space="preserve">Liu 2026</w:t>
        </w:r>
      </w:hyperlink>
      <w:r>
        <w:t xml:space="preserve">)</w:t>
      </w:r>
      <w:r>
        <w:t xml:space="preserve">. We do not claim to discover this genus. Our</w:t>
      </w:r>
      <w:r>
        <w:t xml:space="preserve"> </w:t>
      </w:r>
      <w:r>
        <w:t xml:space="preserve">anti-monotonicity finding contributes its order-theoretic form: a strict</w:t>
      </w:r>
      <w:r>
        <w:t xml:space="preserve"> </w:t>
      </w:r>
      <w:r>
        <w:rPr>
          <w:i/>
          <w:iCs/>
        </w:rPr>
        <w:t xml:space="preserve">superset</w:t>
      </w:r>
      <w:r>
        <w:t xml:space="preserve"> </w:t>
      </w:r>
      <w:r>
        <w:t xml:space="preserve">of a</w:t>
      </w:r>
      <w:r>
        <w:t xml:space="preserve"> </w:t>
      </w:r>
      <w:r>
        <w:t xml:space="preserve">sufficient source, on sources separately</w:t>
      </w:r>
      <w:r>
        <w:t xml:space="preserve"> </w:t>
      </w:r>
      <w:r>
        <w:rPr>
          <w:i/>
          <w:iCs/>
        </w:rPr>
        <w:t xml:space="preserve">certified</w:t>
      </w:r>
      <w:r>
        <w:t xml:space="preserve"> </w:t>
      </w:r>
      <w:r>
        <w:t xml:space="preserve">Blackwell-incomparable, collapses PASS</w:t>
      </w:r>
      <w:r>
        <w:t xml:space="preserve"> </w:t>
      </w:r>
      <w:r>
        <w:t xml:space="preserve">under a per-task interference certificate with position, length, and routing controls; the</w:t>
      </w:r>
      <w:r>
        <w:t xml:space="preserve"> </w:t>
      </w:r>
      <w:r>
        <w:t xml:space="preserve">algebraic object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one no monotone-submodular context-value scalar can carry.</w:t>
      </w:r>
      <w:r>
        <w:t xml:space="preserve"> </w:t>
      </w:r>
      <w:r>
        <w:t xml:space="preserve">Pareto-incomparability of prompts along competing metrics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single</w:t>
      </w:r>
      <w:r>
        <w:t xml:space="preserve"> </w:t>
      </w:r>
      <w:r>
        <w:t xml:space="preserve">task </w:t>
      </w:r>
      <w:r>
        <w:t xml:space="preserve">(</w:t>
      </w:r>
      <w:hyperlink w:anchor="ref-paretoprompts2025">
        <w:r>
          <w:rPr>
            <w:rStyle w:val="Hyperlink"/>
          </w:rPr>
          <w:t xml:space="preserve">Zhao et al. 2025</w:t>
        </w:r>
      </w:hyperlink>
      <w:r>
        <w:t xml:space="preserve">)</w:t>
      </w:r>
      <w:r>
        <w:t xml:space="preserve"> </w:t>
      </w:r>
      <w:r>
        <w:t xml:space="preserve">is orthogonal to our object, incomparable</w:t>
      </w:r>
      <w:r>
        <w:t xml:space="preserve"> </w:t>
      </w:r>
      <w:r>
        <w:rPr>
          <w:i/>
          <w:iCs/>
        </w:rPr>
        <w:t xml:space="preserve">sources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tasks</w:t>
      </w:r>
      <w:r>
        <w:t xml:space="preserve">.</w:t>
      </w:r>
    </w:p>
    <w:bookmarkEnd w:id="20"/>
    <w:bookmarkStart w:id="23" w:name="sec:related-deficiency"/>
    <w:p>
      <w:pPr>
        <w:pStyle w:val="Heading2"/>
      </w:pPr>
      <w:r>
        <w:t xml:space="preserve">The comparison of experiments in machine learning</w:t>
      </w:r>
    </w:p>
    <w:p>
      <w:pPr>
        <w:pStyle w:val="FirstParagraph"/>
      </w:pPr>
      <w:bookmarkStart w:id="21" w:name="sec:related-llmrep"/>
      <w:bookmarkEnd w:id="21"/>
      <w:bookmarkStart w:id="22" w:name="sec:related-foundations"/>
      <w:bookmarkEnd w:id="22"/>
    </w:p>
    <w:p>
      <w:pPr>
        <w:pStyle w:val="BodyText"/>
      </w:pPr>
      <w:r>
        <w:t xml:space="preserve">The Blackwell–Le Cam apparatus has entered machine learning, but never for inference-time</w:t>
      </w:r>
      <w:r>
        <w:t xml:space="preserve"> </w:t>
      </w:r>
      <w:r>
        <w:t xml:space="preserve">context. Closest is training-</w:t>
      </w:r>
      <w:r>
        <w:rPr>
          <w:i/>
          <w:iCs/>
        </w:rPr>
        <w:t xml:space="preserve">dataset</w:t>
      </w:r>
      <w:r>
        <w:t xml:space="preserve"> </w:t>
      </w:r>
      <w:r>
        <w:t xml:space="preserve">valuation:</w:t>
      </w:r>
      <w:r>
        <w:t xml:space="preserve"> </w:t>
      </w:r>
      <w:r>
        <w:t xml:space="preserve">Zheng et al. (</w:t>
      </w:r>
      <w:hyperlink w:anchor="ref-zheng2024pmi">
        <w:r>
          <w:rPr>
            <w:rStyle w:val="Hyperlink"/>
          </w:rPr>
          <w:t xml:space="preserve">2024</w:t>
        </w:r>
      </w:hyperlink>
      <w:r>
        <w:t xml:space="preserve">)</w:t>
      </w:r>
      <w:r>
        <w:t xml:space="preserve"> </w:t>
      </w:r>
      <w:r>
        <w:t xml:space="preserve">rank datasets by</w:t>
      </w:r>
      <w:r>
        <w:t xml:space="preserve"> </w:t>
      </w:r>
      <w:r>
        <w:t xml:space="preserve">Blackwell informativeness and show a pointwise-mutual-information</w:t>
      </w:r>
      <w:r>
        <w:t xml:space="preserve"> </w:t>
      </w:r>
      <w:r>
        <w:rPr>
          <w:i/>
          <w:iCs/>
        </w:rPr>
        <w:t xml:space="preserve">scalar</w:t>
      </w:r>
      <w:r>
        <w:t xml:space="preserve"> </w:t>
      </w:r>
      <w:r>
        <w:t xml:space="preserve">is faithful in</w:t>
      </w:r>
      <w:r>
        <w:t xml:space="preserve"> </w:t>
      </w:r>
      <w:r>
        <w:t xml:space="preserve">their Bayes-optimal, white-box regime, an instructive contrast with ours, where the order is</w:t>
      </w:r>
      <w:r>
        <w:t xml:space="preserve"> </w:t>
      </w:r>
      <w:r>
        <w:t xml:space="preserve">genuinely partial for a fixed rule and no query-independent scalar can be faithful</w:t>
      </w:r>
      <w:r>
        <w:t xml:space="preserve"> </w:t>
      </w:r>
      <w:r>
        <w:t xml:space="preserve">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); they provide no incomparability statement or finite-sample</w:t>
      </w:r>
      <w:r>
        <w:t xml:space="preserve"> </w:t>
      </w:r>
      <w:r>
        <w:t xml:space="preserve">certificate. Garbling has been used to harden LLM evaluations </w:t>
      </w:r>
      <w:r>
        <w:t xml:space="preserve">(</w:t>
      </w:r>
      <w:hyperlink w:anchor="ref-bradley2024garbling">
        <w:r>
          <w:rPr>
            <w:rStyle w:val="Hyperlink"/>
          </w:rPr>
          <w:t xml:space="preserve">Bradley 2024</w:t>
        </w:r>
      </w:hyperlink>
      <w:r>
        <w:t xml:space="preserve">)</w:t>
      </w:r>
      <w:r>
        <w:t xml:space="preserve">;</w:t>
      </w:r>
      <w:r>
        <w:t xml:space="preserve"> </w:t>
      </w:r>
      <w:r>
        <w:t xml:space="preserve">statistical deficiency to order training</w:t>
      </w:r>
      <w:r>
        <w:t xml:space="preserve"> </w:t>
      </w:r>
      <w:r>
        <w:rPr>
          <w:i/>
          <w:iCs/>
        </w:rPr>
        <w:t xml:space="preserve">tasks</w:t>
      </w:r>
      <w:r>
        <w:t xml:space="preserve"> </w:t>
      </w:r>
      <w:r>
        <w:t xml:space="preserve">(</w:t>
      </w:r>
      <w:hyperlink w:anchor="ref-fosse2025">
        <w:r>
          <w:rPr>
            <w:rStyle w:val="Hyperlink"/>
          </w:rPr>
          <w:t xml:space="preserve">Fosse et al. 2025</w:t>
        </w:r>
      </w:hyperlink>
      <w:r>
        <w:t xml:space="preserve">)</w:t>
      </w:r>
      <w:r>
        <w:t xml:space="preserve">; a deficiency-induced</w:t>
      </w:r>
      <w:r>
        <w:t xml:space="preserve"> </w:t>
      </w:r>
      <w:r>
        <w:rPr>
          <w:i/>
          <w:iCs/>
        </w:rPr>
        <w:t xml:space="preserve">directional</w:t>
      </w:r>
      <w:r>
        <w:t xml:space="preserve"> </w:t>
      </w:r>
      <w:r>
        <w:t xml:space="preserve">dominance appears in transfer learning, without an incomparability statement,</w:t>
      </w:r>
      <w:r>
        <w:t xml:space="preserve"> </w:t>
      </w:r>
      <w:r>
        <w:t xml:space="preserve">formal partial order, or distribution-free certificate, and outside language</w:t>
      </w:r>
      <w:r>
        <w:t xml:space="preserve"> </w:t>
      </w:r>
      <w:r>
        <w:t xml:space="preserve">modeling </w:t>
      </w:r>
      <w:r>
        <w:t xml:space="preserve">(</w:t>
      </w:r>
      <w:hyperlink w:anchor="ref-akdemir2025">
        <w:r>
          <w:rPr>
            <w:rStyle w:val="Hyperlink"/>
          </w:rPr>
          <w:t xml:space="preserve">Akdemir 2025</w:t>
        </w:r>
      </w:hyperlink>
      <w:r>
        <w:t xml:space="preserve">)</w:t>
      </w:r>
      <w:r>
        <w:t xml:space="preserve">; and comparison-of-experiments ideas touch loss</w:t>
      </w:r>
      <w:r>
        <w:t xml:space="preserve"> </w:t>
      </w:r>
      <w:r>
        <w:t xml:space="preserve">design </w:t>
      </w:r>
      <w:r>
        <w:t xml:space="preserve">(</w:t>
      </w:r>
      <w:hyperlink w:anchor="ref-vanrooyen2014">
        <w:r>
          <w:rPr>
            <w:rStyle w:val="Hyperlink"/>
          </w:rPr>
          <w:t xml:space="preserve">Rooyen and Williamson 2014</w:t>
        </w:r>
      </w:hyperlink>
      <w:r>
        <w:t xml:space="preserve">)</w:t>
      </w:r>
      <w:r>
        <w:t xml:space="preserve">. Blackwell’s theorems have been surveyed for</w:t>
      </w:r>
      <w:r>
        <w:t xml:space="preserve"> </w:t>
      </w:r>
      <w:r>
        <w:t xml:space="preserve">AI </w:t>
      </w:r>
      <w:r>
        <w:t xml:space="preserve">(</w:t>
      </w:r>
      <w:hyperlink w:anchor="ref-blackwellrep2026">
        <w:r>
          <w:rPr>
            <w:rStyle w:val="Hyperlink"/>
          </w:rPr>
          <w:t xml:space="preserve">Paxton 2026</w:t>
        </w:r>
      </w:hyperlink>
      <w:r>
        <w:t xml:space="preserve">)</w:t>
      </w:r>
      <w:r>
        <w:t xml:space="preserve">, but to our knowledge no prior work states a Blackwell partial order</w:t>
      </w:r>
      <w:r>
        <w:t xml:space="preserve"> </w:t>
      </w:r>
      <w:r>
        <w:t xml:space="preserve">over context sources, derives the no-scalar-ranks consequence for language models, or supplies a</w:t>
      </w:r>
      <w:r>
        <w:t xml:space="preserve"> </w:t>
      </w:r>
      <w:r>
        <w:t xml:space="preserve">certified decision-restricted estimator. The mathematics we rely on is classical: the</w:t>
      </w:r>
      <w:r>
        <w:t xml:space="preserve"> </w:t>
      </w:r>
      <w:r>
        <w:t xml:space="preserve">Blackwell–Sherman–Stein equivalence and deficiency are due to Blackwell and</w:t>
      </w:r>
      <w:r>
        <w:t xml:space="preserve"> </w:t>
      </w:r>
      <w:r>
        <w:t xml:space="preserve">Le Cam </w:t>
      </w:r>
      <w:r>
        <w:t xml:space="preserve">(</w:t>
      </w:r>
      <w:hyperlink w:anchor="ref-blackwell1953">
        <w:r>
          <w:rPr>
            <w:rStyle w:val="Hyperlink"/>
          </w:rPr>
          <w:t xml:space="preserve">Blackwell 1953</w:t>
        </w:r>
      </w:hyperlink>
      <w:r>
        <w:t xml:space="preserve">;</w:t>
      </w:r>
      <w:r>
        <w:t xml:space="preserve"> </w:t>
      </w:r>
      <w:hyperlink w:anchor="ref-lecam1964">
        <w:r>
          <w:rPr>
            <w:rStyle w:val="Hyperlink"/>
          </w:rPr>
          <w:t xml:space="preserve">Le Cam 1964</w:t>
        </w:r>
      </w:hyperlink>
      <w:r>
        <w:t xml:space="preserve">,</w:t>
      </w:r>
      <w:r>
        <w:t xml:space="preserve"> </w:t>
      </w:r>
      <w:hyperlink w:anchor="ref-lecam1986">
        <w:r>
          <w:rPr>
            <w:rStyle w:val="Hyperlink"/>
          </w:rPr>
          <w:t xml:space="preserve">1986</w:t>
        </w:r>
      </w:hyperlink>
      <w:r>
        <w:t xml:space="preserve">)</w:t>
      </w:r>
      <w:r>
        <w:t xml:space="preserve">, with Torgersen’s monograph as the canonical</w:t>
      </w:r>
      <w:r>
        <w:t xml:space="preserve"> </w:t>
      </w:r>
      <w:r>
        <w:t xml:space="preserve">reference, and the fact that the order is a non-lattice partial order with genuinely incomparable</w:t>
      </w:r>
      <w:r>
        <w:t xml:space="preserve"> </w:t>
      </w:r>
      <w:r>
        <w:t xml:space="preserve">pairs is classical as well </w:t>
      </w:r>
      <w:r>
        <w:t xml:space="preserve">(</w:t>
      </w:r>
      <w:hyperlink w:anchor="ref-torgersen1991">
        <w:r>
          <w:rPr>
            <w:rStyle w:val="Hyperlink"/>
          </w:rPr>
          <w:t xml:space="preserve">Torgersen 1991</w:t>
        </w:r>
      </w:hyperlink>
      <w:r>
        <w:t xml:space="preserve">)</w:t>
      </w:r>
      <w:r>
        <w:t xml:space="preserve">. 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is,</w:t>
      </w:r>
      <w:r>
        <w:t xml:space="preserve"> </w:t>
      </w:r>
      <w:r>
        <w:t xml:space="preserve">mathematically, a short corollary of Blackwell’s theorem applied to a constructed pair of decision</w:t>
      </w:r>
      <w:r>
        <w:t xml:space="preserve"> </w:t>
      </w:r>
      <w:r>
        <w:t xml:space="preserve">problems; we state it as an application-level result about language-model context, not as new</w:t>
      </w:r>
      <w:r>
        <w:t xml:space="preserve"> </w:t>
      </w:r>
      <w:r>
        <w:t xml:space="preserve">structure in the order. The genuinely new pieces are the framing, the surrogate, and the</w:t>
      </w:r>
      <w:r>
        <w:t xml:space="preserve"> </w:t>
      </w:r>
      <w:r>
        <w:t xml:space="preserve">certificate.</w:t>
      </w:r>
    </w:p>
    <w:bookmarkEnd w:id="23"/>
    <w:bookmarkEnd w:id="24"/>
    <w:bookmarkStart w:id="31" w:name="sec:formalization"/>
    <w:p>
      <w:pPr>
        <w:pStyle w:val="Heading1"/>
      </w:pPr>
      <w:r>
        <w:t xml:space="preserve">Formalization</w:t>
      </w:r>
    </w:p>
    <w:p>
      <w:pPr>
        <w:pStyle w:val="FirstParagraph"/>
      </w:pPr>
      <w:r>
        <w:t xml:space="preserve">We model the choice of</w:t>
      </w:r>
      <w:r>
        <w:t xml:space="preserve"> </w:t>
      </w:r>
      <w:r>
        <w:rPr>
          <w:i/>
          <w:iCs/>
        </w:rPr>
        <w:t xml:space="preserve">what context to supply</w:t>
      </w:r>
      <w:r>
        <w:t xml:space="preserve"> </w:t>
      </w:r>
      <w:r>
        <w:t xml:space="preserve">a language model as a comparison of</w:t>
      </w:r>
      <w:r>
        <w:t xml:space="preserve"> </w:t>
      </w:r>
      <w:r>
        <w:t xml:space="preserve">statistical experiments on the task’s latent requirement. This section fixes the objects and,</w:t>
      </w:r>
      <w:r>
        <w:t xml:space="preserve"> </w:t>
      </w:r>
      <w:r>
        <w:t xml:space="preserve">crucially, separates two decision rules that the informal literature silently</w:t>
      </w:r>
      <w:r>
        <w:t xml:space="preserve"> </w:t>
      </w:r>
      <w:r>
        <w:t xml:space="preserve">conflates: the</w:t>
      </w:r>
      <w:r>
        <w:t xml:space="preserve"> </w:t>
      </w:r>
      <w:r>
        <w:rPr>
          <w:i/>
          <w:iCs/>
        </w:rPr>
        <w:t xml:space="preserve">Bayes-optimal</w:t>
      </w:r>
      <w:r>
        <w:t xml:space="preserve"> </w:t>
      </w:r>
      <w:r>
        <w:t xml:space="preserve">rule, against which the classical</w:t>
      </w:r>
      <w:r>
        <w:t xml:space="preserve"> </w:t>
      </w:r>
      <w:r>
        <w:t xml:space="preserve">Blackwell order is defined, and the</w:t>
      </w:r>
      <w:r>
        <w:t xml:space="preserve"> </w:t>
      </w:r>
      <w:r>
        <w:rPr>
          <w:i/>
          <w:iCs/>
        </w:rPr>
        <w:t xml:space="preserve">fixed model</w:t>
      </w:r>
      <w:r>
        <w:t xml:space="preserve"> </w:t>
      </w:r>
      <w:r>
        <w:t xml:space="preserve">rule, which is the object every empirical</w:t>
      </w:r>
      <w:r>
        <w:t xml:space="preserve"> </w:t>
      </w:r>
      <w:r>
        <w:t xml:space="preserve">quantity in this paper actually measures. Keeping these distinct is what makes the bridge from</w:t>
      </w:r>
      <w:r>
        <w:t xml:space="preserve"> </w:t>
      </w:r>
      <w:r>
        <w:t xml:space="preserve">theorem to experiment rigorous.</w:t>
      </w:r>
    </w:p>
    <w:bookmarkStart w:id="27" w:name="X73e69b8a1a604fddcc6e5ed9b89d5c624a51ec4"/>
    <w:p>
      <w:pPr>
        <w:pStyle w:val="Heading2"/>
      </w:pPr>
      <w:r>
        <w:t xml:space="preserve">Tasks, latent requirements, and context sources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fixes a latent requirement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, the object a deterministic verifier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checks (e.g. the intended program behaviour). We take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to be a</w:t>
      </w:r>
      <w:r>
        <w:t xml:space="preserve"> </w:t>
      </w:r>
      <w:r>
        <w:rPr>
          <w:i/>
          <w:iCs/>
        </w:rPr>
        <w:t xml:space="preserve">vector of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∈</m:t>
          </m:r>
          <m:r>
            <m:t> </m:t>
          </m:r>
          <m:r>
            <m:rPr>
              <m:scr m:val="script"/>
              <m:sty m:val="p"/>
            </m:rPr>
            <m:t>S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 coordinate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encodes one logically independent requirement (in our instantiation,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private call-contract convention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private wire-encoding convention;</w:t>
      </w:r>
      <w:r>
        <w:t xml:space="preserve"> </w:t>
      </w:r>
      <w:r>
        <w:t xml:space="preserve">see 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). Modelling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a product of coordinates, rather than an</w:t>
      </w:r>
      <w:r>
        <w:t xml:space="preserve"> </w:t>
      </w:r>
      <w:r>
        <w:t xml:space="preserve">opaque atom, is the technical device that makes the experiment model well posed for</w:t>
      </w:r>
      <w:r>
        <w:t xml:space="preserve"> </w:t>
      </w:r>
      <w:r>
        <w:t xml:space="preserve">fixed-string sources; we return to this in §</w:t>
      </w:r>
      <w:hyperlink w:anchor="subsec:sources">
        <w:r>
          <w:rPr>
            <w:rStyle w:val="Hyperlink"/>
          </w:rPr>
          <w:t xml:space="preserve">3.2</w:t>
        </w:r>
      </w:hyperlink>
      <w:r>
        <w:t xml:space="preserve"> </w:t>
      </w:r>
      <w:r>
        <w:t xml:space="preserve">and Lemma </w:t>
      </w:r>
      <w:hyperlink w:anchor="lem:noref">
        <w:r>
          <w:rPr>
            <w:rStyle w:val="Hyperlink"/>
          </w:rPr>
          <w:t xml:space="preserve">1</w:t>
        </w:r>
      </w:hyperlink>
      <w:r>
        <w:t xml:space="preserve">.</w:t>
      </w:r>
    </w:p>
    <w:bookmarkStart w:id="25" w:name="def:source"/>
    <w:p>
      <w:pPr>
        <w:pStyle w:val="BodyText"/>
      </w:pPr>
      <w:r>
        <w:rPr>
          <w:b/>
          <w:bCs/>
        </w:rPr>
        <w:t xml:space="preserve">Definition 1</w:t>
      </w:r>
      <w:r>
        <w:t xml:space="preserve"> </w:t>
      </w:r>
      <w:r>
        <w:t xml:space="preserve">(Context source as an experiment).</w:t>
      </w:r>
      <w:r>
        <w:t xml:space="preserve"> 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context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a Markov kernel</w:t>
      </w:r>
      <w:r>
        <w:t xml:space="preserve"> </w:t>
      </w:r>
      <m:oMath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cr m:val="script"/>
            <m:sty m:val="p"/>
          </m:rP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 a statistical experiment indexed by the latent parameter</w:t>
      </w:r>
      <w:r>
        <w:t xml:space="preserve"> </w:t>
      </w:r>
      <m:oMath>
        <m:r>
          <m:t>S</m:t>
        </m:r>
      </m:oMath>
      <w:r>
        <w:t xml:space="preserve">, emitting a signal</w:t>
      </w:r>
      <w:r>
        <w:t xml:space="preserve"> </w:t>
      </w:r>
      <m:oMath>
        <m:r>
          <m:t>w</m:t>
        </m:r>
        <m:r>
          <m:rPr>
            <m:sty m:val="p"/>
          </m:rPr>
          <m:t>∼</m:t>
        </m:r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 a signal alphabet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(the source’s text). The</w:t>
      </w:r>
      <w:r>
        <w:t xml:space="preserve"> </w:t>
      </w:r>
      <w:r>
        <w:t xml:space="preserve">experiment is identified with its kernel; the sample space is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and the observed</w:t>
      </w:r>
      <w:r>
        <w:t xml:space="preserve"> </w:t>
      </w:r>
      <w:r>
        <w:t xml:space="preserve">datum is the supplied text</w:t>
      </w:r>
      <w:r>
        <w:t xml:space="preserve"> </w:t>
      </w:r>
      <m:oMath>
        <m:r>
          <m:t>w</m:t>
        </m:r>
      </m:oMath>
      <w:r>
        <w:t xml:space="preserve">.</w:t>
      </w:r>
    </w:p>
    <w:bookmarkEnd w:id="25"/>
    <w:bookmarkStart w:id="26" w:name="def:decision"/>
    <w:p>
      <w:pPr>
        <w:pStyle w:val="BodyText"/>
      </w:pPr>
      <w:r>
        <w:rPr>
          <w:b/>
          <w:bCs/>
        </w:rPr>
        <w:t xml:space="preserve">Definition 2</w:t>
      </w:r>
      <w:r>
        <w:t xml:space="preserve"> </w:t>
      </w:r>
      <w:r>
        <w:t xml:space="preserve">(Decision rules and PASS).</w:t>
      </w:r>
      <w:r>
        <w:t xml:space="preserve"> 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decision rule</w:t>
      </w:r>
      <w:r>
        <w:t xml:space="preserve"> </w:t>
      </w:r>
      <w:r>
        <w:t xml:space="preserve">is a (possibly randomized) map</w:t>
      </w:r>
      <w:r>
        <w:t xml:space="preserve"> </w:t>
      </w:r>
      <m:oMath>
        <m:r>
          <m:t>δ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↦</m:t>
        </m:r>
        <m:acc>
          <m:accPr>
            <m:chr m:val="̂"/>
          </m:accPr>
          <m:e>
            <m:r>
              <m:t>S</m:t>
            </m:r>
          </m:e>
        </m:acc>
      </m:oMath>
      <w:r>
        <w:t xml:space="preserve"> </w:t>
      </w:r>
      <w:r>
        <w:t xml:space="preserve">producing a candidate solution. Utility is the binary verifier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. Two decision rules matter:</w:t>
      </w:r>
    </w:p>
    <w:p>
      <w:pPr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realized by a fixed language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 fixed</w:t>
      </w:r>
      <w:r>
        <w:t xml:space="preserve"> </w:t>
      </w:r>
      <w:r>
        <w:t xml:space="preserve">decoding configuration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(model weights and sampling parameters; see</w:t>
      </w:r>
      <w:r>
        <w:t xml:space="preserve"> </w:t>
      </w:r>
      <w:r>
        <w:t xml:space="preserve">§</w:t>
      </w:r>
      <w:hyperlink w:anchor="subsec:theta">
        <w:r>
          <w:rPr>
            <w:rStyle w:val="Hyperlink"/>
          </w:rPr>
          <w:t xml:space="preserve">3.3</w:t>
        </w:r>
      </w:hyperlink>
      <w:r>
        <w:t xml:space="preserve">). Its realized pass rate on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under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 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w</m:t>
          </m:r>
          <m:r>
            <m:rPr>
              <m:sty m:val="p"/>
            </m:rPr>
            <m:t>∼</m:t>
          </m:r>
          <m:sSub>
            <m:e>
              <m:r>
                <m:t>κ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;</m:t>
          </m:r>
        </m:oMath>
      </m:oMathPara>
    </w:p>
    <w:p>
      <w:pPr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Bayes rule</w:t>
      </w:r>
      <w:r>
        <w:t xml:space="preserve"> </w:t>
      </w:r>
      <m:oMath>
        <m:sSubSup>
          <m:e>
            <m:r>
              <m:t>δ</m:t>
            </m:r>
          </m:e>
          <m:sub>
            <m:r>
              <m:t>T</m:t>
            </m:r>
          </m:sub>
          <m:sup>
            <m:r>
              <m:rPr>
                <m:sty m:val="p"/>
              </m:rPr>
              <m:t>⋆</m:t>
            </m:r>
          </m:sup>
        </m:sSubSup>
      </m:oMath>
      <w:r>
        <w:t xml:space="preserve">, the (utility-optimal) decision rule for</w:t>
      </w:r>
      <w:r>
        <w:t xml:space="preserve"> </w:t>
      </w:r>
      <w:r>
        <w:t xml:space="preserve">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given a prior over</w:t>
      </w:r>
      <w:r>
        <w:t xml:space="preserve"> </w:t>
      </w:r>
      <m:oMath>
        <m:r>
          <m:t>S</m:t>
        </m:r>
      </m:oMath>
      <w:r>
        <w:t xml:space="preserve">, achieving the optimal value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ty m:val="p"/>
              </m:rPr>
              <m:t>sup</m:t>
            </m:r>
          </m:e>
          <m:sub>
            <m:r>
              <m:t>δ</m:t>
            </m:r>
          </m:sub>
        </m:sSub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δ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"/>
    <w:p>
      <w:pPr>
        <w:pStyle w:val="FirstParagraph"/>
      </w:pPr>
      <w:r>
        <w:t xml:space="preserve">The distinction in Definition </w:t>
      </w:r>
      <w:hyperlink w:anchor="def:decision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is load-bearing. Blackwell’s theorem</w:t>
      </w:r>
      <w:r>
        <w:t xml:space="preserve"> </w:t>
      </w:r>
      <w:r>
        <w:t xml:space="preserve">(§</w:t>
      </w:r>
      <w:hyperlink w:anchor="sec:order">
        <w:r>
          <w:rPr>
            <w:rStyle w:val="Hyperlink"/>
          </w:rPr>
          <w:t xml:space="preserve">4</w:t>
        </w:r>
      </w:hyperlink>
      <w:r>
        <w:t xml:space="preserve">) is a statement about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(the optimal user of an experiment); every</w:t>
      </w:r>
      <w:r>
        <w:t xml:space="preserve"> </w:t>
      </w:r>
      <w:r>
        <w:t xml:space="preserve">number we report,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, the deficiency estimator of §</w:t>
      </w:r>
      <w:hyperlink w:anchor="sec:estimator">
        <w:r>
          <w:rPr>
            <w:rStyle w:val="Hyperlink"/>
          </w:rPr>
          <w:t xml:space="preserve">6</w:t>
        </w:r>
      </w:hyperlink>
      <w:r>
        <w:t xml:space="preserve">, the</w:t>
      </w:r>
      <w:r>
        <w:t xml:space="preserve"> </w:t>
      </w:r>
      <w:r>
        <w:t xml:space="preserve">interference statistic of §</w:t>
      </w:r>
      <w:hyperlink w:anchor="subsec:interference">
        <w:r>
          <w:rPr>
            <w:rStyle w:val="Hyperlink"/>
          </w:rPr>
          <w:t xml:space="preserve">6.3</w:t>
        </w:r>
      </w:hyperlink>
      <w:r>
        <w:t xml:space="preserve">, and the entire six-model program of</w:t>
      </w:r>
      <w:r>
        <w:t xml:space="preserve"> </w:t>
      </w:r>
      <w:r>
        <w:t xml:space="preserve">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, is a statement about the single fixed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We therefore</w:t>
      </w:r>
      <w:r>
        <w:t xml:space="preserve"> </w:t>
      </w:r>
      <w:r>
        <w:t xml:space="preserve">develop the order in two registers and prove an explicit bridge between them</w:t>
      </w:r>
      <w:r>
        <w:t xml:space="preserve"> </w:t>
      </w:r>
      <w:r>
        <w:t xml:space="preserve">(Lemma </w:t>
      </w:r>
      <w:hyperlink w:anchor="lem:bridge">
        <w:r>
          <w:rPr>
            <w:rStyle w:val="Hyperlink"/>
          </w:rPr>
          <w:t xml:space="preserve">2</w:t>
        </w:r>
      </w:hyperlink>
      <w:r>
        <w:t xml:space="preserve">).</w:t>
      </w:r>
    </w:p>
    <w:bookmarkEnd w:id="27"/>
    <w:bookmarkStart w:id="29" w:name="subsec:sources"/>
    <w:p>
      <w:pPr>
        <w:pStyle w:val="Heading2"/>
      </w:pPr>
      <w:r>
        <w:t xml:space="preserve">Sources as deterministic projection experiments</w:t>
      </w:r>
    </w:p>
    <w:p>
      <w:pPr>
        <w:pStyle w:val="FirstParagraph"/>
      </w:pPr>
      <w:r>
        <w:t xml:space="preserve">In our instantiation each context source is a</w:t>
      </w:r>
      <w:r>
        <w:t xml:space="preserve"> </w:t>
      </w:r>
      <w:r>
        <w:rPr>
          <w:i/>
          <w:iCs/>
        </w:rPr>
        <w:t xml:space="preserve">fixed string</w:t>
      </w:r>
      <w:r>
        <w:t xml:space="preserve">: a snippet stating the</w:t>
      </w:r>
      <w:r>
        <w:t xml:space="preserve"> </w:t>
      </w:r>
      <w:r>
        <w:t xml:space="preserve">private call contract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), or the private wire-encoding invariant (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). A naive reading</w:t>
      </w:r>
      <w:r>
        <w:t xml:space="preserve"> </w:t>
      </w:r>
      <w:r>
        <w:t xml:space="preserve">treats</w:t>
      </w:r>
      <w:r>
        <w:t xml:space="preserve"> </w:t>
      </w:r>
      <m:oMath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as a constant kernel</w:t>
      </w:r>
      <w:r>
        <w:t xml:space="preserve"> </w:t>
      </w:r>
      <m:oMath>
        <m:sSub>
          <m:e>
            <m:r>
              <m:t>δ</m:t>
            </m:r>
          </m:e>
          <m:sub>
            <m:sSub>
              <m:e>
                <m:r>
                  <m:t>w</m:t>
                </m:r>
              </m:e>
              <m:sub>
                <m:r>
                  <m:t>0</m:t>
                </m:r>
              </m:sub>
            </m:sSub>
          </m:sub>
        </m:sSub>
      </m:oMath>
      <w:r>
        <w:t xml:space="preserve"> </w:t>
      </w:r>
      <w:r>
        <w:t xml:space="preserve">independent of</w:t>
      </w:r>
      <w:r>
        <w:t xml:space="preserve"> </w:t>
      </w:r>
      <m:oMath>
        <m:r>
          <m:t>S</m:t>
        </m:r>
      </m:oMath>
      <w:r>
        <w:t xml:space="preserve">. That</w:t>
      </w:r>
      <w:r>
        <w:t xml:space="preserve"> </w:t>
      </w:r>
      <w:r>
        <w:t xml:space="preserve">reading is degenerate: a constant kernel is Blackwell-equivalent to the null experiment, carries</w:t>
      </w:r>
      <w:r>
        <w:t xml:space="preserve"> </w:t>
      </w:r>
      <w:r>
        <w:t xml:space="preserve">zero information, and induces the trivial</w:t>
      </w:r>
      <w:r>
        <w:t xml:space="preserve"> </w:t>
      </w:r>
      <m:oMath>
        <m:r>
          <m:t>σ</m:t>
        </m:r>
      </m:oMath>
      <w:r>
        <w:t xml:space="preserve">-algebra, which would make any garbling argument</w:t>
      </w:r>
      <w:r>
        <w:t xml:space="preserve"> </w:t>
      </w:r>
      <w:r>
        <w:t xml:space="preserve">vacuous. We avoid this by modelling each fixed source as a</w:t>
      </w:r>
      <w:r>
        <w:t xml:space="preserve"> </w:t>
      </w:r>
      <w:r>
        <w:rPr>
          <w:i/>
          <w:iCs/>
        </w:rPr>
        <w:t xml:space="preserve">deterministic experiment that</w:t>
      </w:r>
      <w:r>
        <w:rPr>
          <w:i/>
          <w:iCs/>
        </w:rPr>
        <w:t xml:space="preserve"> </w:t>
      </w:r>
      <w:r>
        <w:rPr>
          <w:i/>
          <w:iCs/>
        </w:rPr>
        <w:t xml:space="preserve">observes a projection of the coordinate vector</w:t>
      </w:r>
      <w:r>
        <w:t xml:space="preserve"> </w:t>
      </w:r>
      <w:hyperlink w:anchor="eq:coordinates">
        <w:r>
          <w:rPr>
            <w:rStyle w:val="Hyperlink"/>
          </w:rPr>
          <w:t xml:space="preserve">[eq:coordinates]</w:t>
        </w:r>
      </w:hyperlink>
      <w:r>
        <w:t xml:space="preserve">.</w:t>
      </w:r>
    </w:p>
    <w:bookmarkStart w:id="28" w:name="def:projection"/>
    <w:p>
      <w:pPr>
        <w:pStyle w:val="BodyText"/>
      </w:pPr>
      <w:r>
        <w:rPr>
          <w:b/>
          <w:bCs/>
        </w:rPr>
        <w:t xml:space="preserve">Definition 3</w:t>
      </w:r>
      <w:r>
        <w:t xml:space="preserve"> </w:t>
      </w:r>
      <w:r>
        <w:t xml:space="preserve">(Projection sources).</w:t>
      </w:r>
      <w:r>
        <w:t xml:space="preserve"> </w:t>
      </w:r>
      <w:r>
        <w:t xml:space="preserve"> </w:t>
      </w:r>
      <w:r>
        <w:t xml:space="preserve">A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reveals the coordinates indexed by a</w:t>
      </w:r>
      <w:r>
        <w:t xml:space="preserve"> </w:t>
      </w:r>
      <w:r>
        <w:t xml:space="preserve">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deterministic kernel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κ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δ</m:t>
              </m:r>
            </m:e>
            <m:sub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i.e. supplying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lets a decision-maker condition on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 on nothing outside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W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sub-</w:t>
      </w:r>
      <m:oMath>
        <m:r>
          <m:t>σ</m:t>
        </m:r>
      </m:oMath>
      <w:r>
        <w:t xml:space="preserve">-algebra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generated by</w:t>
      </w:r>
      <w:r>
        <w:t xml:space="preserve"> </w:t>
      </w:r>
      <w:r>
        <w:t xml:space="preserve">the projection. In our instantiation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reveals coordinate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call contract,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  <w:r>
        <w:t xml:space="preserve">),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reveals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(the wire invariant,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}</m:t>
        </m:r>
      </m:oMath>
      <w:r>
        <w:t xml:space="preserve">), and the superset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reveals both (</w:t>
      </w:r>
      <m:oMath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).</w:t>
      </w:r>
    </w:p>
    <w:bookmarkEnd w:id="28"/>
    <w:p>
      <w:pPr>
        <w:pStyle w:val="BodyText"/>
      </w:pPr>
      <w:r>
        <w:t xml:space="preserve">Under Definition </w:t>
      </w:r>
      <w:hyperlink w:anchor="def:project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 fixed string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uninformative constant: it</w:t>
      </w:r>
      <w:r>
        <w:t xml:space="preserve"> </w:t>
      </w:r>
      <w:r>
        <w:t xml:space="preserve">is a deterministic experiment whose informativeness is exactly the resolving power of its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W</m:t>
            </m:r>
          </m:sub>
        </m:sSub>
      </m:oMath>
      <w:r>
        <w:t xml:space="preserve">. The signal alphabet is the range of the projection, and the text</w:t>
      </w:r>
      <w:r>
        <w:t xml:space="preserve"> </w:t>
      </w:r>
      <w:r>
        <w:t xml:space="preserve">“varies with the task”</w:t>
      </w:r>
      <w:r>
        <w:t xml:space="preserve"> </w:t>
      </w:r>
      <w:r>
        <w:t xml:space="preserve">precisely because the realized coordinate values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differ</w:t>
      </w:r>
      <w:r>
        <w:t xml:space="preserve"> </w:t>
      </w:r>
      <w:r>
        <w:t xml:space="preserve">across task instances</w:t>
      </w:r>
      <w:r>
        <w:t xml:space="preserve"> </w:t>
      </w:r>
      <m:oMath>
        <m:r>
          <m:t>T</m:t>
        </m:r>
      </m:oMath>
      <w:r>
        <w:t xml:space="preserve">. This is the well-posed reading that makes the comparison of</w:t>
      </w:r>
      <w:r>
        <w:t xml:space="preserve"> </w:t>
      </w:r>
      <w:r>
        <w:t xml:space="preserve">§</w:t>
      </w:r>
      <w:hyperlink w:anchor="sec:order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a comparison of experiments rather than a metaphor, and it is what a</w:t>
      </w:r>
      <w:r>
        <w:t xml:space="preserve"> </w:t>
      </w:r>
      <w:r>
        <w:t xml:space="preserve">rigorous treatment of deterministic sources requires </w:t>
      </w:r>
      <w:r>
        <w:t xml:space="preserve">(</w:t>
      </w:r>
      <w:hyperlink w:anchor="ref-torgersen1991">
        <w:r>
          <w:rPr>
            <w:rStyle w:val="Hyperlink"/>
          </w:rPr>
          <w:t xml:space="preserve">Torgersen 1991</w:t>
        </w:r>
      </w:hyperlink>
      <w:r>
        <w:t xml:space="preserve">)</w:t>
      </w:r>
      <w:r>
        <w:t xml:space="preserve">.</w:t>
      </w:r>
    </w:p>
    <w:bookmarkEnd w:id="29"/>
    <w:bookmarkStart w:id="30" w:name="subsec:theta"/>
    <w:p>
      <w:pPr>
        <w:pStyle w:val="Heading2"/>
      </w:pPr>
      <w:r>
        <w:t xml:space="preserve">The conditioning parameter</w:t>
      </w:r>
      <w:r>
        <w:t xml:space="preserve"> </w:t>
      </w:r>
      <m:oMath>
        <m:r>
          <m:t>θ</m:t>
        </m:r>
      </m:oMath>
    </w:p>
    <w:p>
      <w:pPr>
        <w:pStyle w:val="FirstParagraph"/>
      </w:pPr>
      <w:r>
        <w:t xml:space="preserve">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carries an implicit parameter</w:t>
      </w:r>
      <w:r>
        <w:t xml:space="preserve"> </w:t>
      </w:r>
      <m:oMath>
        <m:r>
          <m:t>θ</m:t>
        </m:r>
      </m:oMath>
      <w:r>
        <w:t xml:space="preserve">: the model’s weights and decoding</w:t>
      </w:r>
      <w:r>
        <w:t xml:space="preserve"> </w:t>
      </w:r>
      <w:r>
        <w:t xml:space="preserve">configuration, equivalently its</w:t>
      </w:r>
      <w:r>
        <w:t xml:space="preserve"> </w:t>
      </w:r>
      <w:r>
        <w:rPr>
          <w:i/>
          <w:iCs/>
        </w:rPr>
        <w:t xml:space="preserve">prior over conventions</w:t>
      </w:r>
      <w:r>
        <w:t xml:space="preserve"> </w:t>
      </w:r>
      <w:r>
        <w:t xml:space="preserve">acquired in pretraining. We write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model-relative value of a private source, the information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supplies</w:t>
      </w:r>
      <w:r>
        <w:t xml:space="preserve"> </w:t>
      </w:r>
      <w:r>
        <w:rPr>
          <w:i/>
          <w:iCs/>
        </w:rPr>
        <w:t xml:space="preserve">beyond what</w:t>
      </w:r>
      <w:r>
        <w:rPr>
          <w:i/>
          <w:iCs/>
        </w:rPr>
        <w:t xml:space="preserve"> </w:t>
      </w:r>
      <m:oMath>
        <m:r>
          <m:t>θ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already encodes</w:t>
      </w:r>
      <w:r>
        <w:t xml:space="preserve">. 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already</w:t>
      </w:r>
      <w:r>
        <w:t xml:space="preserve"> </w:t>
      </w:r>
      <w:r>
        <w:t xml:space="preserve">“knows”</w:t>
      </w:r>
      <w:r>
        <w:t xml:space="preserve"> </w:t>
      </w:r>
      <w:r>
        <w:t xml:space="preserve">a convention</w:t>
      </w:r>
      <w:r>
        <w:t xml:space="preserve"> </w:t>
      </w:r>
      <w:r>
        <w:t xml:space="preserve">(the model can guess it without the source),</w:t>
      </w:r>
      <w:r>
        <w:t xml:space="preserve"> </w:t>
      </w:r>
      <m:oMath>
        <m:r>
          <m:t>W</m:t>
        </m:r>
      </m:oMath>
      <w:r>
        <w:t xml:space="preserve">’s marginal value collapses; when the convention is genuinely unknown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maximally valuable. This</w:t>
      </w:r>
      <w:r>
        <w:t xml:space="preserve"> </w:t>
      </w:r>
      <m:oMath>
        <m:r>
          <m:t>θ</m:t>
        </m:r>
      </m:oMath>
      <w:r>
        <w:t xml:space="preserve">-dependence is not a nuisance: it is</w:t>
      </w:r>
      <w:r>
        <w:t xml:space="preserve"> </w:t>
      </w:r>
      <w:r>
        <w:t xml:space="preserve">the formal home of the</w:t>
      </w:r>
      <w:r>
        <w:t xml:space="preserve"> </w:t>
      </w:r>
      <w:r>
        <w:rPr>
          <w:i/>
          <w:iCs/>
        </w:rPr>
        <w:t xml:space="preserve">model-relative value of private context</w:t>
      </w:r>
      <w:r>
        <w:t xml:space="preserve"> </w:t>
      </w:r>
      <w:r>
        <w:t xml:space="preserve">measured in</w:t>
      </w:r>
      <w:r>
        <w:t xml:space="preserve"> </w:t>
      </w:r>
      <w:r>
        <w:t xml:space="preserve">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, where the guessability of a fixed convention spans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vendors. Throughout, all realized-PASS quantities are implicitly indexed by</w:t>
      </w:r>
      <w:r>
        <w:t xml:space="preserve"> </w:t>
      </w:r>
      <m:oMath>
        <m:r>
          <m:t>θ</m:t>
        </m:r>
      </m:oMath>
      <w:r>
        <w:t xml:space="preserve">; we suppress</w:t>
      </w:r>
      <w:r>
        <w:t xml:space="preserve"> </w:t>
      </w:r>
      <w:r>
        <w:t xml:space="preserve">it except where the model-relativity is the point.</w:t>
      </w:r>
    </w:p>
    <w:bookmarkEnd w:id="30"/>
    <w:bookmarkEnd w:id="31"/>
    <w:bookmarkStart w:id="43" w:name="sec:order"/>
    <w:p>
      <w:pPr>
        <w:pStyle w:val="Heading1"/>
      </w:pPr>
      <w:r>
        <w:t xml:space="preserve">The Blackwell order over context sources</w:t>
      </w:r>
    </w:p>
    <w:bookmarkStart w:id="36" w:name="the-order-and-its-two-registers"/>
    <w:p>
      <w:pPr>
        <w:pStyle w:val="Heading2"/>
      </w:pPr>
      <w:r>
        <w:t xml:space="preserve">The order and its two registers</w:t>
      </w:r>
    </w:p>
    <w:bookmarkStart w:id="32" w:name="def:blackwell"/>
    <w:p>
      <w:pPr>
        <w:pStyle w:val="FirstParagraph"/>
      </w:pPr>
      <w:r>
        <w:rPr>
          <w:b/>
          <w:bCs/>
        </w:rPr>
        <w:t xml:space="preserve">Definition 4</w:t>
      </w:r>
      <w:r>
        <w:t xml:space="preserve"> </w:t>
      </w:r>
      <w:r>
        <w:t xml:space="preserve">(Garbling order).</w:t>
      </w:r>
      <w:r>
        <w:t xml:space="preserve"> 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Blackwell-dominates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 iff there is a Markov kernel</w:t>
      </w:r>
      <w:r>
        <w:t xml:space="preserve"> </w:t>
      </w:r>
      <w:r>
        <w:t xml:space="preserve">(garbling)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Δ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</m:oMath>
      <w:r>
        <w:t xml:space="preserve">;</w:t>
      </w:r>
      <w:r>
        <w:t xml:space="preserve"> </w:t>
      </w:r>
      <w:r>
        <w:t xml:space="preserve">i.e. 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is a noised, post-processed version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’s, computable from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</w:t>
      </w:r>
      <w:r>
        <w:t xml:space="preserve"> </w:t>
      </w:r>
      <w:r>
        <w:t xml:space="preserve">alone without further access to</w:t>
      </w:r>
      <w:r>
        <w:t xml:space="preserve"> </w:t>
      </w:r>
      <m:oMath>
        <m:r>
          <m:t>S</m:t>
        </m:r>
      </m:oMath>
      <w:r>
        <w:t xml:space="preserve">.</w:t>
      </w:r>
    </w:p>
    <w:bookmarkEnd w:id="32"/>
    <w:p>
      <w:pPr>
        <w:pStyle w:val="BodyText"/>
      </w:pPr>
      <w:r>
        <w:t xml:space="preserve">The classical content of the order is the Blackwell–Sherman–Stein theorem, which we state with</w:t>
      </w:r>
      <w:r>
        <w:t xml:space="preserve"> </w:t>
      </w:r>
      <w:r>
        <w:t xml:space="preserve">hypotheses for a self-contained treatment.</w:t>
      </w:r>
    </w:p>
    <w:bookmarkStart w:id="33" w:name="thm:blackwell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(Blackwell–Sherman–Stein; universal dominance for the optimal rule).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experiments on a common parameter space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S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standard Borel signal</w:t>
      </w:r>
      <w:r>
        <w:rPr>
          <w:i/>
          <w:iCs/>
        </w:rPr>
        <w:t xml:space="preserve"> </w:t>
      </w:r>
      <w:r>
        <w:rPr>
          <w:i/>
          <w:iCs/>
        </w:rPr>
        <w:t xml:space="preserve">spaces. The following are equivalent:</w:t>
      </w:r>
    </w:p>
    <w:p>
      <w:pPr>
        <w:numPr>
          <w:ilvl w:val="0"/>
          <w:numId w:val="1004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</w:t>
      </w:r>
      <w:hyperlink w:anchor="def:blackwell">
        <w:r>
          <w:rPr>
            <w:rStyle w:val="Hyperlink"/>
            <w:i/>
            <w:iCs/>
          </w:rPr>
          <w:t xml:space="preserve">4</w:t>
        </w:r>
      </w:hyperlink>
      <w:r>
        <w:rPr>
          <w:i/>
          <w:iCs/>
        </w:rPr>
        <w:t xml:space="preserve">);</w:t>
      </w:r>
    </w:p>
    <w:p>
      <w:pPr>
        <w:numPr>
          <w:ilvl w:val="0"/>
          <w:numId w:val="1004"/>
        </w:numPr>
      </w:pPr>
      <w:r>
        <w:rPr>
          <w:i/>
          <w:iCs/>
        </w:rPr>
        <w:t xml:space="preserve">for every prior</w:t>
      </w:r>
      <w:r>
        <w:rPr>
          <w:i/>
          <w:iCs/>
        </w:rPr>
        <w:t xml:space="preserve"> </w:t>
      </w: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S</m:t>
        </m:r>
      </m:oMath>
      <w:r>
        <w:rPr>
          <w:i/>
          <w:iCs/>
        </w:rPr>
        <w:t xml:space="preserve">, every finite decision space, and every</w:t>
      </w:r>
      <w:r>
        <w:rPr>
          <w:i/>
          <w:iCs/>
        </w:rPr>
        <w:t xml:space="preserve"> </w:t>
      </w:r>
      <w:r>
        <w:rPr>
          <w:i/>
          <w:iCs/>
        </w:rPr>
        <w:t xml:space="preserve">bounded loss</w:t>
      </w:r>
      <w:r>
        <w:rPr>
          <w:i/>
          <w:iCs/>
        </w:rPr>
        <w:t xml:space="preserve"> </w:t>
      </w:r>
      <m:oMath>
        <m:r>
          <m:t>ℓ</m:t>
        </m:r>
      </m:oMath>
      <w:r>
        <w:rPr>
          <w:i/>
          <w:iCs/>
        </w:rPr>
        <w:t xml:space="preserve">, the Bayes risk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no larger than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; equivalently the</w:t>
      </w:r>
      <w:r>
        <w:rPr>
          <w:i/>
          <w:iCs/>
        </w:rPr>
        <w:t xml:space="preserve"> </w:t>
      </w:r>
      <w:r>
        <w:rPr>
          <w:i/>
          <w:iCs/>
        </w:rPr>
        <w:t xml:space="preserve">optimal value satisfies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every task</w:t>
      </w:r>
      <w:r>
        <w:rPr>
          <w:i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bounded</w:t>
      </w:r>
      <w:r>
        <w:rPr>
          <w:i/>
          <w:iCs/>
        </w:rPr>
        <w:t xml:space="preserve"> </w:t>
      </w:r>
      <w:r>
        <w:rPr>
          <w:i/>
          <w:iCs/>
        </w:rPr>
        <w:t xml:space="preserve">utility.</w:t>
      </w:r>
    </w:p>
    <w:p>
      <w:pPr>
        <w:pStyle w:val="FirstParagraph"/>
      </w:pPr>
      <w:r>
        <w:rPr>
          <w:i/>
          <w:iCs/>
        </w:rPr>
        <w:t xml:space="preserve">Randomized decision rules are admitted on both sides; if the dominated experiment is realized with</w:t>
      </w:r>
      <w:r>
        <w:rPr>
          <w:i/>
          <w:iCs/>
        </w:rPr>
        <w:t xml:space="preserve"> </w:t>
      </w:r>
      <w:r>
        <w:rPr>
          <w:i/>
          <w:iCs/>
        </w:rPr>
        <w:t xml:space="preserve">a randomized garbling, no loss of generality is incurred by allowing randomized rules in</w:t>
      </w:r>
      <w:r>
        <w:rPr>
          <w:i/>
          <w:iCs/>
        </w:rPr>
        <w:t xml:space="preserve"> </w:t>
      </w:r>
      <w:r>
        <w:rPr>
          <w:i/>
          <w:iCs/>
        </w:rPr>
        <w:t xml:space="preserve">(ii)</w:t>
      </w:r>
      <w:r>
        <w:rPr>
          <w:i/>
          <w:iCs/>
        </w:rPr>
        <w:t xml:space="preserve">.</w:t>
      </w:r>
    </w:p>
    <w:bookmarkEnd w:id="33"/>
    <w:bookmarkStart w:id="34" w:name="cor:c1"/>
    <w:p>
      <w:pPr>
        <w:pStyle w:val="BodyText"/>
      </w:pPr>
      <w:r>
        <w:rPr>
          <w:b/>
          <w:bCs/>
        </w:rPr>
        <w:t xml:space="preserve">Corollary 1</w:t>
      </w:r>
      <w:r>
        <w:t xml:space="preserve"> </w:t>
      </w:r>
      <w:r>
        <w:t xml:space="preserve">(Universal context dominance, C1).</w:t>
      </w:r>
      <w:r>
        <w:t xml:space="preserve"> </w:t>
      </w:r>
      <w:r>
        <w:t xml:space="preserve"> </w:t>
      </w:r>
      <w:r>
        <w:rPr>
          <w:i/>
          <w:iCs/>
        </w:rPr>
        <w:t xml:space="preserve">If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then, for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optimal</w:t>
      </w:r>
      <w:r>
        <w:rPr>
          <w:i/>
          <w:iCs/>
        </w:rPr>
        <w:t xml:space="preserve"> </w:t>
      </w:r>
      <w:r>
        <w:rPr>
          <w:i/>
          <w:iCs/>
        </w:rPr>
        <w:t xml:space="preserve">user, supplying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at least as good as</w:t>
      </w:r>
      <w:r>
        <w:rPr>
          <w:i/>
          <w:iCs/>
        </w:rPr>
        <w:t xml:space="preserve"> </w:t>
      </w:r>
      <w:r>
        <w:rPr>
          <w:i/>
          <w:iCs/>
        </w:rPr>
        <w:t xml:space="preserve">supplying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every</w:t>
      </w:r>
      <w:r>
        <w:rPr>
          <w:i/>
          <w:iCs/>
        </w:rPr>
        <w:t xml:space="preserve"> </w:t>
      </w:r>
      <w:r>
        <w:rPr>
          <w:i/>
          <w:iCs/>
        </w:rPr>
        <w:t xml:space="preserve">task, prior, and bounded utility, a decision-independent,</w:t>
      </w:r>
      <w:r>
        <w:rPr>
          <w:i/>
          <w:iCs/>
        </w:rPr>
        <w:t xml:space="preserve"> </w:t>
      </w:r>
      <w:r>
        <w:rPr>
          <w:i/>
          <w:iCs/>
        </w:rPr>
        <w:t xml:space="preserve">for-all-tasks guarantee that no task-specific scalar score (relevance, mutual information,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information) provides.</w:t>
      </w:r>
    </w:p>
    <w:bookmarkEnd w:id="34"/>
    <w:bookmarkStart w:id="35" w:name="rem:partial"/>
    <w:p>
      <w:pPr>
        <w:pStyle w:val="BodyText"/>
      </w:pPr>
      <w:r>
        <w:rPr>
          <w:i/>
          <w:iCs/>
        </w:rPr>
        <w:t xml:space="preserve">Remark 1</w:t>
      </w:r>
      <w:r>
        <w:t xml:space="preserve"> </w:t>
      </w:r>
      <w:r>
        <w:t xml:space="preserve">(The order is partial; no lattice).</w:t>
      </w:r>
      <w:r>
        <w:t xml:space="preserve"> 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a genuine partial order: there exist pairs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neither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and the order does not form a lattice </w:t>
      </w:r>
      <w:r>
        <w:t xml:space="preserve">(</w:t>
      </w:r>
      <w:hyperlink w:anchor="ref-torgersen1991">
        <w:r>
          <w:rPr>
            <w:rStyle w:val="Hyperlink"/>
          </w:rPr>
          <w:t xml:space="preserve">Torgersen 1991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Incomparability is exactly the regime our experiments target.</w:t>
      </w:r>
    </w:p>
    <w:bookmarkEnd w:id="35"/>
    <w:bookmarkEnd w:id="36"/>
    <w:bookmarkStart w:id="38" w:name="Xcf9dd7f06cc6d4592db8258d08ec9b7ef4b608b"/>
    <w:p>
      <w:pPr>
        <w:pStyle w:val="Heading2"/>
      </w:pPr>
      <w:r>
        <w:t xml:space="preserve">Deterministic sources: incomparability via</w:t>
      </w:r>
      <w:r>
        <w:t xml:space="preserve"> </w:t>
      </w:r>
      <m:oMath>
        <m:r>
          <m:t>σ</m:t>
        </m:r>
      </m:oMath>
      <w:r>
        <w:t xml:space="preserve">-algebra non-refinement</w:t>
      </w:r>
    </w:p>
    <w:p>
      <w:pPr>
        <w:pStyle w:val="FirstParagraph"/>
      </w:pPr>
      <w:r>
        <w:t xml:space="preserve">For deterministic projection sources (Definition </w:t>
      </w:r>
      <w:hyperlink w:anchor="def:projection">
        <w:r>
          <w:rPr>
            <w:rStyle w:val="Hyperlink"/>
          </w:rPr>
          <w:t xml:space="preserve">3</w:t>
        </w:r>
      </w:hyperlink>
      <w:r>
        <w:t xml:space="preserve">) the garbling order reduces</w:t>
      </w:r>
      <w:r>
        <w:t xml:space="preserve"> </w:t>
      </w:r>
      <w:r>
        <w:t xml:space="preserve">to refinement of the generated</w:t>
      </w:r>
      <w:r>
        <w:t xml:space="preserve"> </w:t>
      </w:r>
      <m:oMath>
        <m:r>
          <m:t>σ</m:t>
        </m:r>
      </m:oMath>
      <w:r>
        <w:t xml:space="preserve">-algebras, which makes incomparability checkable by a</w:t>
      </w:r>
      <w:r>
        <w:t xml:space="preserve"> </w:t>
      </w:r>
      <w:r>
        <w:t xml:space="preserve">purely structural argument rather than by an empirical divergence.</w:t>
      </w:r>
    </w:p>
    <w:bookmarkStart w:id="37" w:name="lem:noref"/>
    <w:p>
      <w:pPr>
        <w:pStyle w:val="BodyText"/>
      </w:pPr>
      <w:r>
        <w:rPr>
          <w:b/>
          <w:bCs/>
        </w:rPr>
        <w:t xml:space="preserve">Lemma 1</w:t>
      </w:r>
      <w:r>
        <w:t xml:space="preserve"> </w:t>
      </w:r>
      <w:r>
        <w:t xml:space="preserve">(Refinement characterization for projection sources).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projection sources revealing coordinate sets</w:t>
      </w:r>
      <w:r>
        <w:rPr>
          <w:i/>
          <w:iCs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</w:t>
      </w:r>
      <w:hyperlink w:anchor="def:projection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), with coordinates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mutually independent under</w:t>
      </w:r>
      <w:r>
        <w:rPr>
          <w:i/>
          <w:iCs/>
        </w:rPr>
        <w:t xml:space="preserve"> </w:t>
      </w:r>
      <w:r>
        <w:rPr>
          <w:i/>
          <w:iCs/>
        </w:rPr>
        <w:t xml:space="preserve">some full-support prior and each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non-degenerate. Then:</w:t>
      </w:r>
    </w:p>
    <w:p>
      <w:pPr>
        <w:numPr>
          <w:ilvl w:val="0"/>
          <w:numId w:val="1005"/>
        </w:numPr>
      </w:pPr>
      <m:oMath>
        <m:sSub>
          <m:e>
            <m:r>
              <m:t>W</m:t>
            </m:r>
          </m:e>
          <m:sub>
            <m:r>
              <m:t>A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B</m:t>
            </m:r>
          </m:sub>
        </m:sSub>
        <m:r>
          <m:rPr>
            <m:sty m:val="p"/>
          </m:rPr>
          <m:t>⇔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⊆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  <m:r>
          <m:rPr>
            <m:sty m:val="p"/>
          </m:rPr>
          <m:t>⇔</m:t>
        </m:r>
        <m:r>
          <m:t>B</m:t>
        </m:r>
        <m:r>
          <m:rPr>
            <m:sty m:val="p"/>
          </m:rPr>
          <m:t>⊆</m:t>
        </m:r>
        <m:r>
          <m:t>A</m:t>
        </m:r>
      </m:oMath>
      <w:r>
        <w:rPr>
          <w:i/>
          <w:iCs/>
        </w:rPr>
        <w:t xml:space="preserve">;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consequently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A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Blackwell-</w:t>
      </w:r>
      <w:r>
        <w:rPr>
          <w:i/>
          <w:i/>
          <w:iCs/>
          <w:iCs/>
        </w:rPr>
        <w:t xml:space="preserve">incomparable</w:t>
      </w:r>
      <w:r>
        <w:rPr>
          <w:i/>
          <w:iCs/>
        </w:rPr>
        <w:t xml:space="preserve"> </w:t>
      </w:r>
      <w:r>
        <w:rPr>
          <w:i/>
          <w:iCs/>
        </w:rPr>
        <w:t xml:space="preserve">iff</w:t>
      </w:r>
      <w:r>
        <w:rPr>
          <w:i/>
          <w:iCs/>
        </w:rPr>
        <w:t xml:space="preserve"> </w:t>
      </w:r>
      <m:oMath>
        <m:r>
          <m:t>A</m:t>
        </m:r>
        <m:r>
          <m:rPr>
            <m:sty m:val="p"/>
          </m:rPr>
          <m:t>⊈</m:t>
        </m:r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B</m:t>
        </m:r>
        <m:r>
          <m:rPr>
            <m:sty m:val="p"/>
          </m:rPr>
          <m:t>⊈</m:t>
        </m:r>
        <m:r>
          <m:t>A</m:t>
        </m:r>
      </m:oMath>
      <w:r>
        <w:rPr>
          <w:i/>
          <w:iCs/>
        </w:rPr>
        <w:t xml:space="preserve">, i.e. each reveals at least one coordinate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 hides.</w:t>
      </w:r>
    </w:p>
    <w:bookmarkEnd w:id="37"/>
    <w:p>
      <w:pPr>
        <w:pStyle w:val="FirstParagraph"/>
      </w:pPr>
      <w:r>
        <w:t xml:space="preserve">Lemma </w:t>
      </w:r>
      <w:hyperlink w:anchor="lem:noref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is the formal version of the garbling argument used in</w:t>
      </w:r>
      <w:r>
        <w:t xml:space="preserve"> </w:t>
      </w:r>
      <w:r>
        <w:t xml:space="preserve">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: from the wire format (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revealing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) one cannot manufacture the</w:t>
      </w:r>
      <w:r>
        <w:t xml:space="preserve"> </w:t>
      </w:r>
      <w:r>
        <w:t xml:space="preserve">private arg-order / required-keyword / exception-type facts (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), and from the call contract</w:t>
      </w:r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revealing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) one cannot manufacture the cents-scale / check-digit facts (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). 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neither set contains the other,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Blackwell-incomparable</w:t>
      </w:r>
      <w:r>
        <w:t xml:space="preserve"> </w:t>
      </w:r>
      <w:r>
        <w:t xml:space="preserve">by construction (and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revealing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, dominates both). This guarantees the</w:t>
      </w:r>
      <w:r>
        <w:t xml:space="preserve"> </w:t>
      </w:r>
      <w:r>
        <w:rPr>
          <w:i/>
          <w:iCs/>
        </w:rPr>
        <w:t xml:space="preserve">theoretical</w:t>
      </w:r>
      <w:r>
        <w:t xml:space="preserve"> </w:t>
      </w:r>
      <w:r>
        <w:t xml:space="preserve">incomparability the experiments then exhibit empirically.</w:t>
      </w:r>
    </w:p>
    <w:bookmarkEnd w:id="38"/>
    <w:bookmarkStart w:id="42" w:name="subsec:bridge"/>
    <w:p>
      <w:pPr>
        <w:pStyle w:val="Heading2"/>
      </w:pPr>
      <w:r>
        <w:t xml:space="preserve">Bridging the optimal-rule order to the fixed model</w:t>
      </w:r>
    </w:p>
    <w:p>
      <w:pPr>
        <w:pStyle w:val="FirstParagraph"/>
      </w:pPr>
      <w:r>
        <w:t xml:space="preserve">Theorem </w:t>
      </w:r>
      <w:hyperlink w:anchor="thm:blackwell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concerns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. Our experiments measure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a</w:t>
      </w:r>
      <w:r>
        <w:t xml:space="preserve"> </w:t>
      </w:r>
      <w:r>
        <w:t xml:space="preserve">single fixed, generally sub-optimal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The two are not interchangeable: an inequality</w:t>
      </w:r>
      <w:r>
        <w:t xml:space="preserve"> </w:t>
      </w:r>
      <w:r>
        <w:t xml:space="preserve">between optimal values need not hold for a fixed rule, and, as we show empirically, the fixed rule</w:t>
      </w:r>
      <w:r>
        <w:t xml:space="preserve"> </w:t>
      </w:r>
      <w:r>
        <w:t xml:space="preserve">can even</w:t>
      </w:r>
      <w:r>
        <w:t xml:space="preserve"> </w:t>
      </w:r>
      <w:r>
        <w:rPr>
          <w:i/>
          <w:iCs/>
        </w:rPr>
        <w:t xml:space="preserve">violate</w:t>
      </w:r>
      <w:r>
        <w:t xml:space="preserve"> </w:t>
      </w:r>
      <w:r>
        <w:t xml:space="preserve">monotonicity that the optimal value obeys. We therefore introduce a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 and state precisely what it does and does not inherit from</w:t>
      </w:r>
      <w:r>
        <w:t xml:space="preserve"> </w:t>
      </w:r>
      <w:r>
        <w:t xml:space="preserve">Theorem </w:t>
      </w:r>
      <w:hyperlink w:anchor="thm:blackwell">
        <w:r>
          <w:rPr>
            <w:rStyle w:val="Hyperlink"/>
          </w:rPr>
          <w:t xml:space="preserve">1</w:t>
        </w:r>
      </w:hyperlink>
      <w:r>
        <w:t xml:space="preserve">.</w:t>
      </w:r>
    </w:p>
    <w:bookmarkStart w:id="39" w:name="def:dmorder"/>
    <w:p>
      <w:pPr>
        <w:pStyle w:val="BodyText"/>
      </w:pPr>
      <w:r>
        <w:rPr>
          <w:b/>
          <w:bCs/>
        </w:rPr>
        <w:t xml:space="preserve">Definition 5</w:t>
      </w:r>
      <w:r>
        <w:t xml:space="preserve"> </w:t>
      </w:r>
      <w:r>
        <w:t xml:space="preserve">(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-restricted,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-restricted order).</w:t>
      </w:r>
      <w:r>
        <w:t xml:space="preserve"> </w:t>
      </w:r>
      <w:r>
        <w:t xml:space="preserve"> </w:t>
      </w:r>
      <w:r>
        <w:t xml:space="preserve">Fix 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finite task set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 Say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iff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t xml:space="preserve">. Call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-incomparable</w:t>
      </w:r>
      <w:r>
        <w:t xml:space="preserve"> </w:t>
      </w:r>
      <w:r>
        <w:t xml:space="preserve">iff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⋡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⋡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i.e. each strictly out-performs the other on some task in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9"/>
    <w:p>
      <w:pPr>
        <w:pStyle w:val="BodyText"/>
      </w:pPr>
      <m:oMath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is the order our certificate measures. It is decision-restricted (one fixed rule)</w:t>
      </w:r>
      <w:r>
        <w:t xml:space="preserve"> </w:t>
      </w:r>
      <w:r>
        <w:t xml:space="preserve">and distribution-restricted (a fixed finite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); within those restrictions it is still a genuine,</w:t>
      </w:r>
      <w:r>
        <w:t xml:space="preserve"> </w:t>
      </w:r>
      <w:r>
        <w:rPr>
          <w:i/>
          <w:iCs/>
        </w:rPr>
        <w:t xml:space="preserve">for-all-tasks-in-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dominance statement, not a scalar.</w:t>
      </w:r>
    </w:p>
    <w:bookmarkStart w:id="40" w:name="lem:bridge"/>
    <w:p>
      <w:pPr>
        <w:pStyle w:val="BodyText"/>
      </w:pPr>
      <w:r>
        <w:rPr>
          <w:b/>
          <w:bCs/>
        </w:rPr>
        <w:t xml:space="preserve">Lemma 2</w:t>
      </w:r>
      <w:r>
        <w:t xml:space="preserve"> </w:t>
      </w:r>
      <w:r>
        <w:t xml:space="preserve">(One-way bridge under coordinate separation).</w:t>
      </w:r>
      <w:r>
        <w:t xml:space="preserve"> </w:t>
      </w:r>
      <w:r>
        <w:t xml:space="preserve"> </w:t>
      </w:r>
      <w:r>
        <w:rPr>
          <w:i/>
          <w:iCs/>
        </w:rPr>
        <w:t xml:space="preserve">Neither order implies the other unconditionally; each direction of the bridge carries an explicit</w:t>
      </w:r>
      <w:r>
        <w:rPr>
          <w:i/>
          <w:iCs/>
        </w:rPr>
        <w:t xml:space="preserve"> </w:t>
      </w:r>
      <w:r>
        <w:rPr>
          <w:i/>
          <w:iCs/>
        </w:rPr>
        <w:t xml:space="preserve">hypothesis.</w:t>
      </w:r>
    </w:p>
    <w:p>
      <w:pPr>
        <w:numPr>
          <w:ilvl w:val="0"/>
          <w:numId w:val="1006"/>
        </w:numPr>
      </w:pP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projection sources revealing coordinate sets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</w:t>
      </w:r>
      <w:hyperlink w:anchor="def:projection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), and let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tasks whose</w:t>
      </w:r>
      <w:r>
        <w:rPr>
          <w:i/>
          <w:iCs/>
        </w:rPr>
        <w:t xml:space="preserve"> </w:t>
      </w:r>
      <w:r>
        <w:rPr>
          <w:i/>
          <w:iCs/>
        </w:rPr>
        <w:t xml:space="preserve">verifier-decisive coordinates lie in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respectively, with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guessing caps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, the optimal values achievable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without</w:t>
      </w:r>
      <w:r>
        <w:rPr>
          <w:i/>
          <w:iCs/>
        </w:rPr>
        <w:t xml:space="preserve"> </w:t>
      </w:r>
      <w:r>
        <w:rPr>
          <w:i/>
          <w:iCs/>
        </w:rPr>
        <w:t xml:space="preserve">the decisive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coordinate. If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g</m:t>
            </m:r>
          </m:e>
          <m:sub>
            <m:r>
              <m:t>a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g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, then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Blackwell-incomparable.</w:t>
      </w:r>
    </w:p>
    <w:p>
      <w:pPr>
        <w:numPr>
          <w:ilvl w:val="0"/>
          <w:numId w:val="1006"/>
        </w:numPr>
      </w:pPr>
      <w:r>
        <w:rPr>
          <w:i/>
          <w:iCs/>
        </w:rPr>
        <w:t xml:space="preserve">The converse fails in general: Blackwell incomparability concerns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and a fixed sub-optimal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may fail to realize the optimal-value crossover on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It holds under the value-attainment hypothesis (Assumption </w:t>
      </w:r>
      <w:hyperlink w:anchor="ass:attain">
        <w:r>
          <w:rPr>
            <w:rStyle w:val="Hyperlink"/>
            <w:i/>
            <w:iCs/>
          </w:rPr>
          <w:t xml:space="preserve">1</w:t>
        </w:r>
      </w:hyperlink>
      <w:r>
        <w:rPr>
          <w:i/>
          <w:iCs/>
        </w:rPr>
        <w:t xml:space="preserve">).</w:t>
      </w:r>
    </w:p>
    <w:p>
      <w:pPr>
        <w:pStyle w:val="FirstParagraph"/>
      </w:pPr>
      <w:r>
        <w:rPr>
          <w:i/>
          <w:iCs/>
        </w:rPr>
        <w:t xml:space="preserve">The separation hypothesis in</w:t>
      </w:r>
      <w:r>
        <w:rPr>
          <w:i/>
          <w:iCs/>
        </w:rPr>
        <w:t xml:space="preserve"> </w:t>
      </w:r>
      <w:r>
        <w:rPr>
          <w:i/>
          <w:iCs/>
        </w:rPr>
        <w:t xml:space="preserve">(a)</w:t>
      </w:r>
      <w:r>
        <w:rPr>
          <w:i/>
          <w:iCs/>
        </w:rPr>
        <w:t xml:space="preserve"> </w:t>
      </w:r>
      <w:r>
        <w:rPr>
          <w:i/>
          <w:iCs/>
        </w:rPr>
        <w:t xml:space="preserve">is necessary, and our own measurements witness the</w:t>
      </w:r>
      <w:r>
        <w:rPr>
          <w:i/>
          <w:iCs/>
        </w:rPr>
        <w:t xml:space="preserve"> </w:t>
      </w:r>
      <w:r>
        <w:rPr>
          <w:i/>
          <w:iCs/>
        </w:rPr>
        <w:t xml:space="preserve">necessity: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-incomparable on the measured cells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wins the API</w:t>
      </w:r>
      <w:r>
        <w:rPr>
          <w:i/>
          <w:iCs/>
        </w:rPr>
        <w:t xml:space="preserve"> </w:t>
      </w:r>
      <w:r>
        <w:rPr>
          <w:i/>
          <w:iCs/>
        </w:rPr>
        <w:t xml:space="preserve">cells,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the encoding cell) yet Blackwell-</w:t>
      </w:r>
      <w:r>
        <w:rPr>
          <w:i/>
          <w:i/>
          <w:iCs/>
          <w:iCs/>
        </w:rPr>
        <w:t xml:space="preserve">comparable</w:t>
      </w:r>
      <w:r>
        <w:rPr>
          <w:i/>
          <w:iCs/>
        </w:rPr>
        <w:t xml:space="preserve"> </w:t>
      </w:r>
      <w:r>
        <w:rPr>
          <w:i/>
          <w:iCs/>
        </w:rPr>
        <w:t xml:space="preserve">by construction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), precisely because the deprived-side premise fails there,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contains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’s coordinate, so the API-side cap is not small. A bare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crossover, without the</w:t>
      </w:r>
      <w:r>
        <w:rPr>
          <w:i/>
          <w:iCs/>
        </w:rPr>
        <w:t xml:space="preserve"> </w:t>
      </w:r>
      <w:r>
        <w:rPr>
          <w:i/>
          <w:iCs/>
        </w:rPr>
        <w:t xml:space="preserve">separation hypothesis, witnesses only the sub-optimality of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(Theorem </w:t>
      </w:r>
      <w:hyperlink w:anchor="thm:antimono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).</w:t>
      </w:r>
    </w:p>
    <w:bookmarkEnd w:id="40"/>
    <w:p>
      <w:pPr>
        <w:pStyle w:val="BodyText"/>
      </w:pPr>
      <w:r>
        <w:t xml:space="preserve">Intuitively: a fixed-rule crossover proves structural incomparability only when each winning</w:t>
      </w:r>
      <w:r>
        <w:t xml:space="preserve"> </w:t>
      </w:r>
      <w:r>
        <w:t xml:space="preserve">source reveals a coordinate the losing source genuinely lacks; otherwise the crossover may</w:t>
      </w:r>
      <w:r>
        <w:t xml:space="preserve"> </w:t>
      </w:r>
      <w:r>
        <w:t xml:space="preserve">witness nothing more than the rule’s own incoherence.</w:t>
      </w:r>
    </w:p>
    <w:bookmarkStart w:id="41" w:name="ass:attain"/>
    <w:p>
      <w:pPr>
        <w:pStyle w:val="BodyText"/>
      </w:pPr>
      <w:r>
        <w:rPr>
          <w:b/>
          <w:bCs/>
        </w:rPr>
        <w:t xml:space="preserve">Assumption 1</w:t>
      </w:r>
      <w:r>
        <w:t xml:space="preserve"> </w:t>
      </w:r>
      <w:r>
        <w:t xml:space="preserve">(Value attainment on the witnessing tasks).</w:t>
      </w:r>
      <w:r>
        <w:t xml:space="preserve"> </w:t>
      </w:r>
      <w:r>
        <w:t xml:space="preserve"> </w:t>
      </w:r>
      <w:r>
        <w:t xml:space="preserve">There exist tasks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 a margin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attains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γ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γ</m:t>
        </m:r>
      </m:oMath>
      <w:r>
        <w:t xml:space="preserve">; i.e. the fixed model actually</w:t>
      </w:r>
      <w:r>
        <w:t xml:space="preserve"> </w:t>
      </w:r>
      <w:r>
        <w:t xml:space="preserve">exploits each source’s private coordinate on the task that requires it. Under</w:t>
      </w:r>
      <w:r>
        <w:t xml:space="preserve"> </w:t>
      </w:r>
      <w:r>
        <w:t xml:space="preserve">Assumption </w:t>
      </w:r>
      <w:hyperlink w:anchor="ass:attain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-incomparable.</w:t>
      </w:r>
    </w:p>
    <w:bookmarkEnd w:id="41"/>
    <w:p>
      <w:pPr>
        <w:pStyle w:val="BodyText"/>
      </w:pPr>
      <w:r>
        <w:t xml:space="preserve">Lemma </w:t>
      </w:r>
      <w:hyperlink w:anchor="lem:bridg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is the keystone. In the direction the empirical program needs, it says: a</w:t>
      </w:r>
      <w:r>
        <w:t xml:space="preserve"> </w:t>
      </w:r>
      <w:r>
        <w:t xml:space="preserve">certified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-crossover on tasks whose decisive coordinates are</w:t>
      </w:r>
      <w:r>
        <w:t xml:space="preserve"> </w:t>
      </w:r>
      <w:r>
        <w:rPr>
          <w:i/>
          <w:iCs/>
        </w:rPr>
        <w:t xml:space="preserve">separated</w:t>
      </w:r>
      <w:r>
        <w:t xml:space="preserve"> </w:t>
      </w:r>
      <w:r>
        <w:t xml:space="preserve">across</w:t>
      </w:r>
      <w:r>
        <w:t xml:space="preserve"> </w:t>
      </w:r>
      <w:r>
        <w:t xml:space="preserve">the two sources, with the deprived side’s optimal value capped below the measured pass rates,</w:t>
      </w:r>
      <w:r>
        <w:t xml:space="preserve"> </w:t>
      </w:r>
      <w:r>
        <w:t xml:space="preserve">implies genuine Blackwell incomparability. Our construction is designed to satisfy the hypothesis</w:t>
      </w:r>
      <w:r>
        <w:t xml:space="preserve"> </w:t>
      </w:r>
      <w:r>
        <w:t xml:space="preserve">(each cell’s decisive private coordinate is revealed by exactly one source,</w:t>
      </w:r>
      <w:r>
        <w:t xml:space="preserve"> </w:t>
      </w:r>
      <w:r>
        <w:t xml:space="preserve">Lemma </w:t>
      </w:r>
      <w:hyperlink w:anchor="lem:noref">
        <w:r>
          <w:rPr>
            <w:rStyle w:val="Hyperlink"/>
          </w:rPr>
          <w:t xml:space="preserve">1</w:t>
        </w:r>
      </w:hyperlink>
      <w:r>
        <w:t xml:space="preserve">), and its observable signature, deprived-arm pass rates flooring at the</w:t>
      </w:r>
      <w:r>
        <w:t xml:space="preserve"> </w:t>
      </w:r>
      <w:r>
        <w:t xml:space="preserve">guessing cap (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on the API cells,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on the encoding cell,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near</w:t>
      </w:r>
      <w:r>
        <w:t xml:space="preserve"> </w:t>
      </w:r>
      <m:oMath>
        <m:r>
          <m:t>0</m:t>
        </m:r>
      </m:oMath>
      <w:r>
        <w:t xml:space="preserve">), is verified per cell in 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; where a model’s prior</w:t>
      </w:r>
      <w:r>
        <w:t xml:space="preserve"> </w:t>
      </w:r>
      <w:r>
        <w:t xml:space="preserve">partially recovers a convention (the</w:t>
      </w:r>
      <w:r>
        <w:t xml:space="preserve"> </w:t>
      </w:r>
      <m:oMath>
        <m:r>
          <m:t>θ</m:t>
        </m:r>
      </m:oMath>
      <w:r>
        <w:t xml:space="preserve">-dependence of §</w:t>
      </w:r>
      <w:hyperlink w:anchor="subsec:theta">
        <w:r>
          <w:rPr>
            <w:rStyle w:val="Hyperlink"/>
          </w:rPr>
          <w:t xml:space="preserve">3.3</w:t>
        </w:r>
      </w:hyperlink>
      <w:r>
        <w:t xml:space="preserve">), the cap</w:t>
      </w:r>
      <w:r>
        <w:t xml:space="preserve"> </w:t>
      </w:r>
      <w:r>
        <w:t xml:space="preserve">premise weakens and we do not certify on those cells. The reverse implication, predicting the</w:t>
      </w:r>
      <w:r>
        <w:t xml:space="preserve"> </w:t>
      </w:r>
      <w:r>
        <w:t xml:space="preserve">realized crossover from the abstract theorem, requires Assumption </w:t>
      </w:r>
      <w:hyperlink w:anchor="ass:attain">
        <w:r>
          <w:rPr>
            <w:rStyle w:val="Hyperlink"/>
          </w:rPr>
          <w:t xml:space="preserve">1</w:t>
        </w:r>
      </w:hyperlink>
      <w:r>
        <w:t xml:space="preserve">, which our</w:t>
      </w:r>
      <w:r>
        <w:t xml:space="preserve"> </w:t>
      </w:r>
      <w:r>
        <w:t xml:space="preserve">task design enforces and our measurements verify.</w:t>
      </w:r>
    </w:p>
    <w:bookmarkEnd w:id="42"/>
    <w:bookmarkEnd w:id="43"/>
    <w:bookmarkStart w:id="51" w:name="sec:incomparability"/>
    <w:p>
      <w:pPr>
        <w:pStyle w:val="Heading1"/>
      </w:pPr>
      <w:r>
        <w:t xml:space="preserve">The incomparability theorem</w:t>
      </w:r>
    </w:p>
    <w:p>
      <w:pPr>
        <w:pStyle w:val="FirstParagraph"/>
      </w:pPr>
      <w:r>
        <w:t xml:space="preserve">We now establish that no scalar can rank Blackwell-incomparable sources. We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the</w:t>
      </w:r>
      <w:r>
        <w:t xml:space="preserve"> </w:t>
      </w:r>
      <w:r>
        <w:t xml:space="preserve">claim into a clean theorem for query-</w:t>
      </w:r>
      <w:r>
        <w:rPr>
          <w:i/>
          <w:iCs/>
        </w:rPr>
        <w:t xml:space="preserve">independent</w:t>
      </w:r>
      <w:r>
        <w:t xml:space="preserve"> </w:t>
      </w:r>
      <w:r>
        <w:t xml:space="preserve">source scores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a separate,</w:t>
      </w:r>
      <w:r>
        <w:t xml:space="preserve"> </w:t>
      </w:r>
      <w:r>
        <w:t xml:space="preserve">explicitly empirical statement for query-</w:t>
      </w:r>
      <w:r>
        <w:rPr>
          <w:i/>
          <w:iCs/>
        </w:rPr>
        <w:t xml:space="preserve">conditioned</w:t>
      </w:r>
      <w:r>
        <w:t xml:space="preserve"> </w:t>
      </w:r>
      <w:r>
        <w:t xml:space="preserve">scores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(the relevance</w:t>
      </w:r>
      <w:r>
        <w:t xml:space="preserve"> </w:t>
      </w:r>
      <w:r>
        <w:t xml:space="preserve">score practitioners actually use); the two must not be conflated.</w:t>
      </w:r>
    </w:p>
    <w:bookmarkStart w:id="48" w:name="query-independent-scores-the-theorem"/>
    <w:p>
      <w:pPr>
        <w:pStyle w:val="Heading2"/>
      </w:pPr>
      <w:r>
        <w:t xml:space="preserve">Query-independent scores: the theorem</w:t>
      </w:r>
    </w:p>
    <w:bookmarkStart w:id="44" w:name="thm:incomparable"/>
    <w:p>
      <w:pPr>
        <w:pStyle w:val="FirstParagraph"/>
      </w:pPr>
      <w:r>
        <w:rPr>
          <w:b/>
          <w:bCs/>
        </w:rPr>
        <w:t xml:space="preserve">Theorem 2</w:t>
      </w:r>
      <w:r>
        <w:t xml:space="preserve"> </w:t>
      </w:r>
      <w:r>
        <w:t xml:space="preserve">(No query-independent scalar ranks incomparable sources, C1).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Blackwell-incomparable. Let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rPr>
            <m:nor/>
            <m:sty m:val="p"/>
          </m:rPr>
          <m:t>sources</m:t>
        </m:r>
        <m:r>
          <m:rPr>
            <m:sty m:val="p"/>
          </m:rPr>
          <m:t>}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any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query-independent</w:t>
      </w:r>
      <w:r>
        <w:rPr>
          <w:i/>
          <w:iCs/>
        </w:rPr>
        <w:t xml:space="preserve"> </w:t>
      </w:r>
      <w:r>
        <w:rPr>
          <w:i/>
          <w:iCs/>
        </w:rPr>
        <w:t xml:space="preserve">scalar score (a single number per source: relevance to a fixed corpus,</w:t>
      </w:r>
      <w:r>
        <w:rPr>
          <w:i/>
          <w:iCs/>
        </w:rPr>
        <w:t xml:space="preserve"> </w:t>
      </w:r>
      <w:r>
        <w:rPr>
          <w:i/>
          <w:iCs/>
        </w:rPr>
        <w:t xml:space="preserve">mutual information</w:t>
      </w:r>
      <w:r>
        <w:rPr>
          <w:i/>
          <w:iCs/>
        </w:rP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)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information, perplexity-gap, expected information gain</w:t>
      </w:r>
      <w:r>
        <w:rPr>
          <w:i/>
          <w:iCs/>
        </w:rPr>
        <w:t xml:space="preserve"> </w:t>
      </w:r>
      <w:r>
        <w:rPr>
          <w:i/>
          <w:iCs/>
        </w:rPr>
        <w:t xml:space="preserve">under a fixed prior). Then there exist tasks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such that the ranking of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induced by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disagrees with the optimal-value ranking on at least one of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; and,</w:t>
      </w:r>
      <w:r>
        <w:rPr>
          <w:i/>
          <w:iCs/>
        </w:rPr>
        <w:t xml:space="preserve"> </w:t>
      </w:r>
      <w:r>
        <w:rPr>
          <w:i/>
          <w:iCs/>
        </w:rPr>
        <w:t xml:space="preserve">under Assumption </w:t>
      </w:r>
      <w:hyperlink w:anchor="ass:attain">
        <w:r>
          <w:rPr>
            <w:rStyle w:val="Hyperlink"/>
            <w:i/>
            <w:iCs/>
          </w:rPr>
          <w:t xml:space="preserve">1</w:t>
        </w:r>
      </w:hyperlink>
      <w:r>
        <w:rPr>
          <w:i/>
          <w:iCs/>
        </w:rPr>
        <w:t xml:space="preserve">, with the realized-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ranking on at least one of them.</w:t>
      </w:r>
    </w:p>
    <w:bookmarkEnd w:id="44"/>
    <w:p>
      <w:pPr>
        <w:pStyle w:val="BodyText"/>
      </w:pPr>
      <w:r>
        <w:rPr>
          <w:i/>
          <w:iCs/>
        </w:rPr>
        <w:t xml:space="preserve">Proof.</w:t>
      </w:r>
      <w:r>
        <w:t xml:space="preserve"> </w:t>
      </w:r>
      <w:r>
        <w:t xml:space="preserve">By incomparability, neither source garbles the other. By the contrapositive of</w:t>
      </w:r>
      <w:r>
        <w:t xml:space="preserve"> </w:t>
      </w:r>
      <w:r>
        <w:t xml:space="preserve">Theorem </w:t>
      </w:r>
      <w:hyperlink w:anchor="thm:blackwell">
        <w:r>
          <w:rPr>
            <w:rStyle w:val="Hyperlink"/>
          </w:rPr>
          <w:t xml:space="preserve">1</w:t>
        </w:r>
      </w:hyperlink>
      <w:r>
        <w:t xml:space="preserve">,</w:t>
      </w:r>
      <w:r>
        <w:t xml:space="preserve"> </w:t>
      </w:r>
      <w:r>
        <w:t xml:space="preserve">“not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”</w:t>
      </w:r>
      <w:r>
        <w:t xml:space="preserve"> </w:t>
      </w:r>
      <w:r>
        <w:t xml:space="preserve">yields a task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(a prior plus bounded</w:t>
      </w:r>
      <w:r>
        <w:t xml:space="preserve"> </w:t>
      </w:r>
      <w:r>
        <w:t xml:space="preserve">utility) with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“not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”</w:t>
      </w:r>
      <w:r>
        <w:t xml:space="preserve"> </w:t>
      </w:r>
      <w:r>
        <w:t xml:space="preserve">yields a task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; both inequalities are</w:t>
      </w:r>
      <w:r>
        <w:t xml:space="preserve"> </w:t>
      </w:r>
      <w:r>
        <w:rPr>
          <w:i/>
          <w:iCs/>
        </w:rPr>
        <w:t xml:space="preserve">strict</w:t>
      </w:r>
      <w:r>
        <w:t xml:space="preserve">, so ties do</w:t>
      </w:r>
      <w:r>
        <w:t xml:space="preserve"> </w:t>
      </w:r>
      <w:r>
        <w:t xml:space="preserve">not arise. A query-independent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assigns the single ordered pair</w:t>
      </w:r>
      <w:r>
        <w:t xml:space="preserve"> </w:t>
      </w:r>
      <m:oMath>
        <m:r>
          <m:rPr>
            <m:sty m:val="p"/>
          </m:rPr>
          <m:t>(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fixing one total order of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rPr>
          <w:i/>
          <w:iCs/>
        </w:rPr>
        <w:t xml:space="preserve">independent of the task</w:t>
      </w:r>
      <w:r>
        <w:t xml:space="preserve">. That fixed</w:t>
      </w:r>
      <w:r>
        <w:t xml:space="preserve"> </w:t>
      </w:r>
      <w:r>
        <w:t xml:space="preserve">order agrees with the optimal-value order on at most one of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(they point opposite ways),</w:t>
      </w:r>
      <w:r>
        <w:t xml:space="preserve"> </w:t>
      </w:r>
      <w:r>
        <w:t xml:space="preserve">hence is violated on the other. The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conclusion follows by replacing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via Assumption </w:t>
      </w:r>
      <w:hyperlink w:anchor="ass:attain">
        <w:r>
          <w:rPr>
            <w:rStyle w:val="Hyperlink"/>
          </w:rPr>
          <w:t xml:space="preserve">1</w:t>
        </w:r>
      </w:hyperlink>
      <w:r>
        <w:t xml:space="preserve">, which guarantees the realized rule reproduces both</w:t>
      </w:r>
      <w:r>
        <w:t xml:space="preserve"> </w:t>
      </w:r>
      <w:r>
        <w:t xml:space="preserve">strict inequalities with margin</w:t>
      </w:r>
      <w:r>
        <w:t xml:space="preserve"> </w:t>
      </w:r>
      <m:oMath>
        <m:r>
          <m:t>γ</m:t>
        </m:r>
      </m:oMath>
      <w:r>
        <w:t xml:space="preserve">. ◻</w:t>
      </w:r>
    </w:p>
    <w:bookmarkStart w:id="45" w:name="rem:c2scope"/>
    <w:p>
      <w:pPr>
        <w:pStyle w:val="BodyText"/>
      </w:pPr>
      <w:r>
        <w:rPr>
          <w:i/>
          <w:iCs/>
        </w:rPr>
        <w:t xml:space="preserve">Remark 2</w:t>
      </w:r>
      <w:r>
        <w:t xml:space="preserve"> </w:t>
      </w:r>
      <w:r>
        <w:t xml:space="preserve">(Scope).</w:t>
      </w:r>
      <w:r>
        <w:t xml:space="preserve"> </w:t>
      </w:r>
      <w:r>
        <w:t xml:space="preserve"> </w:t>
      </w:r>
      <w:r>
        <w:t xml:space="preserve">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rules out exactly the class of</w:t>
      </w:r>
      <w:r>
        <w:t xml:space="preserve"> </w:t>
      </w:r>
      <w:r>
        <w:rPr>
          <w:i/>
          <w:iCs/>
        </w:rPr>
        <w:t xml:space="preserve">source-level</w:t>
      </w:r>
      <w:r>
        <w:t xml:space="preserve"> </w:t>
      </w:r>
      <w:r>
        <w:t xml:space="preserve">scalars: any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that is a fixed number per source, regardless of task.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information, mutual</w:t>
      </w:r>
      <w:r>
        <w:t xml:space="preserve"> </w:t>
      </w:r>
      <w:r>
        <w:t xml:space="preserve">information, perplexity-gap, and (fixed-prior) EIG all live in this class, so they are corollary</w:t>
      </w:r>
      <w:r>
        <w:t xml:space="preserve"> </w:t>
      </w:r>
      <w:r>
        <w:t xml:space="preserve">victims of the theorem, not competitors (Proposition </w:t>
      </w:r>
      <w:hyperlink w:anchor="prop:vinfo-monotone">
        <w:r>
          <w:rPr>
            <w:rStyle w:val="Hyperlink"/>
          </w:rPr>
          <w:t xml:space="preserve">1</w:t>
        </w:r>
      </w:hyperlink>
      <w:r>
        <w:t xml:space="preserve">). The theorem is</w:t>
      </w:r>
      <w:r>
        <w:t xml:space="preserve"> </w:t>
      </w:r>
      <w:r>
        <w:t xml:space="preserve">mathematically a one-line consequence of Blackwell’s theorem; the contribution is the</w:t>
      </w:r>
      <w:r>
        <w:t xml:space="preserve"> </w:t>
      </w:r>
      <w:r>
        <w:rPr>
          <w:i/>
          <w:iCs/>
        </w:rPr>
        <w:t xml:space="preserve">application and framing</w:t>
      </w:r>
      <w:r>
        <w:t xml:space="preserve">, reading cross-task non-transfer of relevance as the signature of a</w:t>
      </w:r>
      <w:r>
        <w:t xml:space="preserve"> </w:t>
      </w:r>
      <w:r>
        <w:t xml:space="preserve">partial order, not new core mathematics </w:t>
      </w:r>
      <w:r>
        <w:t xml:space="preserve">(</w:t>
      </w:r>
      <w:hyperlink w:anchor="ref-blackwell1953">
        <w:r>
          <w:rPr>
            <w:rStyle w:val="Hyperlink"/>
          </w:rPr>
          <w:t xml:space="preserve">Blackwell 1953</w:t>
        </w:r>
      </w:hyperlink>
      <w:r>
        <w:t xml:space="preserve">;</w:t>
      </w:r>
      <w:r>
        <w:t xml:space="preserve"> </w:t>
      </w:r>
      <w:hyperlink w:anchor="ref-torgersen1991">
        <w:r>
          <w:rPr>
            <w:rStyle w:val="Hyperlink"/>
          </w:rPr>
          <w:t xml:space="preserve">Torgersen 1991</w:t>
        </w:r>
      </w:hyperlink>
      <w:r>
        <w:t xml:space="preserve">)</w:t>
      </w:r>
      <w:r>
        <w:t xml:space="preserve">.</w:t>
      </w:r>
    </w:p>
    <w:bookmarkEnd w:id="45"/>
    <w:bookmarkStart w:id="46" w:name="prop:vinfo-monotone"/>
    <w:p>
      <w:pPr>
        <w:pStyle w:val="BodyText"/>
      </w:pPr>
      <w:r>
        <w:rPr>
          <w:b/>
          <w:bCs/>
        </w:rPr>
        <w:t xml:space="preserve">Proposition 1</w:t>
      </w:r>
      <w:r>
        <w:t xml:space="preserve"> </w:t>
      </w:r>
      <w:r>
        <w:t xml:space="preserve">(</w:t>
      </w:r>
      <m:oMath>
        <m:r>
          <m:rPr>
            <m:scr m:val="script"/>
            <m:sty m:val="p"/>
          </m:rPr>
          <m:t>V</m:t>
        </m:r>
      </m:oMath>
      <w:r>
        <w:t xml:space="preserve">-usable information is Blackwell-monotone).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r>
          <m:t>W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defined, after</w:t>
      </w:r>
      <w:r>
        <w:rPr>
          <w:i/>
          <w:iCs/>
        </w:rPr>
        <w:t xml:space="preserve"> </w:t>
      </w:r>
      <w:r>
        <w:rPr>
          <w:i/>
          <w:iCs/>
        </w:rPr>
        <w:t xml:space="preserve">Ethayarajh et al. (</w:t>
      </w:r>
      <w:hyperlink w:anchor="ref-ethayarajh2022">
        <w:r>
          <w:rPr>
            <w:rStyle w:val="Hyperlink"/>
            <w:i/>
            <w:iCs/>
          </w:rPr>
          <w:t xml:space="preserve">2022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, as the reduction in expected predictive Bayes risk of the best predictor</w:t>
      </w:r>
      <w:r>
        <w:rPr>
          <w:i/>
          <w:iCs/>
        </w:rPr>
        <w:t xml:space="preserve"> </w:t>
      </w:r>
      <w:r>
        <w:rPr>
          <w:i/>
          <w:iCs/>
        </w:rPr>
        <w:t xml:space="preserve">in a fixed family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 given the signal</w:t>
      </w:r>
      <w:r>
        <w:rPr>
          <w:i/>
          <w:iCs/>
        </w:rPr>
        <w:t xml:space="preserve"> </w:t>
      </w:r>
      <m:oMath>
        <m:r>
          <m:t>w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versus the null signal. If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 the predictor family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closed under pre-composition with measurable garblings, then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</m:oMath>
      <w:r>
        <w:rPr>
          <w:i/>
          <w:iCs/>
        </w:rPr>
        <w:t xml:space="preserve">. Hence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a Blackwell-monotone</w:t>
      </w:r>
      <w:r>
        <w:rPr>
          <w:i/>
          <w:iCs/>
        </w:rPr>
        <w:t xml:space="preserve"> </w:t>
      </w:r>
      <w:r>
        <w:rPr>
          <w:i/>
          <w:iCs/>
        </w:rPr>
        <w:t xml:space="preserve">scalar: it respects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but collapses it to one real number.</w:t>
      </w:r>
    </w:p>
    <w:bookmarkEnd w:id="46"/>
    <w:bookmarkStart w:id="47" w:name="rem:vinfo-scope"/>
    <w:p>
      <w:pPr>
        <w:pStyle w:val="BodyText"/>
      </w:pPr>
      <w:r>
        <w:rPr>
          <w:i/>
          <w:iCs/>
        </w:rPr>
        <w:t xml:space="preserve">Remark 3</w:t>
      </w:r>
      <w:r>
        <w:t xml:space="preserve"> </w:t>
      </w:r>
      <w:r>
        <w:t xml:space="preserve">(Scope of Proposition </w:t>
      </w:r>
      <w:hyperlink w:anchor="prop:vinfo-monotone">
        <w:r>
          <w:rPr>
            <w:rStyle w:val="Hyperlink"/>
          </w:rPr>
          <w:t xml:space="preserve">1</w:t>
        </w:r>
      </w:hyperlink>
      <w:r>
        <w:t xml:space="preserve">).</w:t>
      </w:r>
      <w:r>
        <w:t xml:space="preserve"> </w:t>
      </w:r>
      <w:r>
        <w:t xml:space="preserve"> </w:t>
      </w:r>
      <w:r>
        <w:t xml:space="preserve">The closure hypothesis (a family closed under pre-composition with garblings) is the natural</w:t>
      </w:r>
      <w:r>
        <w:t xml:space="preserve"> </w:t>
      </w:r>
      <w:r>
        <w:t xml:space="preserve">sufficient condition and holds for predictor families rich enough to apply a fixed measurable</w:t>
      </w:r>
      <w:r>
        <w:t xml:space="preserve"> </w:t>
      </w:r>
      <w:r>
        <w:t xml:space="preserve">post-processing; for narrower families monotonicity may fail and we do not claim it. We prove</w:t>
      </w:r>
      <w:r>
        <w:t xml:space="preserve"> </w:t>
      </w:r>
      <w:r>
        <w:t xml:space="preserve">monotonicity for the closest neighbour,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information, and conjecture, rather than</w:t>
      </w:r>
      <w:r>
        <w:t xml:space="preserve"> </w:t>
      </w:r>
      <w:r>
        <w:t xml:space="preserve">prove, the analogue for mutual information, perplexity-gap, and fixed-prior EIG, each of which is</w:t>
      </w:r>
      <w:r>
        <w:t xml:space="preserve"> </w:t>
      </w:r>
      <w:r>
        <w:t xml:space="preserve">a data-processing-monotone functional of the same kernels.</w:t>
      </w:r>
    </w:p>
    <w:bookmarkEnd w:id="47"/>
    <w:bookmarkEnd w:id="48"/>
    <w:bookmarkStart w:id="50" w:name="subsec:trap"/>
    <w:p>
      <w:pPr>
        <w:pStyle w:val="Heading2"/>
      </w:pPr>
      <w:r>
        <w:t xml:space="preserve">Query-conditioned scores: the relevance trap (empirical)</w:t>
      </w:r>
    </w:p>
    <w:p>
      <w:pPr>
        <w:pStyle w:val="FirstParagraph"/>
      </w:pPr>
      <w:r>
        <w:t xml:space="preserve">A query-conditioned score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e.g. the lexical or embedding relevance of a source to</w:t>
      </w:r>
      <w:r>
        <w:t xml:space="preserve"> </w:t>
      </w:r>
      <w:r>
        <w:t xml:space="preserve">the task prompt, which is what retrieval and RAG actually deploy, induces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order</w:t>
      </w:r>
      <w:r>
        <w:t xml:space="preserve"> </w:t>
      </w:r>
      <w:r>
        <w:t xml:space="preserve">per task and is therefore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single fixed total order. 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 it. We make two precise statements instead.</w:t>
      </w:r>
    </w:p>
    <w:bookmarkStart w:id="49" w:name="prop:trap-constrained"/>
    <w:p>
      <w:pPr>
        <w:pStyle w:val="BodyText"/>
      </w:pPr>
      <w:r>
        <w:rPr>
          <w:b/>
          <w:bCs/>
        </w:rPr>
        <w:t xml:space="preserve">Proposition 2</w:t>
      </w:r>
      <w:r>
        <w:t xml:space="preserve"> </w:t>
      </w:r>
      <w:r>
        <w:t xml:space="preserve">(Constrained impossibility for feature-measurable scores).</w:t>
      </w:r>
      <w:r>
        <w:t xml:space="preserve"> </w:t>
      </w:r>
      <w:r>
        <w:t xml:space="preserve"> </w:t>
      </w:r>
      <w:r>
        <w:rPr>
          <w:i/>
          <w:iCs/>
        </w:rPr>
        <w:t xml:space="preserve">Suppose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measurable with respect to a fixed feature map of the pair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that</w:t>
      </w:r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topical</w:t>
      </w:r>
      <w:r>
        <w:rPr>
          <w:i/>
          <w:iCs/>
        </w:rPr>
        <w:t xml:space="preserve">: it depends on</w:t>
      </w:r>
      <w:r>
        <w:rPr>
          <w:i/>
          <w:iCs/>
        </w:rPr>
        <w:t xml:space="preserve"> </w:t>
      </w:r>
      <m:oMath>
        <m:r>
          <m:t>W</m:t>
        </m:r>
        <m:r>
          <m:rPr>
            <m:sty m:val="p"/>
          </m:rPr>
          <m:t>,</m:t>
        </m:r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only through surface lexical overlap and is invariant to the</w:t>
      </w:r>
      <w:r>
        <w:rPr>
          <w:i/>
          <w:iCs/>
        </w:rPr>
        <w:t xml:space="preserve"> </w:t>
      </w:r>
      <w:r>
        <w:rPr>
          <w:i/>
          <w:iCs/>
        </w:rPr>
        <w:t xml:space="preserve">verifier-decisive coordinate of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. If there is a task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whose decisive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 is supplied by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but whose surface lexicon is saturated with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’s vocabulary,</w:t>
      </w:r>
      <w:r>
        <w:rPr>
          <w:i/>
          <w:iCs/>
        </w:rPr>
        <w:t xml:space="preserve"> </w:t>
      </w:r>
      <w:r>
        <w:rPr>
          <w:i/>
          <w:iCs/>
        </w:rPr>
        <w:t xml:space="preserve">then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while the realized utility ranks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≻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. Hence no topical query-conditioned score ranks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correctly on all tasks.</w:t>
      </w:r>
    </w:p>
    <w:bookmarkEnd w:id="49"/>
    <w:p>
      <w:pPr>
        <w:pStyle w:val="BodyText"/>
      </w:pPr>
      <w:r>
        <w:rPr>
          <w:i/>
          <w:iCs/>
        </w:rPr>
        <w:t xml:space="preserve">Proof.</w:t>
      </w:r>
      <w:r>
        <w:t xml:space="preserve"> </w:t>
      </w:r>
      <w:r>
        <w:t xml:space="preserve">By topical invariance,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ignores the verifier-decisive coordinate and orders by</w:t>
      </w:r>
      <w:r>
        <w:t xml:space="preserve"> </w:t>
      </w:r>
      <w:r>
        <w:t xml:space="preserve">lexical overlap, which favours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by construction; utility favours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’s</w:t>
      </w:r>
      <w:r>
        <w:t xml:space="preserve"> </w:t>
      </w:r>
      <w:r>
        <w:t xml:space="preserve">PASS requires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coordinate. The two orders disagree on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. ◻</w:t>
      </w:r>
    </w:p>
    <w:p>
      <w:pPr>
        <w:pStyle w:val="BodyText"/>
      </w:pPr>
      <w:r>
        <w:t xml:space="preserve">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is the strongest</w:t>
      </w:r>
      <w:r>
        <w:t xml:space="preserve"> </w:t>
      </w:r>
      <w:r>
        <w:rPr>
          <w:i/>
          <w:iCs/>
        </w:rPr>
        <w:t xml:space="preserve">general</w:t>
      </w:r>
      <w:r>
        <w:t xml:space="preserve"> </w:t>
      </w:r>
      <w:r>
        <w:t xml:space="preserve">statement we can make about</w:t>
      </w:r>
      <w:r>
        <w:t xml:space="preserve"> </w:t>
      </w:r>
      <w:r>
        <w:t xml:space="preserve">query-conditioned scores: it holds for any score in the topical (lexical-feature) class, but not for</w:t>
      </w:r>
      <w:r>
        <w:t xml:space="preserve"> </w:t>
      </w:r>
      <w:r>
        <w:t xml:space="preserve">an arbitrary learned reranker that could, in principle, read the private coordinate. We therefore</w:t>
      </w:r>
      <w:r>
        <w:t xml:space="preserve"> </w:t>
      </w:r>
      <w:r>
        <w:t xml:space="preserve">treat the defeat of query-conditioned relevance as an</w:t>
      </w:r>
      <w:r>
        <w:t xml:space="preserve"> </w:t>
      </w:r>
      <w:r>
        <w:rPr>
          <w:i/>
          <w:iCs/>
        </w:rPr>
        <w:t xml:space="preserve">empirical</w:t>
      </w:r>
      <w:r>
        <w:t xml:space="preserve"> </w:t>
      </w:r>
      <w:r>
        <w:t xml:space="preserve">result, demonstrated for the</w:t>
      </w:r>
      <w:r>
        <w:t xml:space="preserve"> </w:t>
      </w:r>
      <w:r>
        <w:t xml:space="preserve">concrete lexical-cosine score practitioners use. In 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task realizes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: bag-of-words cosine gives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&lt;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0.44</m:t>
        </m:r>
      </m:oMath>
      <w:r>
        <w:t xml:space="preserve"> </w:t>
      </w:r>
      <w:r>
        <w:t xml:space="preserve">(ranking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≻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), yet 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–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versus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across all six models. The same mis-rank is realized by representative open-weight learned rankers: two dense bi-encoders (BGE, E5) and a cross-encoder reranker all prefer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</w:t>
      </w:r>
      <w:r>
        <w:t xml:space="preserve"> </w:t>
      </w:r>
      <w:r>
        <w:t xml:space="preserve">(§</w:t>
      </w:r>
      <w:hyperlink w:anchor="sec:results-misrank">
        <w:r>
          <w:rPr>
            <w:rStyle w:val="Hyperlink"/>
          </w:rPr>
          <w:t xml:space="preserve">7.4.2</w:t>
        </w:r>
      </w:hyperlink>
      <w:r>
        <w:t xml:space="preserve">, Table </w:t>
      </w:r>
      <w:hyperlink w:anchor="tab:rankers">
        <w:r>
          <w:rPr>
            <w:rStyle w:val="Hyperlink"/>
          </w:rPr>
          <w:t xml:space="preserve">3</w:t>
        </w:r>
      </w:hyperlink>
      <w:r>
        <w:t xml:space="preserve">), so the topical class is not a lexical strawman: its failure mode is shared by the ranker</w:t>
      </w:r>
      <w:r>
        <w:t xml:space="preserve"> </w:t>
      </w:r>
      <w:r>
        <w:t xml:space="preserve">families retrieval systems actually deploy. We also measure the</w:t>
      </w:r>
      <w:r>
        <w:t xml:space="preserve"> </w:t>
      </w:r>
      <w:r>
        <w:t xml:space="preserve">boundary from the other side: an LLM</w:t>
      </w:r>
      <w:r>
        <w:t xml:space="preserve"> </w:t>
      </w:r>
      <w:r>
        <w:rPr>
          <w:i/>
          <w:iCs/>
        </w:rPr>
        <w:t xml:space="preserve">listwise</w:t>
      </w:r>
      <w:r>
        <w:t xml:space="preserve"> </w:t>
      </w:r>
      <w:r>
        <w:t xml:space="preserve">reranker, which reads both documents and can</w:t>
      </w:r>
      <w:r>
        <w:t xml:space="preserve"> </w:t>
      </w:r>
      <w:r>
        <w:t xml:space="preserve">therefore condition on the private coordinate itself, ranks the trap correctly (</w:t>
      </w:r>
      <m:oMath>
        <m:r>
          <m:t>30</m:t>
        </m:r>
        <m:r>
          <m:rPr>
            <m:sty m:val="p"/>
          </m:rPr>
          <m:t>/</m:t>
        </m:r>
        <m:r>
          <m:t>30</m:t>
        </m:r>
      </m:oMath>
      <w:r>
        <w:t xml:space="preserve">). This is</w:t>
      </w:r>
      <w:r>
        <w:t xml:space="preserve"> </w:t>
      </w:r>
      <w:r>
        <w:t xml:space="preserve">the behaviour 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predicts, its hypothesis is topicality</w:t>
      </w:r>
      <w:r>
        <w:t xml:space="preserve"> </w:t>
      </w:r>
      <w:r>
        <w:t xml:space="preserve">(invariance to the verifier-decisive coordinate), and a ranker that reads the coordinate is simply</w:t>
      </w:r>
      <w:r>
        <w:t xml:space="preserve"> </w:t>
      </w:r>
      <w:r>
        <w:t xml:space="preserve">outside the impossibility class.</w:t>
      </w:r>
    </w:p>
    <w:bookmarkEnd w:id="50"/>
    <w:bookmarkEnd w:id="51"/>
    <w:bookmarkStart w:id="63" w:name="sec:estimator"/>
    <w:p>
      <w:pPr>
        <w:pStyle w:val="Heading1"/>
      </w:pPr>
      <w:r>
        <w:t xml:space="preserve">The decision-restricted deficiency surrogate and its uniform certificate</w:t>
      </w:r>
    </w:p>
    <w:bookmarkStart w:id="53" w:name="subsec:estimator-name"/>
    <w:p>
      <w:pPr>
        <w:pStyle w:val="Heading2"/>
      </w:pPr>
      <w:r>
        <w:t xml:space="preserve">The surrogate and its correct name</w:t>
      </w:r>
    </w:p>
    <w:p>
      <w:pPr>
        <w:pStyle w:val="FirstParagraph"/>
      </w:pPr>
      <w:r>
        <w:t xml:space="preserve">Exact garblings over text are uncomputable and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partial, so we measure the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 of Definition </w:t>
      </w:r>
      <w:hyperlink w:anchor="def:dmorder">
        <w:r>
          <w:rPr>
            <w:rStyle w:val="Hyperlink"/>
          </w:rPr>
          <w:t xml:space="preserve">5</w:t>
        </w:r>
      </w:hyperlink>
      <w:r>
        <w:t xml:space="preserve">. Fix 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</w:t>
      </w:r>
      <w:r>
        <w:t xml:space="preserve"> </w:t>
      </w:r>
      <w:r>
        <w:t xml:space="preserve">finite task set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and define the</w:t>
      </w:r>
      <w:r>
        <w:t xml:space="preserve"> </w:t>
      </w:r>
      <w:r>
        <w:rPr>
          <w:i/>
          <w:iCs/>
        </w:rPr>
        <w:t xml:space="preserve">decision-restricted value-deficiency</w:t>
      </w:r>
      <w:r>
        <w:t xml:space="preserve"> </w:t>
      </w:r>
      <w:r>
        <w:t xml:space="preserve">(a one-sided</w:t>
      </w:r>
      <w:r>
        <w:t xml:space="preserve"> </w:t>
      </w:r>
      <w:r>
        <w:t xml:space="preserve">worst-case regret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relative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δ</m:t>
                  </m:r>
                </m:e>
              </m:acc>
            </m:e>
            <m:sub>
              <m:r>
                <m:rPr>
                  <m:scr m:val="script"/>
                  <m:sty m:val="p"/>
                </m:rPr>
                <m:t>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limLow>
                <m:e>
                  <m:r>
                    <m:rPr>
                      <m:sty m:val="p"/>
                    </m:rPr>
                    <m:t>sup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D</m:t>
                  </m:r>
                </m:lim>
              </m:limLow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estimated per cell by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r>
              <m:t>k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completions.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certifies empirical dominance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and mutual</w:t>
      </w:r>
      <w:r>
        <w:t xml:space="preserve"> </w:t>
      </w:r>
      <w:r>
        <w:t xml:space="preserve">positivity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certifies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-incomparability.</w:t>
      </w:r>
    </w:p>
    <w:bookmarkStart w:id="52" w:name="rem:notlecam"/>
    <w:p>
      <w:pPr>
        <w:pStyle w:val="BodyText"/>
      </w:pPr>
      <w:r>
        <w:rPr>
          <w:i/>
          <w:iCs/>
        </w:rPr>
        <w:t xml:space="preserve">Remark 4</w:t>
      </w:r>
      <w:r>
        <w:t xml:space="preserve"> </w:t>
      </w:r>
      <w:r>
        <w:t xml:space="preserve">(This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Le Cam deficiency).</w:t>
      </w:r>
      <w:r>
        <w:t xml:space="preserve"> </w:t>
      </w:r>
      <w:r>
        <w:t xml:space="preserve"> </w:t>
      </w:r>
      <w:r>
        <w:t xml:space="preserve">The Le Cam deficiency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cr m:val="script"/>
            <m:sty m:val="p"/>
          </m:rPr>
          <m:t>E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inf</m:t>
            </m:r>
          </m:e>
          <m:sub>
            <m:r>
              <m:t>G</m:t>
            </m:r>
          </m:sub>
        </m:sSub>
        <m:r>
          <m:t> </m:t>
        </m:r>
        <m:sSub>
          <m:e>
            <m:r>
              <m:rPr>
                <m:sty m:val="p"/>
              </m:rPr>
              <m:t>sup</m:t>
            </m:r>
          </m:e>
          <m:sub>
            <m:r>
              <m:rPr>
                <m:nor/>
                <m:sty m:val="p"/>
              </m:rPr>
              <m:t>loss</m:t>
            </m:r>
          </m:sub>
        </m:sSub>
        <m:d>
          <m:dPr>
            <m:begChr m:val="["/>
            <m:sepChr m:val=""/>
            <m:endChr m:val="]"/>
            <m:grow/>
          </m:dPr>
          <m:e>
            <m:sSub>
              <m:e>
                <m:r>
                  <m:t>R</m:t>
                </m:r>
              </m:e>
              <m:sub>
                <m:r>
                  <m:t>G</m:t>
                </m:r>
                <m:r>
                  <m:rPr>
                    <m:sty m:val="p"/>
                  </m:rPr>
                  <m:t>∘</m:t>
                </m:r>
                <m:r>
                  <m:rPr>
                    <m:scr m:val="script"/>
                    <m:sty m:val="p"/>
                  </m:rPr>
                  <m:t>E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R</m:t>
                </m:r>
              </m:e>
              <m:sub>
                <m:r>
                  <m:rPr>
                    <m:scr m:val="script"/>
                    <m:sty m:val="p"/>
                  </m:rPr>
                  <m:t>F</m:t>
                </m:r>
              </m:sub>
            </m:sSub>
          </m:e>
        </m:d>
      </m:oMath>
      <w:r>
        <w:t xml:space="preserve"> </w:t>
      </w:r>
      <w:r>
        <w:rPr>
          <w:i/>
          <w:iCs/>
        </w:rPr>
        <w:t xml:space="preserve">minimizes over garblings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takes a</w:t>
      </w:r>
      <w:r>
        <w:t xml:space="preserve"> </w:t>
      </w:r>
      <w:r>
        <w:rPr>
          <w:i/>
          <w:iCs/>
        </w:rPr>
        <w:t xml:space="preserve">supremum over a class of losses</w:t>
      </w:r>
      <w:r>
        <w:t xml:space="preserve"> </w:t>
      </w:r>
      <w:r>
        <w:t xml:space="preserve">(</w:t>
      </w:r>
      <w:hyperlink w:anchor="ref-lecam1964">
        <w:r>
          <w:rPr>
            <w:rStyle w:val="Hyperlink"/>
          </w:rPr>
          <w:t xml:space="preserve">Le Cam 1964</w:t>
        </w:r>
      </w:hyperlink>
      <w:r>
        <w:t xml:space="preserve">,</w:t>
      </w:r>
      <w:r>
        <w:t xml:space="preserve"> </w:t>
      </w:r>
      <w:hyperlink w:anchor="ref-lecam1986">
        <w:r>
          <w:rPr>
            <w:rStyle w:val="Hyperlink"/>
          </w:rPr>
          <w:t xml:space="preserve">1986</w:t>
        </w:r>
      </w:hyperlink>
      <w:r>
        <w:t xml:space="preserve">;</w:t>
      </w:r>
      <w:r>
        <w:t xml:space="preserve"> </w:t>
      </w:r>
      <w:hyperlink w:anchor="ref-torgersen1991">
        <w:r>
          <w:rPr>
            <w:rStyle w:val="Hyperlink"/>
          </w:rPr>
          <w:t xml:space="preserve">Torgersen 1991</w:t>
        </w:r>
      </w:hyperlink>
      <w:r>
        <w:t xml:space="preserve">)</w:t>
      </w:r>
      <w:r>
        <w:t xml:space="preserve">. The quantity in</w:t>
      </w:r>
      <w:r>
        <w:t xml:space="preserve"> </w:t>
      </w:r>
      <w:hyperlink w:anchor="eq:estimator">
        <w:r>
          <w:rPr>
            <w:rStyle w:val="Hyperlink"/>
          </w:rPr>
          <w:t xml:space="preserve">[eq:estimator]</w:t>
        </w:r>
      </w:hyperlink>
      <w:r>
        <w:t xml:space="preserve"> </w:t>
      </w:r>
      <w:r>
        <w:t xml:space="preserve">performs no garbling minimization and uses a single fixed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over</w:t>
      </w:r>
      <w:r>
        <w:t xml:space="preserve"> </w:t>
      </w:r>
      <w:r>
        <w:t xml:space="preserve">a fixed finite task set; it is a one-sided value/regret gap, not a deficiency. No general inequality</w:t>
      </w:r>
      <w:r>
        <w:t xml:space="preserve"> </w:t>
      </w:r>
      <w:r>
        <w:t xml:space="preserve">relates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to the true Le Cam deficiency for a fixed sub-optimal rule (it can be</w:t>
      </w:r>
      <w:r>
        <w:t xml:space="preserve"> </w:t>
      </w:r>
      <w:r>
        <w:t xml:space="preserve">larger or smaller in either direction). We therefore name</w:t>
      </w:r>
      <w:r>
        <w:t xml:space="preserve"> </w:t>
      </w:r>
      <w:hyperlink w:anchor="eq:estimator">
        <w:r>
          <w:rPr>
            <w:rStyle w:val="Hyperlink"/>
          </w:rPr>
          <w:t xml:space="preserve">[eq:estimator]</w:t>
        </w:r>
      </w:hyperlink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decision-restricted value-deficiency</w:t>
      </w:r>
      <w:r>
        <w:t xml:space="preserve"> </w:t>
      </w:r>
      <w:r>
        <w:t xml:space="preserve">and use</w:t>
      </w:r>
      <w:r>
        <w:t xml:space="preserve"> </w:t>
      </w:r>
      <w:r>
        <w:t xml:space="preserve">“Le Cam deficiency”</w:t>
      </w:r>
      <w:r>
        <w:t xml:space="preserve"> </w:t>
      </w:r>
      <w:r>
        <w:t xml:space="preserve">only as the conceptual</w:t>
      </w:r>
      <w:r>
        <w:t xml:space="preserve"> </w:t>
      </w:r>
      <w:r>
        <w:t xml:space="preserve">analogy that motivates a graded relaxation of the partial order. The one direction that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transfer is qualitative: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realizes the for-all-tasks-in-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dominance</w:t>
      </w:r>
      <w:r>
        <w:t xml:space="preserve"> </w:t>
      </w:r>
      <w:r>
        <w:t xml:space="preserve">of Definition </w:t>
      </w:r>
      <w:hyperlink w:anchor="def:dmorder">
        <w:r>
          <w:rPr>
            <w:rStyle w:val="Hyperlink"/>
          </w:rPr>
          <w:t xml:space="preserve">5</w:t>
        </w:r>
      </w:hyperlink>
      <w:r>
        <w:t xml:space="preserve">, the measurable shadow of Corollary </w:t>
      </w:r>
      <w:hyperlink w:anchor="cor:c1">
        <w:r>
          <w:rPr>
            <w:rStyle w:val="Hyperlink"/>
          </w:rPr>
          <w:t xml:space="preserve">1</w:t>
        </w:r>
      </w:hyperlink>
      <w:r>
        <w:t xml:space="preserve">.</w:t>
      </w:r>
    </w:p>
    <w:bookmarkEnd w:id="52"/>
    <w:bookmarkEnd w:id="53"/>
    <w:bookmarkStart w:id="56" w:name="subsec:certificate"/>
    <w:p>
      <w:pPr>
        <w:pStyle w:val="Heading2"/>
      </w:pPr>
      <w:r>
        <w:t xml:space="preserve">The uniform certificate</w:t>
      </w:r>
    </w:p>
    <w:p>
      <w:pPr>
        <w:pStyle w:val="FirstParagraph"/>
      </w:pPr>
      <w:r>
        <w:t xml:space="preserve">The surrogate</w:t>
      </w:r>
      <w:r>
        <w:t xml:space="preserve"> </w:t>
      </w:r>
      <w:hyperlink w:anchor="eq:estimator">
        <w:r>
          <w:rPr>
            <w:rStyle w:val="Hyperlink"/>
          </w:rPr>
          <w:t xml:space="preserve">[eq:estimator]</w:t>
        </w:r>
      </w:hyperlink>
      <w:r>
        <w:t xml:space="preserve"> </w:t>
      </w:r>
      <w:r>
        <w:t xml:space="preserve">selects the</w:t>
      </w:r>
      <w:r>
        <w:t xml:space="preserve"> </w:t>
      </w:r>
      <w:r>
        <w:rPr>
          <w:i/>
          <w:iCs/>
        </w:rPr>
        <w:t xml:space="preserve">argmax-gap</w:t>
      </w:r>
      <w:r>
        <w:t xml:space="preserve"> </w:t>
      </w:r>
      <w:r>
        <w:t xml:space="preserve">task, so a pointwise confidence</w:t>
      </w:r>
      <w:r>
        <w:t xml:space="preserve"> </w:t>
      </w:r>
      <w:r>
        <w:t xml:space="preserve">statement on a single task ignores the selection. We pay the multiplicity with an exact</w:t>
      </w:r>
      <w:r>
        <w:t xml:space="preserve"> </w:t>
      </w:r>
      <w:r>
        <w:t xml:space="preserve">Clopper–Pearson interval per cell and a union bound, which is distribution-free and finite-sample</w:t>
      </w:r>
      <w:r>
        <w:t xml:space="preserve"> </w:t>
      </w:r>
      <w:r>
        <w:t xml:space="preserve">valid.</w:t>
      </w:r>
    </w:p>
    <w:bookmarkStart w:id="54" w:name="prop:certificate"/>
    <w:p>
      <w:pPr>
        <w:pStyle w:val="BodyText"/>
      </w:pPr>
      <w:r>
        <w:rPr>
          <w:b/>
          <w:bCs/>
        </w:rPr>
        <w:t xml:space="preserve">Proposition 3</w:t>
      </w:r>
      <w:r>
        <w:t xml:space="preserve"> </w:t>
      </w:r>
      <w:r>
        <w:t xml:space="preserve">(Uniform incomparability certificate).</w:t>
      </w:r>
      <w:r>
        <w:t xml:space="preserve"> </w:t>
      </w:r>
      <w:r>
        <w:t xml:space="preserve"> </w:t>
      </w:r>
      <w:r>
        <w:rPr>
          <w:i/>
          <w:iCs/>
        </w:rPr>
        <w:t xml:space="preserve">Within each cell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draw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i.i.d. Bernoulli PASS outcomes (see</w:t>
      </w:r>
      <w:r>
        <w:rPr>
          <w:i/>
          <w:iCs/>
        </w:rPr>
        <w:t xml:space="preserve"> </w:t>
      </w:r>
      <w:r>
        <w:rPr>
          <w:i/>
          <w:iCs/>
        </w:rPr>
        <w:t xml:space="preserve">Assumption </w:t>
      </w:r>
      <w:hyperlink w:anchor="ass:iid">
        <w:r>
          <w:rPr>
            <w:rStyle w:val="Hyperlink"/>
            <w:i/>
            <w:iCs/>
          </w:rPr>
          <w:t xml:space="preserve">2</w:t>
        </w:r>
      </w:hyperlink>
      <w:r>
        <w:rPr>
          <w:i/>
          <w:iCs/>
        </w:rPr>
        <w:t xml:space="preserve">). Let</w:t>
      </w:r>
      <w:r>
        <w:rPr>
          <w:i/>
          <w:iCs/>
        </w:rPr>
        <w:t xml:space="preserve"> </w:t>
      </w:r>
      <m:oMath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the exact (two-sided) Clopper–Pearson</w:t>
      </w:r>
      <w:r>
        <w:rPr>
          <w:i/>
          <w:iCs/>
        </w:rPr>
        <w:t xml:space="preserve"> </w:t>
      </w:r>
      <w:r>
        <w:rPr>
          <w:i/>
          <w:iCs/>
        </w:rPr>
        <w:t xml:space="preserve">interval </w:t>
      </w:r>
      <w:r>
        <w:rPr>
          <w:i/>
          <w:iCs/>
        </w:rPr>
        <w:t xml:space="preserve">(</w:t>
      </w:r>
      <w:hyperlink w:anchor="ref-clopperpearson1934">
        <w:r>
          <w:rPr>
            <w:rStyle w:val="Hyperlink"/>
            <w:i/>
            <w:iCs/>
          </w:rPr>
          <w:t xml:space="preserve">Clopper and Pearson 1934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m:oMath>
        <m:sSub>
          <m:e>
            <m:r>
              <m:t>p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level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rPr>
          <w:i/>
          <w:iCs/>
        </w:rPr>
        <w:t xml:space="preserve">. By the Bonferroni/union bound </w:t>
      </w:r>
      <w:r>
        <w:rPr>
          <w:i/>
          <w:iCs/>
        </w:rPr>
        <w:t xml:space="preserve">(</w:t>
      </w:r>
      <w:hyperlink w:anchor="ref-bonferroni1936">
        <w:r>
          <w:rPr>
            <w:rStyle w:val="Hyperlink"/>
            <w:i/>
            <w:iCs/>
          </w:rPr>
          <w:t xml:space="preserve">Bonferroni 1936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over the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proportions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sSub>
          <m:e>
            <m:r>
              <m:rPr>
                <m:sty m:val="p"/>
              </m:rPr>
              <m:t>}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rPr>
          <w:i/>
          <w:iCs/>
        </w:rPr>
        <w:t xml:space="preserve">, all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intervals hold simultaneously with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at least</w:t>
      </w:r>
      <w:r>
        <w:rPr>
          <w:i/>
          <w:iCs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 On that event,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rPr>
                  <m:scr m:val="script"/>
                  <m:sty m:val="p"/>
                </m:rPr>
                <m:t>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D</m:t>
              </m:r>
            </m:lim>
          </m:limLow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t>L</m:t>
                  </m:r>
                </m:e>
                <m:sub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t> </m:t>
              </m:r>
            </m:e>
          </m:d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is a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lower confidence bound on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[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</m:oMath>
      <w:r>
        <w:rPr>
          <w:i/>
          <w:iCs/>
        </w:rPr>
        <w:t xml:space="preserve">. Hence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certifies</w:t>
      </w:r>
      <w:r>
        <w:rPr>
          <w:i/>
          <w:i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confidence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Both directions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read off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same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intervals, so the</w:t>
      </w:r>
      <w:r>
        <w:rPr>
          <w:i/>
          <w:iCs/>
        </w:rPr>
        <w:t xml:space="preserve"> </w:t>
      </w:r>
      <w:r>
        <w:rPr>
          <w:i/>
          <w:iCs/>
        </w:rPr>
        <w:t xml:space="preserve">joint incomparability claim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holds at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no additional correction. The matching quantity</w:t>
      </w:r>
      <w:r>
        <w:rPr>
          <w:i/>
          <w:iCs/>
        </w:rP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 </m:t>
            </m:r>
            <m:sSub>
              <m:e>
                <m:r>
                  <m:t>U</m:t>
                </m:r>
              </m:e>
              <m:sub>
                <m:sSub>
                  <m:e>
                    <m:r>
                      <m:t>W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L</m:t>
                </m:r>
              </m:e>
              <m:sub>
                <m:sSub>
                  <m:e>
                    <m:r>
                      <m:t>W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r>
              <m:t> </m:t>
            </m:r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is, on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event, a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upper</w:t>
      </w:r>
      <w:r>
        <w:rPr>
          <w:i/>
          <w:iCs/>
        </w:rPr>
        <w:t xml:space="preserve"> </w:t>
      </w:r>
      <w:r>
        <w:rPr>
          <w:i/>
          <w:iCs/>
        </w:rPr>
        <w:t xml:space="preserve">confidence bound on the same supremum; the dominance control</w:t>
      </w:r>
      <w:r>
        <w:rPr>
          <w:i/>
          <w:iCs/>
        </w:rPr>
        <w:t xml:space="preserve"> </w:t>
      </w:r>
      <w:r>
        <w:rPr>
          <w:i/>
          <w:iCs/>
        </w:rPr>
        <w:t xml:space="preserve">uses it to certify</w:t>
      </w:r>
      <w:r>
        <w:rPr>
          <w:i/>
          <w:i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 to the equivalence margin.</w:t>
      </w:r>
    </w:p>
    <w:bookmarkEnd w:id="54"/>
    <w:p>
      <w:pPr>
        <w:pStyle w:val="FirstParagraph"/>
      </w:pPr>
      <w:r>
        <w:t xml:space="preserve">A naive single-sample DKW bound under-covers this supremum, because the object is a maximum of</w:t>
      </w:r>
      <w:r>
        <w:t xml:space="preserve"> </w:t>
      </w:r>
      <w:r>
        <w:t xml:space="preserve">differences of binomial means across distinct cells and the certificate selects the argmax-gap</w:t>
      </w:r>
      <w:r>
        <w:t xml:space="preserve"> </w:t>
      </w:r>
      <w:r>
        <w:t xml:space="preserve">cell, so the multiplicity must be paid explicitly rather than absorbed into a single-sample</w:t>
      </w:r>
      <w:r>
        <w:t xml:space="preserve"> </w:t>
      </w:r>
      <w:r>
        <w:t xml:space="preserve">envelope (Appendix </w:t>
      </w:r>
      <w:hyperlink w:anchor="app:proofs">
        <w:r>
          <w:rPr>
            <w:rStyle w:val="Hyperlink"/>
          </w:rPr>
          <w:t xml:space="preserve">10</w:t>
        </w:r>
      </w:hyperlink>
      <w:r>
        <w:t xml:space="preserve">); the resulting construction aligns with recent statistical</w:t>
      </w:r>
      <w:r>
        <w:t xml:space="preserve"> </w:t>
      </w:r>
      <w:r>
        <w:t xml:space="preserve">guidance for black-box LLM evaluation (Appendix </w:t>
      </w:r>
      <w:hyperlink w:anchor="app:proofs">
        <w:r>
          <w:rPr>
            <w:rStyle w:val="Hyperlink"/>
          </w:rPr>
          <w:t xml:space="preserve">10</w:t>
        </w:r>
      </w:hyperlink>
      <w:r>
        <w:t xml:space="preserve">).</w:t>
      </w:r>
    </w:p>
    <w:bookmarkStart w:id="55" w:name="ass:iid"/>
    <w:p>
      <w:pPr>
        <w:pStyle w:val="BodyText"/>
      </w:pPr>
      <w:r>
        <w:rPr>
          <w:b/>
          <w:bCs/>
        </w:rPr>
        <w:t xml:space="preserve">Assumption 2</w:t>
      </w:r>
      <w:r>
        <w:t xml:space="preserve"> </w:t>
      </w:r>
      <w:r>
        <w:t xml:space="preserve">(Sampling regime).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within a cell are i.i.d. Bernoulli draws of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This holds when</w:t>
      </w:r>
      <w:r>
        <w:t xml:space="preserve"> </w:t>
      </w:r>
      <w:r>
        <w:t xml:space="preserve">completions are sampled independently at fixed temperature/top-</w:t>
      </w:r>
      <m:oMath>
        <m:r>
          <m:t>p</m:t>
        </m:r>
      </m:oMath>
      <w:r>
        <w:t xml:space="preserve"> </w:t>
      </w:r>
      <w:r>
        <w:t xml:space="preserve">with independent randomness per</w:t>
      </w:r>
      <w:r>
        <w:t xml:space="preserve"> </w:t>
      </w:r>
      <w:r>
        <w:t xml:space="preserve">draw; for the single-shot arms (one completion + deterministic code extraction per draw) the draws</w:t>
      </w:r>
      <w:r>
        <w:t xml:space="preserve"> </w:t>
      </w:r>
      <w:r>
        <w:t xml:space="preserve">are manifestly independent. For the agentic arms (</w:t>
      </w:r>
      <w:r>
        <w:rPr>
          <w:rStyle w:val="VerbatimChar"/>
        </w:rPr>
        <w:t xml:space="preserve">claude -p</w:t>
      </w:r>
      <w:r>
        <w:t xml:space="preserve">, multi-turn) independence is</w:t>
      </w:r>
      <w:r>
        <w:t xml:space="preserve"> </w:t>
      </w:r>
      <w:r>
        <w:t xml:space="preserve">across</w:t>
      </w:r>
      <w:r>
        <w:t xml:space="preserve"> </w:t>
      </w:r>
      <w:r>
        <w:rPr>
          <w:i/>
          <w:iCs/>
        </w:rPr>
        <w:t xml:space="preserve">trajectories</w:t>
      </w:r>
      <w:r>
        <w:t xml:space="preserve">: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is a fresh trajectory with no shared state, so the</w:t>
      </w:r>
      <w:r>
        <w:t xml:space="preserve"> </w:t>
      </w:r>
      <w:r>
        <w:t xml:space="preserve">binomial model applies to the trajectory-level PASS outcome; we report decoding configuration and</w:t>
      </w:r>
      <w:r>
        <w:t xml:space="preserve"> </w:t>
      </w:r>
      <w:r>
        <w:t xml:space="preserve">defend this independence in 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. Where draws are near-deterministic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stark cells), Clopper–Pearson collapses and the certificate is conservative.</w:t>
      </w:r>
    </w:p>
    <w:bookmarkEnd w:id="55"/>
    <w:bookmarkEnd w:id="56"/>
    <w:bookmarkStart w:id="59" w:name="subsec:interference"/>
    <w:p>
      <w:pPr>
        <w:pStyle w:val="Heading2"/>
      </w:pPr>
      <w:r>
        <w:t xml:space="preserve">The interference certificate (anti-monotonicity)</w:t>
      </w:r>
    </w:p>
    <w:p>
      <w:pPr>
        <w:pStyle w:val="FirstParagraph"/>
      </w:pPr>
      <w:r>
        <w:t xml:space="preserve">The deficiency surrogate also detects a phenomenon the optimal-value order forbids but a fixed rule</w:t>
      </w:r>
      <w:r>
        <w:t xml:space="preserve"> </w:t>
      </w:r>
      <w:r>
        <w:t xml:space="preserve">can exhibit: supplying a</w:t>
      </w:r>
      <w:r>
        <w:t xml:space="preserve"> </w:t>
      </w:r>
      <w:r>
        <w:rPr>
          <w:i/>
          <w:iCs/>
        </w:rPr>
        <w:t xml:space="preserve">superset</w:t>
      </w:r>
      <w:r>
        <w:t xml:space="preserve"> </w:t>
      </w:r>
      <w:r>
        <w:t xml:space="preserve">source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(revealing strictly more coordinates than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 Definition </w:t>
      </w:r>
      <w:hyperlink w:anchor="def:projection">
        <w:r>
          <w:rPr>
            <w:rStyle w:val="Hyperlink"/>
          </w:rPr>
          <w:t xml:space="preserve">3</w:t>
        </w:r>
      </w:hyperlink>
      <w:r>
        <w:t xml:space="preserve">) can</w:t>
      </w:r>
      <w:r>
        <w:t xml:space="preserve"> </w:t>
      </w:r>
      <w:r>
        <w:rPr>
          <w:i/>
          <w:iCs/>
        </w:rPr>
        <w:t xml:space="preserve">degrade</w:t>
      </w:r>
      <w:r>
        <w:t xml:space="preserve"> </w:t>
      </w:r>
      <w:r>
        <w:t xml:space="preserve">performance. Define the per-task</w:t>
      </w:r>
      <w:r>
        <w:t xml:space="preserve"> </w:t>
      </w:r>
      <w:r>
        <w:t xml:space="preserve">interference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Ψ</m:t>
              </m:r>
            </m:e>
            <m:sub>
              <m:r>
                <m:t>T</m:t>
              </m:r>
            </m:sub>
          </m:sSub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nor/>
              <m:scr m:val="monospace"/>
              <m:sty m:val="p"/>
            </m:rPr>
            <m:t>none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second-difference (interaction) of adding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top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We write the interaction as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(rather than a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would collide with mutual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). A</w:t>
      </w:r>
      <w:r>
        <w:t xml:space="preserve"> </w:t>
      </w:r>
      <w:r>
        <w:t xml:space="preserve">certified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on a cell whose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is at ceiling is the localized statement that</w:t>
      </w:r>
      <w:r>
        <w:t xml:space="preserve"> </w:t>
      </w:r>
      <w:r>
        <w:t xml:space="preserve">“more</w:t>
      </w:r>
      <w:r>
        <w:t xml:space="preserve"> </w:t>
      </w:r>
      <w:r>
        <w:t xml:space="preserve">strictly-more-informative context hurts.”</w:t>
      </w:r>
    </w:p>
    <w:bookmarkStart w:id="57" w:name="prop:interference"/>
    <w:p>
      <w:pPr>
        <w:pStyle w:val="BodyText"/>
      </w:pPr>
      <w:r>
        <w:rPr>
          <w:b/>
          <w:bCs/>
        </w:rPr>
        <w:t xml:space="preserve">Proposition 4</w:t>
      </w:r>
      <w:r>
        <w:t xml:space="preserve"> </w:t>
      </w:r>
      <w:r>
        <w:t xml:space="preserve">(Interference certificate).</w:t>
      </w:r>
      <w:r>
        <w:t xml:space="preserve"> </w:t>
      </w:r>
      <w:r>
        <w:t xml:space="preserve"> </w:t>
      </w:r>
      <w:r>
        <w:rPr>
          <w:i/>
          <w:iCs/>
        </w:rPr>
        <w:t xml:space="preserve">Fix a target task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chosen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before</w:t>
      </w:r>
      <w:r>
        <w:rPr>
          <w:i/>
          <w:iCs/>
        </w:rPr>
        <w:t xml:space="preserve"> </w:t>
      </w:r>
      <w:r>
        <w:rPr>
          <w:i/>
          <w:iCs/>
        </w:rPr>
        <w:t xml:space="preserve">unblinding. With per-cell exact</w:t>
      </w:r>
      <w:r>
        <w:rPr>
          <w:i/>
          <w:iCs/>
        </w:rPr>
        <w:t xml:space="preserve"> </w:t>
      </w:r>
      <w:r>
        <w:rPr>
          <w:i/>
          <w:iCs/>
        </w:rPr>
        <w:t xml:space="preserve">Clopper–Pearson endpoints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at level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4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the four arms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Ψ</m:t>
                  </m:r>
                </m:e>
              </m:bar>
            </m:e>
            <m:sub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rPr>
                  <m:nor/>
                  <m:scr m:val="monospace"/>
                  <m:sty m:val="p"/>
                </m:rPr>
                <m:t>none</m:t>
              </m:r>
            </m:sub>
          </m:sSub>
          <m:r>
            <m:rPr>
              <m:sty m:val="p"/>
            </m:rPr>
            <m:t>)</m:t>
          </m:r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is a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upper confidence bound on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rPr>
          <w:i/>
          <w:iCs/>
        </w:rPr>
        <w:t xml:space="preserve">. Hence</w:t>
      </w:r>
      <w:r>
        <w:rPr>
          <w:i/>
          <w:iCs/>
        </w:rP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Ψ</m:t>
                </m:r>
              </m:e>
            </m:ba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certifies harmful non-monotonicity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confidence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 If instead</w:t>
      </w:r>
      <w:r>
        <w:rPr>
          <w:i/>
          <w:iCs/>
        </w:rPr>
        <w:t xml:space="preserve"> </w:t>
      </w:r>
      <w:r>
        <w:rPr>
          <w:i/>
          <w:iCs/>
        </w:rPr>
        <w:t xml:space="preserve">the harmful cell 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selected</w:t>
      </w:r>
      <w:r>
        <w:rPr>
          <w:i/>
          <w:iCs/>
        </w:rPr>
        <w:t xml:space="preserve"> </w:t>
      </w: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candidates after unblinding, use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i/>
          <w:iCs/>
        </w:rPr>
        <w:t xml:space="preserve">this is the same selection correction the certificate applies to the deficiency surrogate</w:t>
      </w:r>
      <w:r>
        <w:rPr>
          <w:i/>
          <w:iCs/>
        </w:rPr>
        <w:t xml:space="preserve"> </w:t>
      </w:r>
      <w:r>
        <w:rPr>
          <w:i/>
          <w:iCs/>
        </w:rPr>
        <w:t xml:space="preserve">(Remark </w:t>
      </w:r>
      <w:hyperlink w:anchor="rem:dkw">
        <w:r>
          <w:rPr>
            <w:rStyle w:val="Hyperlink"/>
            <w:i/>
            <w:iCs/>
          </w:rPr>
          <w:t xml:space="preserve">6</w:t>
        </w:r>
      </w:hyperlink>
      <w:r>
        <w:rPr>
          <w:i/>
          <w:iCs/>
        </w:rPr>
        <w:t xml:space="preserve">), and omitting it would repeat the multiplicity error we criticize.</w:t>
      </w:r>
    </w:p>
    <w:bookmarkEnd w:id="57"/>
    <w:bookmarkStart w:id="58" w:name="rem:leaky"/>
    <w:p>
      <w:pPr>
        <w:pStyle w:val="FirstParagraph"/>
      </w:pPr>
      <w:r>
        <w:rPr>
          <w:i/>
          <w:iCs/>
        </w:rPr>
        <w:t xml:space="preserve">Remark 5</w:t>
      </w:r>
      <w:r>
        <w:t xml:space="preserve"> </w:t>
      </w:r>
      <w:r>
        <w:t xml:space="preserve">(The leaky-baseline limitation, stated as a protocol).</w:t>
      </w:r>
      <w:r>
        <w:t xml:space="preserve"> </w:t>
      </w:r>
      <w:r>
        <w:t xml:space="preserve"> </w:t>
      </w:r>
      <w:r>
        <w:t xml:space="preserve">The upper bound</w:t>
      </w:r>
      <w:r>
        <w:t xml:space="preserve"> </w:t>
      </w:r>
      <w:hyperlink w:anchor="eq:psiupper">
        <w:r>
          <w:rPr>
            <w:rStyle w:val="Hyperlink"/>
          </w:rPr>
          <w:t xml:space="preserve">[eq:psiupper]</w:t>
        </w:r>
      </w:hyperlink>
      <w:r>
        <w:t xml:space="preserve"> </w:t>
      </w:r>
      <w:r>
        <w:t xml:space="preserve">includes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cr m:val="monospace"/>
                <m:sty m:val="p"/>
              </m:rPr>
              <m:t>none</m:t>
            </m:r>
          </m:sub>
        </m:sSub>
        <m:r>
          <m:rPr>
            <m:sty m:val="p"/>
          </m:rPr>
          <m:t>)</m:t>
        </m:r>
      </m:oMath>
      <w:r>
        <w:t xml:space="preserve">, so it</w:t>
      </w:r>
      <w:r>
        <w:t xml:space="preserve"> </w:t>
      </w:r>
      <w:r>
        <w:t xml:space="preserve">can certify harm only on cells whose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-baseline floors near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convention is</w:t>
      </w:r>
      <w:r>
        <w:t xml:space="preserve"> </w:t>
      </w:r>
      <w:r>
        <w:t xml:space="preserve">unguessable for the model under test). When the baseline is non-zero, e.g. 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=</m:t>
        </m:r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for GPT-5.5,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 </w:t>
      </w:r>
      <w:r>
        <w:t xml:space="preserve">for Kimi,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 </w:t>
      </w:r>
      <w:r>
        <w:t xml:space="preserve">for Opus, the bound is mechanically</w:t>
      </w:r>
      <w:r>
        <w:t xml:space="preserve"> </w:t>
      </w:r>
      <w:r>
        <w:t xml:space="preserve">slack and harm is not certifiable even when the point estimate is strongly negative. We therefore</w:t>
      </w:r>
      <w:r>
        <w:t xml:space="preserve"> </w:t>
      </w:r>
      <w:r>
        <w:t xml:space="preserve">adopt the explicit protocol:</w:t>
      </w:r>
      <w:r>
        <w:t xml:space="preserve"> </w:t>
      </w:r>
      <w:r>
        <w:rPr>
          <w:i/>
          <w:iCs/>
        </w:rPr>
        <w:t xml:space="preserve">certify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only on cells whose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none</w:t>
      </w:r>
      <w:r>
        <w:rPr>
          <w:i/>
          <w:iCs/>
        </w:rPr>
        <w:t xml:space="preserve">-baseline</w:t>
      </w:r>
      <w:r>
        <w:rPr>
          <w:i/>
          <w:iCs/>
        </w:rPr>
        <w:t xml:space="preserve"> </w:t>
      </w:r>
      <w:r>
        <w:rPr>
          <w:i/>
          <w:iCs/>
        </w:rPr>
        <w:t xml:space="preserve">floors near</w:t>
      </w:r>
      <w:r>
        <w:rPr>
          <w:i/>
          <w:iCs/>
        </w:rPr>
        <w:t xml:space="preserve"> </w:t>
      </w:r>
      <m:oMath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the model under test</w:t>
      </w:r>
      <w:r>
        <w:t xml:space="preserve">, and report, per model, which cell carried the certificate</w:t>
      </w:r>
      <w:r>
        <w:t xml:space="preserve"> </w:t>
      </w:r>
      <w:r>
        <w:t xml:space="preserve">and what its baseline was. This makes the cell selection a stated rule rather than an outcome-driven</w:t>
      </w:r>
      <w:r>
        <w:t xml:space="preserve"> </w:t>
      </w:r>
      <w:r>
        <w:t xml:space="preserve">choice. The same model-relative guessability that defines the value of private context</w:t>
      </w:r>
      <w:r>
        <w:t xml:space="preserve"> </w:t>
      </w:r>
      <w:r>
        <w:t xml:space="preserve">(§</w:t>
      </w:r>
      <w:hyperlink w:anchor="subsec:theta">
        <w:r>
          <w:rPr>
            <w:rStyle w:val="Hyperlink"/>
          </w:rPr>
          <w:t xml:space="preserve">3.3</w:t>
        </w:r>
      </w:hyperlink>
      <w:r>
        <w:t xml:space="preserve">) thus governs which cells can carry the interference certificate.</w:t>
      </w:r>
    </w:p>
    <w:bookmarkEnd w:id="58"/>
    <w:bookmarkEnd w:id="59"/>
    <w:bookmarkStart w:id="61" w:name="subsec:antimono"/>
    <w:p>
      <w:pPr>
        <w:pStyle w:val="Heading2"/>
      </w:pPr>
      <w:r>
        <w:t xml:space="preserve">Anti-monotonicity as information non-monotonicity of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</w:p>
    <w:p>
      <w:pPr>
        <w:pStyle w:val="FirstParagraph"/>
      </w:pPr>
      <w:r>
        <w:t xml:space="preserve">A certified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on a ceiling-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cell is more than a curiosity: it is a falsification</w:t>
      </w:r>
      <w:r>
        <w:t xml:space="preserve"> </w:t>
      </w:r>
      <w:r>
        <w:t xml:space="preserve">of Blackwell superset-dominance</w:t>
      </w:r>
      <w:r>
        <w:t xml:space="preserve"> </w:t>
      </w:r>
      <w:r>
        <w:rPr>
          <w:i/>
          <w:iCs/>
        </w:rPr>
        <w:t xml:space="preserve">for the fixed model rule</w:t>
      </w:r>
      <w:r>
        <w:t xml:space="preserve">, and it pinpoints exactly where the</w:t>
      </w:r>
      <w:r>
        <w:t xml:space="preserve"> </w:t>
      </w:r>
      <w:r>
        <w:t xml:space="preserve">optimal-rule order (Theorem </w:t>
      </w:r>
      <w:hyperlink w:anchor="thm:blackwell">
        <w:r>
          <w:rPr>
            <w:rStyle w:val="Hyperlink"/>
          </w:rPr>
          <w:t xml:space="preserve">1</w:t>
        </w:r>
      </w:hyperlink>
      <w:r>
        <w:t xml:space="preserve">) and the realized rule diverge.</w:t>
      </w:r>
    </w:p>
    <w:bookmarkStart w:id="60" w:name="thm:antimono"/>
    <w:p>
      <w:pPr>
        <w:pStyle w:val="BodyText"/>
      </w:pPr>
      <w:r>
        <w:rPr>
          <w:b/>
          <w:bCs/>
        </w:rPr>
        <w:t xml:space="preserve">Theorem 3</w:t>
      </w:r>
      <w:r>
        <w:t xml:space="preserve"> </w:t>
      </w:r>
      <w:r>
        <w:t xml:space="preserve">(Information non-monotonicity of the model rule).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reveal a superset of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’s coordinates, so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(Lemma </w:t>
      </w:r>
      <w:hyperlink w:anchor="lem:noref">
        <w:r>
          <w:rPr>
            <w:rStyle w:val="Hyperlink"/>
            <w:i/>
            <w:iCs/>
          </w:rPr>
          <w:t xml:space="preserve">1</w:t>
        </w:r>
      </w:hyperlink>
      <w:r>
        <w:rPr>
          <w:i/>
          <w:iCs/>
        </w:rPr>
        <w:t xml:space="preserve">). Any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Blackwell-coherent</w:t>
      </w:r>
      <w:r>
        <w:rPr>
          <w:i/>
          <w:iCs/>
        </w:rPr>
        <w:t xml:space="preserve"> </w:t>
      </w:r>
      <w:r>
        <w:rPr>
          <w:i/>
          <w:iCs/>
        </w:rPr>
        <w:t xml:space="preserve">rule, one whose value is monotone under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, as the Bayes rule</w:t>
      </w:r>
      <w:r>
        <w:rPr>
          <w:i/>
          <w:iCs/>
        </w:rP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is by Theorem </w:t>
      </w:r>
      <w:hyperlink w:anchor="thm:blackwell">
        <w:r>
          <w:rPr>
            <w:rStyle w:val="Hyperlink"/>
            <w:i/>
            <w:iCs/>
          </w:rPr>
          <w:t xml:space="preserve">1</w:t>
        </w:r>
      </w:hyperlink>
      <w:r>
        <w:rPr>
          <w:i/>
          <w:iCs/>
        </w:rPr>
        <w:t xml:space="preserve">, satisfies</w:t>
      </w:r>
      <w:r>
        <w:rPr>
          <w:i/>
          <w:iCs/>
        </w:rP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every task</w:t>
      </w:r>
      <w:r>
        <w:rPr>
          <w:i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. If a fixed model rule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has a task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rPr>
          <w:i/>
          <w:iCs/>
        </w:rPr>
        <w:t xml:space="preserve">, then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Blackwell-coherent: it violates</w:t>
      </w:r>
      <w:r>
        <w:rPr>
          <w:i/>
          <w:iCs/>
        </w:rPr>
        <w:t xml:space="preserve"> </w:t>
      </w:r>
      <w:r>
        <w:rPr>
          <w:i/>
          <w:iCs/>
        </w:rPr>
        <w:t xml:space="preserve">monotonicity under the garbling order on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. In particular no monotone-submodular scalar</w:t>
      </w:r>
      <w:r>
        <w:rPr>
          <w:i/>
          <w:iCs/>
        </w:rPr>
        <w:t xml:space="preserve"> </w:t>
      </w:r>
      <w:r>
        <w:rPr>
          <w:i/>
          <w:iCs/>
        </w:rPr>
        <w:t xml:space="preserve">context-value score can predict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’s behaviour on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.</w:t>
      </w:r>
    </w:p>
    <w:bookmarkEnd w:id="60"/>
    <w:p>
      <w:pPr>
        <w:pStyle w:val="BodyText"/>
      </w:pPr>
      <w:r>
        <w:t xml:space="preserve">Theorem </w:t>
      </w:r>
      <w:hyperlink w:anchor="thm:antimono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converts the empirical collapse into a structural statement: the harm is</w:t>
      </w:r>
      <w:r>
        <w:t xml:space="preserve"> </w:t>
      </w:r>
      <w:r>
        <w:t xml:space="preserve">not noise but a witness that real LLM decision rules are not Blackwell-coherent, which is precisely</w:t>
      </w:r>
      <w:r>
        <w:t xml:space="preserve"> </w:t>
      </w:r>
      <w:r>
        <w:t xml:space="preserve">the gap Lemma </w:t>
      </w:r>
      <w:hyperlink w:anchor="lem:bridge">
        <w:r>
          <w:rPr>
            <w:rStyle w:val="Hyperlink"/>
          </w:rPr>
          <w:t xml:space="preserve">2</w:t>
        </w:r>
      </w:hyperlink>
      <w:r>
        <w:t xml:space="preserve">(b) warned cannot be closed without value attainment. The deficiency</w:t>
      </w:r>
      <w:r>
        <w:t xml:space="preserve"> </w:t>
      </w:r>
      <w:r>
        <w:t xml:space="preserve">surrogate detects this reversal because it tracks realized PASS, whereas every monotone scalar must</w:t>
      </w:r>
      <w:r>
        <w:t xml:space="preserve"> </w:t>
      </w:r>
      <w:r>
        <w:t xml:space="preserve">miss it by construction.</w:t>
      </w:r>
    </w:p>
    <w:bookmarkEnd w:id="61"/>
    <w:bookmarkStart w:id="62" w:name="subsec:fwer"/>
    <w:p>
      <w:pPr>
        <w:pStyle w:val="Heading2"/>
      </w:pPr>
      <w:r>
        <w:t xml:space="preserve">Family-wise error across the certified claims</w:t>
      </w:r>
    </w:p>
    <w:p>
      <w:pPr>
        <w:pStyle w:val="FirstParagraph"/>
      </w:pPr>
      <w:r>
        <w:t xml:space="preserve">Each certificate above controls error</w:t>
      </w:r>
      <w:r>
        <w:t xml:space="preserve"> </w:t>
      </w:r>
      <w:r>
        <w:rPr>
          <w:i/>
          <w:iCs/>
        </w:rPr>
        <w:t xml:space="preserve">marginally</w:t>
      </w:r>
      <w:r>
        <w:t xml:space="preserve"> </w:t>
      </w:r>
      <w:r>
        <w:t xml:space="preserve">at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for its own claim</w:t>
      </w:r>
      <w:r>
        <w:t xml:space="preserve"> </w:t>
      </w:r>
      <w:r>
        <w:t xml:space="preserve">(incomparability via Proposition </w:t>
      </w:r>
      <w:hyperlink w:anchor="prop:certificate">
        <w:r>
          <w:rPr>
            <w:rStyle w:val="Hyperlink"/>
          </w:rPr>
          <w:t xml:space="preserve">3</w:t>
        </w:r>
      </w:hyperlink>
      <w:r>
        <w:t xml:space="preserve">; interference via</w:t>
      </w:r>
      <w:r>
        <w:t xml:space="preserve"> </w:t>
      </w:r>
      <w:r>
        <w:t xml:space="preserve">Proposition </w:t>
      </w:r>
      <w:hyperlink w:anchor="prop:interference">
        <w:r>
          <w:rPr>
            <w:rStyle w:val="Hyperlink"/>
          </w:rPr>
          <w:t xml:space="preserve">4</w:t>
        </w:r>
      </w:hyperlink>
      <w:r>
        <w:t xml:space="preserve">). When several claims are read off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m:oMath>
        <m:r>
          <m:t>n</m:t>
        </m:r>
      </m:oMath>
      <w:r>
        <w:t xml:space="preserve">-sample</w:t>
      </w:r>
      <w:r>
        <w:t xml:space="preserve"> </w:t>
      </w:r>
      <w:r>
        <w:t xml:space="preserve">run at the same</w:t>
      </w:r>
      <w:r>
        <w:t xml:space="preserve"> </w:t>
      </w:r>
      <m:oMath>
        <m:r>
          <m:t>η</m:t>
        </m:r>
      </m:oMath>
      <w:r>
        <w:t xml:space="preserve">, incomparability (both directions, on one shared event</w:t>
      </w:r>
      <w:r>
        <w:t xml:space="preserve"> </w:t>
      </w:r>
      <m:oMath>
        <m:r>
          <m:t>E</m:t>
        </m:r>
      </m:oMath>
      <w:r>
        <w:t xml:space="preserve">), one-directional</w:t>
      </w:r>
      <w:r>
        <w:t xml:space="preserve"> </w:t>
      </w:r>
      <w:r>
        <w:t xml:space="preserve">dominance, and the interference cells, the conjunction over distinct claims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jointly</w:t>
      </w:r>
      <w:r>
        <w:t xml:space="preserve"> </w:t>
      </w:r>
      <w:r>
        <w:t xml:space="preserve">controlled at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unless the budget is split across claims. We state results as marginally</w:t>
      </w:r>
      <w:r>
        <w:t xml:space="preserve"> </w:t>
      </w:r>
      <w:r>
        <w:t xml:space="preserve">certified per claim and, where a joint statement is wanted, allocate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across the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certified</w:t>
      </w:r>
      <w:r>
        <w:t xml:space="preserve"> </w:t>
      </w:r>
      <w:r>
        <w:t xml:space="preserve">claims (e.g. </w:t>
      </w:r>
      <m:oMath>
        <m:r>
          <m:t>η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each) so the global family-wise error is</w:t>
      </w:r>
      <w:r>
        <w:t xml:space="preserve"> </w:t>
      </w:r>
      <m:oMath>
        <m:r>
          <m:rPr>
            <m:sty m:val="p"/>
          </m:rPr>
          <m:t>≤</m:t>
        </m:r>
        <m:r>
          <m:t>η</m:t>
        </m:r>
      </m:oMath>
      <w:r>
        <w:t xml:space="preserve">. The incomparability pair</w:t>
      </w:r>
      <w:r>
        <w:t xml:space="preserve"> </w:t>
      </w:r>
      <w:r>
        <w:t xml:space="preserve">is the one exception that is genuinely joint at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on a single event, as proved in</w:t>
      </w:r>
      <w:r>
        <w:t xml:space="preserve"> </w:t>
      </w:r>
      <w:r>
        <w:t xml:space="preserve">Proposition </w:t>
      </w:r>
      <w:hyperlink w:anchor="prop:certificate">
        <w:r>
          <w:rPr>
            <w:rStyle w:val="Hyperlink"/>
          </w:rPr>
          <w:t xml:space="preserve">3</w:t>
        </w:r>
      </w:hyperlink>
      <w:r>
        <w:t xml:space="preserve">; all other cross-claim conjunctions on a shared run are reported</w:t>
      </w:r>
      <w:r>
        <w:t xml:space="preserve"> </w:t>
      </w:r>
      <w:r>
        <w:t xml:space="preserve">as marginal.</w:t>
      </w:r>
    </w:p>
    <w:p>
      <w:pPr>
        <w:pStyle w:val="BodyText"/>
      </w:pPr>
      <w:r>
        <w:t xml:space="preserve">The two certificates have genuinely different effective-</w:t>
      </w:r>
      <m:oMath>
        <m:r>
          <m:t>n</m:t>
        </m:r>
      </m:oMath>
      <w:r>
        <w:t xml:space="preserve"> </w:t>
      </w:r>
      <w:r>
        <w:t xml:space="preserve">requirements, which is why the consolidated record marks Opus incomparability as certified and Opus interference as reproduced but not certified; the power analysis is in Appendix </w:t>
      </w:r>
      <w:hyperlink w:anchor="app:proofs">
        <w:r>
          <w:rPr>
            <w:rStyle w:val="Hyperlink"/>
          </w:rPr>
          <w:t xml:space="preserve">10</w:t>
        </w:r>
      </w:hyperlink>
      <w:r>
        <w:t xml:space="preserve">.</w:t>
      </w:r>
    </w:p>
    <w:bookmarkEnd w:id="62"/>
    <w:bookmarkEnd w:id="63"/>
    <w:bookmarkStart w:id="99" w:name="sec:experiments"/>
    <w:p>
      <w:pPr>
        <w:pStyle w:val="Heading1"/>
      </w:pPr>
      <w:r>
        <w:t xml:space="preserve">Experiments</w:t>
      </w:r>
    </w:p>
    <w:p>
      <w:pPr>
        <w:pStyle w:val="FirstParagraph"/>
      </w:pPr>
      <w:r>
        <w:t xml:space="preserve">We instantiate the theory of §§</w:t>
      </w:r>
      <w:hyperlink w:anchor="sec:order">
        <w:r>
          <w:rPr>
            <w:rStyle w:val="Hyperlink"/>
          </w:rPr>
          <w:t xml:space="preserve">4</w:t>
        </w:r>
      </w:hyperlink>
      <w:r>
        <w:t xml:space="preserve">–</w:t>
      </w:r>
      <w:hyperlink w:anchor="sec:estimator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on real language models. The</w:t>
      </w:r>
      <w:r>
        <w:t xml:space="preserve"> </w:t>
      </w:r>
      <w:r>
        <w:t xml:space="preserve">design has three commitments. First, every reported number is an empirical PASS rate from live model</w:t>
      </w:r>
      <w:r>
        <w:t xml:space="preserve"> </w:t>
      </w:r>
      <w:r>
        <w:t xml:space="preserve">calls verified by an executable test harness; no value is modeled, simulated, or extrapolated.</w:t>
      </w:r>
      <w:r>
        <w:t xml:space="preserve"> </w:t>
      </w:r>
      <w:r>
        <w:t xml:space="preserve">Second, the two context sources are constructed to be</w:t>
      </w:r>
      <w:r>
        <w:t xml:space="preserve"> </w:t>
      </w:r>
      <w:r>
        <w:rPr>
          <w:i/>
          <w:iCs/>
        </w:rPr>
        <w:t xml:space="preserve">Blackwell-incomparable by construction</w:t>
      </w:r>
      <w:r>
        <w:t xml:space="preserve"> </w:t>
      </w:r>
      <w:r>
        <w:t xml:space="preserve">(§</w:t>
      </w:r>
      <w:hyperlink w:anchor="sec:design">
        <w:r>
          <w:rPr>
            <w:rStyle w:val="Hyperlink"/>
          </w:rPr>
          <w:t xml:space="preserve">7.1</w:t>
        </w:r>
      </w:hyperlink>
      <w:r>
        <w:t xml:space="preserve">), so the incomparability theorem 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) has a</w:t>
      </w:r>
      <w:r>
        <w:t xml:space="preserve"> </w:t>
      </w:r>
      <w:r>
        <w:t xml:space="preserve">non-vacuous instance to bite on. Third, every certified claim is reported with the exact sample</w:t>
      </w:r>
      <w:r>
        <w:t xml:space="preserve"> </w:t>
      </w:r>
      <w:r>
        <w:t xml:space="preserve">size, the Clopper–Pearson endpoints, and the per-cell PASS counts from which it is derived</w:t>
      </w:r>
      <w:r>
        <w:t xml:space="preserve"> </w:t>
      </w:r>
      <w:r>
        <w:t xml:space="preserve">(§</w:t>
      </w:r>
      <w:hyperlink w:anchor="sec:results">
        <w:r>
          <w:rPr>
            <w:rStyle w:val="Hyperlink"/>
          </w:rPr>
          <w:t xml:space="preserve">7.4</w:t>
        </w:r>
      </w:hyperlink>
      <w:r>
        <w:t xml:space="preserve">), so the certificate is auditable rather than asserted.</w:t>
      </w:r>
    </w:p>
    <w:bookmarkStart w:id="66" w:name="sec:design"/>
    <w:p>
      <w:pPr>
        <w:pStyle w:val="Heading2"/>
      </w:pPr>
      <w:r>
        <w:t xml:space="preserve">Design: two incomparable context sources</w:t>
      </w:r>
    </w:p>
    <w:p>
      <w:pPr>
        <w:pStyle w:val="FirstParagraph"/>
      </w:pPr>
      <w:r>
        <w:t xml:space="preserve">We define two</w:t>
      </w:r>
      <w:r>
        <w:t xml:space="preserve"> </w:t>
      </w:r>
      <w:r>
        <w:rPr>
          <w:i/>
          <w:iCs/>
        </w:rPr>
        <w:t xml:space="preserve">private, unguessable</w:t>
      </w:r>
      <w:r>
        <w:t xml:space="preserve"> </w:t>
      </w:r>
      <w:r>
        <w:t xml:space="preserve">conventions on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module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,</w:t>
      </w:r>
      <w:r>
        <w:t xml:space="preserve"> </w:t>
      </w:r>
      <w:r>
        <w:t xml:space="preserve">matched on every nuisance axis (length, roughly three sentences, exactly one private convention</w:t>
      </w:r>
      <w:r>
        <w:t xml:space="preserve"> </w:t>
      </w:r>
      <w:r>
        <w:t xml:space="preserve">each, same module, same task shape). Because both are on-topic for any</w:t>
      </w:r>
      <w:r>
        <w:t xml:space="preserve"> </w:t>
      </w:r>
      <w:r>
        <w:t xml:space="preserve">“ledger”</w:t>
      </w:r>
      <w:r>
        <w:t xml:space="preserve"> </w:t>
      </w:r>
      <w:r>
        <w:t xml:space="preserve">task, any lexical,</w:t>
      </w:r>
      <w:r>
        <w:t xml:space="preserve"> </w:t>
      </w:r>
      <w:r>
        <w:t xml:space="preserve">embedding, mutual-information, or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score treats them as equally relevant</w:t>
      </w:r>
      <w:r>
        <w:t xml:space="preserve"> </w:t>
      </w:r>
      <w:r>
        <w:t xml:space="preserve">candidates, the precondition for 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to apply.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API call contract.</w:t>
      </w:r>
    </w:p>
    <w:p>
      <w:pPr>
        <w:pStyle w:val="Definition"/>
      </w:pPr>
      <w:r>
        <w:rPr>
          <w:rStyle w:val="VerbatimChar"/>
        </w:rPr>
        <w:t xml:space="preserve">ledger.post(account, amount, *, memo)</w:t>
      </w:r>
      <w:r>
        <w:t xml:space="preserve">: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 </w:t>
      </w:r>
      <w:r>
        <w:t xml:space="preserve">first,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second positional,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required keyword-only</w:t>
      </w:r>
      <w:r>
        <w:t xml:space="preserve"> </w:t>
      </w:r>
      <w:r>
        <w:t xml:space="preserve">argument;</w:t>
      </w:r>
      <w:r>
        <w:t xml:space="preserve"> </w:t>
      </w:r>
      <w:r>
        <w:t xml:space="preserve">returns an integer entry id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</m:oMath>
      <w:r>
        <w:t xml:space="preserve">; raises</w:t>
      </w:r>
      <w:r>
        <w:t xml:space="preserve"> </w:t>
      </w:r>
      <w:r>
        <w:rPr>
          <w:rStyle w:val="VerbatimChar"/>
        </w:rPr>
        <w:t xml:space="preserve">ledger.PostError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/</w:t>
      </w:r>
      <w:r>
        <w:rPr>
          <w:rStyle w:val="VerbatimChar"/>
        </w:rPr>
        <w:t xml:space="preserve">KeyError</w:t>
      </w:r>
      <w:r>
        <w:t xml:space="preserve">) on failure.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wire-encoding invariant.</w:t>
      </w:r>
    </w:p>
    <w:p>
      <w:pPr>
        <w:pStyle w:val="Definition"/>
      </w:pPr>
      <w:r>
        <w:t xml:space="preserve">Amounts serialize to</w:t>
      </w:r>
      <w:r>
        <w:t xml:space="preserve"> </w:t>
      </w:r>
      <w:r>
        <w:rPr>
          <w:rStyle w:val="VerbatimChar"/>
        </w:rPr>
        <w:t xml:space="preserve">&lt;sign&gt;&lt;minor-unit-digits&gt;#&lt;check&gt;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k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sum of digits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mod</m:t>
        </m:r>
        <m:r>
          <m:t> </m:t>
        </m:r>
        <m:r>
          <m:t>10</m:t>
        </m:r>
      </m:oMath>
      <w:r>
        <w:t xml:space="preserve">; e.g. $12.30</w:t>
      </w:r>
      <w:r>
        <w:t xml:space="preserve"> </w:t>
      </w:r>
      <m:oMath>
        <m:r>
          <m:rPr>
            <m:sty m:val="p"/>
          </m:rPr>
          <m:t>↦</m:t>
        </m:r>
      </m:oMath>
      <w:r>
        <w:t xml:space="preserve"> </w:t>
      </w:r>
      <w:r>
        <w:rPr>
          <w:rStyle w:val="VerbatimChar"/>
        </w:rPr>
        <w:t xml:space="preserve">"+1230#6"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$</m:t>
        </m:r>
        <m:r>
          <m:t>0.07</m:t>
        </m:r>
        <m:r>
          <m:rPr>
            <m:sty m:val="p"/>
          </m:rPr>
          <m:t>↦</m:t>
        </m:r>
      </m:oMath>
      <w:r>
        <w:t xml:space="preserve"> </w:t>
      </w:r>
      <w:r>
        <w:rPr>
          <w:rStyle w:val="VerbatimChar"/>
        </w:rPr>
        <w:t xml:space="preserve">"-7#7"</w:t>
      </w:r>
      <w:r>
        <w:t xml:space="preserve">. Decoding rejects a wrong check digit.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literal superset.</w:t>
      </w:r>
    </w:p>
    <w:p>
      <w:pPr>
        <w:pStyle w:val="Definition"/>
      </w:pP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the concatenation of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’s. As a string superset of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it Blackwell-dominates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); it is the anti-monotonicity / dominance probe. We also use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first) as an order control.</w:t>
      </w:r>
    </w:p>
    <w:bookmarkStart w:id="64" w:name="why-incomparable-garbling-argument."/>
    <w:p>
      <w:pPr>
        <w:pStyle w:val="Heading4"/>
      </w:pPr>
      <w:r>
        <w:t xml:space="preserve">Why incomparable (garbling argument).</w:t>
      </w:r>
    </w:p>
    <w:p>
      <w:pPr>
        <w:pStyle w:val="FirstParagraph"/>
      </w:pPr>
      <w:r>
        <w:t xml:space="preserve">A garbling acts on the</w:t>
      </w:r>
      <w:r>
        <w:t xml:space="preserve"> </w:t>
      </w:r>
      <w:r>
        <w:rPr>
          <w:i/>
          <w:iCs/>
        </w:rPr>
        <w:t xml:space="preserve">signal alone</w:t>
      </w:r>
      <w:r>
        <w:t xml:space="preserve">. From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wire format one cannot manufacture the</w:t>
      </w:r>
      <w:r>
        <w:t xml:space="preserve"> </w:t>
      </w:r>
      <w:r>
        <w:t xml:space="preserve">private argument order, the required keyword-only</w:t>
      </w:r>
      <w:r>
        <w:t xml:space="preserve"> </w:t>
      </w:r>
      <w:r>
        <w:rPr>
          <w:rStyle w:val="VerbatimChar"/>
        </w:rPr>
        <w:t xml:space="preserve">memo</w:t>
      </w:r>
      <w:r>
        <w:t xml:space="preserve">, or the exception type; from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</w:t>
      </w:r>
      <w:r>
        <w:t xml:space="preserve"> </w:t>
      </w:r>
      <w:r>
        <w:t xml:space="preserve">contract one cannot manufacture the cents scale,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separator, or the mod-10 check. The</w:t>
      </w:r>
      <w:r>
        <w:t xml:space="preserve"> </w:t>
      </w:r>
      <w:r>
        <w:t xml:space="preserve">two facts are logically independent coordinates of the latent requirement</w:t>
      </w:r>
      <w:r>
        <w:t xml:space="preserve"> </w:t>
      </w:r>
      <m:oMath>
        <m:r>
          <m:t>S</m:t>
        </m:r>
      </m:oMath>
      <w:r>
        <w:t xml:space="preserve">, so neither signal’s</w:t>
      </w:r>
      <w:r>
        <w:t xml:space="preserve"> </w:t>
      </w:r>
      <m:oMath>
        <m:r>
          <m:t>σ</m:t>
        </m:r>
      </m:oMath>
      <w:r>
        <w:t xml:space="preserve">-algebra refines the other’s, neither sufficiency direction holds, 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Blackwell-incomparable. This is the concrete instance of the coordinate/projection construction of</w:t>
      </w:r>
      <w:r>
        <w:t xml:space="preserve"> </w:t>
      </w:r>
      <w:r>
        <w:t xml:space="preserve">§</w:t>
      </w:r>
      <w:hyperlink w:anchor="sec:formalization">
        <w:r>
          <w:rPr>
            <w:rStyle w:val="Hyperlink"/>
          </w:rPr>
          <w:t xml:space="preserve">3</w:t>
        </w:r>
      </w:hyperlink>
      <w:r>
        <w:t xml:space="preserve">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deterministic experiments observing distinct,</w:t>
      </w:r>
      <w:r>
        <w:t xml:space="preserve"> </w:t>
      </w:r>
      <w:r>
        <w:t xml:space="preserve">mutually non-refining projections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(Lemma </w:t>
      </w:r>
      <w:hyperlink w:anchor="lem:noref">
        <w:r>
          <w:rPr>
            <w:rStyle w:val="Hyperlink"/>
          </w:rPr>
          <w:t xml:space="preserve">1</w:t>
        </w:r>
      </w:hyperlink>
      <w:r>
        <w:t xml:space="preserve">).</w:t>
      </w:r>
    </w:p>
    <w:bookmarkEnd w:id="64"/>
    <w:bookmarkStart w:id="65" w:name="confound-defense-the-double-crossover."/>
    <w:p>
      <w:pPr>
        <w:pStyle w:val="Heading4"/>
      </w:pPr>
      <w:r>
        <w:t xml:space="preserve">Confound defense: the double crossover.</w:t>
      </w:r>
    </w:p>
    <w:p>
      <w:pPr>
        <w:pStyle w:val="FirstParagraph"/>
      </w:pPr>
      <w:r>
        <w:t xml:space="preserve">The experiment’s signature is a</w:t>
      </w:r>
      <w:r>
        <w:t xml:space="preserve"> </w:t>
      </w:r>
      <w:r>
        <w:rPr>
          <w:i/>
          <w:iCs/>
        </w:rPr>
        <w:t xml:space="preserve">double crossover</w:t>
      </w:r>
      <w:r>
        <w:t xml:space="preserve"> </w:t>
      </w:r>
      <w:r>
        <w:t xml:space="preserve">measured against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 (no</w:t>
      </w:r>
      <w:r>
        <w:t xml:space="preserve"> </w:t>
      </w:r>
      <w:r>
        <w:t xml:space="preserve">convention supplied):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lifts the API tasks but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encoding task,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lifts</w:t>
      </w:r>
      <w:r>
        <w:t xml:space="preserve"> </w:t>
      </w:r>
      <w:r>
        <w:t xml:space="preserve">the encoding task but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API tasks. If the encoding family were merely</w:t>
      </w:r>
      <w:r>
        <w:t xml:space="preserve"> </w:t>
      </w:r>
      <w:r>
        <w:t xml:space="preserve">“harder,”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would not lift it 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would still have to lift its own family from the same floor. Matched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baselines that floor near zero on both families therefore establish equal intrinsic</w:t>
      </w:r>
      <w:r>
        <w:t xml:space="preserve"> </w:t>
      </w:r>
      <w:r>
        <w:t xml:space="preserve">hardness, so any divergence is attributable to the matching private fact, not to a difficulty</w:t>
      </w:r>
      <w:r>
        <w:t xml:space="preserve"> </w:t>
      </w:r>
      <w:r>
        <w:t xml:space="preserve">asymmetry.</w:t>
      </w:r>
    </w:p>
    <w:bookmarkEnd w:id="65"/>
    <w:bookmarkEnd w:id="66"/>
    <w:bookmarkStart w:id="69" w:name="sec:tasks"/>
    <w:p>
      <w:pPr>
        <w:pStyle w:val="Heading2"/>
      </w:pPr>
      <w:r>
        <w:t xml:space="preserve">Tasks</w:t>
      </w:r>
    </w:p>
    <w:p>
      <w:pPr>
        <w:pStyle w:val="FirstParagraph"/>
      </w:pPr>
      <w:r>
        <w:t xml:space="preserve">The full design comprises seven tasks with stub-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verifiers (return code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</m:oMath>
      <w:r>
        <w:t xml:space="preserve"> </w:t>
      </w:r>
      <w:r>
        <w:t xml:space="preserve">PASS):</w:t>
      </w:r>
      <w:r>
        <w:t xml:space="preserve"> </w:t>
      </w:r>
      <w:r>
        <w:t xml:space="preserve">four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-decisive API tasks (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api_error_type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api_memo_required</w:t>
      </w:r>
      <w:r>
        <w:t xml:space="preserve">), two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-decisive encoding tasks (</w:t>
      </w:r>
      <w:r>
        <w:rPr>
          <w:rStyle w:val="VerbatimChar"/>
        </w:rPr>
        <w:t xml:space="preserve">enc_amount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dec_amount</w:t>
      </w:r>
      <w:r>
        <w:t xml:space="preserve">),</w:t>
      </w:r>
      <w:r>
        <w:t xml:space="preserve"> </w:t>
      </w:r>
      <w:r>
        <w:t xml:space="preserve">and one relevance trap (</w:t>
      </w:r>
      <w:r>
        <w:rPr>
          <w:rStyle w:val="VerbatimChar"/>
        </w:rPr>
        <w:t xml:space="preserve">trap_store_wire</w:t>
      </w:r>
      <w:r>
        <w:t xml:space="preserve">). The verifier stubs a fake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that</w:t>
      </w:r>
      <w:r>
        <w:t xml:space="preserve"> </w:t>
      </w:r>
      <w:r>
        <w:t xml:space="preserve">accepts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exact private contract (rejecting wrong positional order, a missing</w:t>
      </w:r>
      <w:r>
        <w:t xml:space="preserve"> </w:t>
      </w:r>
      <w:r>
        <w:rPr>
          <w:rStyle w:val="VerbatimChar"/>
        </w:rPr>
        <w:t xml:space="preserve">memo=</w:t>
      </w:r>
      <w:r>
        <w:t xml:space="preserve">, or the wrong exception type).</w:t>
      </w:r>
    </w:p>
    <w:bookmarkStart w:id="67" w:name="certified-battery."/>
    <w:p>
      <w:pPr>
        <w:pStyle w:val="Heading4"/>
      </w:pPr>
      <w:r>
        <w:t xml:space="preserve">Certified battery.</w:t>
      </w:r>
    </w:p>
    <w:p>
      <w:pPr>
        <w:pStyle w:val="FirstParagraph"/>
      </w:pPr>
      <w:r>
        <w:t xml:space="preserve">The certified runs use a fixed four-cell battery: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(hardened so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arrives through a parameter, forcing reliance on the keyword-only fact),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, and the trap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. We disclose this reduction explicitly:</w:t>
      </w:r>
      <w:r>
        <w:t xml:space="preserve"> </w:t>
      </w:r>
      <w:r>
        <w:t xml:space="preserve">the three remaining designed cells (</w:t>
      </w:r>
      <w:r>
        <w:rPr>
          <w:rStyle w:val="VerbatimChar"/>
        </w:rPr>
        <w:t xml:space="preserve">api_error_type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api_memo_required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dec_amount</w:t>
      </w:r>
      <w:r>
        <w:t xml:space="preserve">) are not part of the certified battery. The four-cell selection was made to</w:t>
      </w:r>
      <w:r>
        <w:t xml:space="preserve"> </w:t>
      </w:r>
      <w:r>
        <w:t xml:space="preserve">retain at least one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-decisive, one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-decisive, and the trap cell while keeping the</w:t>
      </w:r>
      <w:r>
        <w:t xml:space="preserve"> </w:t>
      </w:r>
      <w:r>
        <w:t xml:space="preserve">cross-model spend tractable; we report below that this is best understood as a fixed adversarial</w:t>
      </w:r>
      <w:r>
        <w:t xml:space="preserve"> </w:t>
      </w:r>
      <w:r>
        <w:t xml:space="preserve">four-cell battery, not a sampled task distribution, and we state the effective support of the</w:t>
      </w:r>
      <w:r>
        <w:t xml:space="preserve"> </w:t>
      </w:r>
      <w:r>
        <w:t xml:space="preserve">deficiency surrogate accordingly (§</w:t>
      </w:r>
      <w:hyperlink w:anchor="sec:results-incomp">
        <w:r>
          <w:rPr>
            <w:rStyle w:val="Hyperlink"/>
          </w:rPr>
          <w:t xml:space="preserve">7.4.1</w:t>
        </w:r>
      </w:hyperlink>
      <w:r>
        <w:t xml:space="preserve">).</w:t>
      </w:r>
    </w:p>
    <w:bookmarkEnd w:id="67"/>
    <w:bookmarkStart w:id="68" w:name="the-relevance-trap."/>
    <w:p>
      <w:pPr>
        <w:pStyle w:val="Heading4"/>
      </w:pPr>
      <w:r>
        <w:t xml:space="preserve">The relevance trap.</w:t>
      </w:r>
    </w:p>
    <w:p>
      <w:pPr>
        <w:pStyle w:val="FirstParagraph"/>
      </w:pPr>
      <w:r>
        <w:t xml:space="preserve">The trap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is the confound-proof form of 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. Its</w:t>
      </w:r>
      <w:r>
        <w:t xml:space="preserve"> </w:t>
      </w:r>
      <w:r>
        <w:t xml:space="preserve">prompt is lexically saturated with encoding vocabulary, so a</w:t>
      </w:r>
      <w:r>
        <w:t xml:space="preserve"> </w:t>
      </w:r>
      <w:r>
        <w:rPr>
          <w:i/>
          <w:iCs/>
        </w:rPr>
        <w:t xml:space="preserve">query-conditioned</w:t>
      </w:r>
      <w:r>
        <w:t xml:space="preserve"> </w:t>
      </w:r>
      <w:r>
        <w:t xml:space="preserve">lexical</w:t>
      </w:r>
      <w:r>
        <w:t xml:space="preserve"> </w:t>
      </w:r>
      <w:r>
        <w:t xml:space="preserve">relevance score ranks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 but its graded requirement is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call contract (it must</w:t>
      </w:r>
      <w:r>
        <w:t xml:space="preserve"> </w:t>
      </w:r>
      <w:r>
        <w:t xml:space="preserve">post an already-encoded wire string through</w:t>
      </w:r>
      <w:r>
        <w:t xml:space="preserve"> </w:t>
      </w:r>
      <w:r>
        <w:rPr>
          <w:rStyle w:val="VerbatimChar"/>
        </w:rPr>
        <w:t xml:space="preserve">post</w:t>
      </w:r>
      <w:r>
        <w:t xml:space="preserve">), so 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 This</w:t>
      </w:r>
      <w:r>
        <w:t xml:space="preserve"> </w:t>
      </w:r>
      <w:r>
        <w:t xml:space="preserve">defeats the query-conditioned relevance score practitioners actually use, not merely a</w:t>
      </w:r>
      <w:r>
        <w:t xml:space="preserve"> </w:t>
      </w:r>
      <w:r>
        <w:t xml:space="preserve">query-independent ranking. We measure relevance as bag-of-words cosine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a source and the task prompt, computed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model is run. We use lexical</w:t>
      </w:r>
      <w:r>
        <w:t xml:space="preserve"> </w:t>
      </w:r>
      <w:r>
        <w:t xml:space="preserve">cosine as the</w:t>
      </w:r>
      <w:r>
        <w:t xml:space="preserve"> </w:t>
      </w:r>
      <w:r>
        <w:rPr>
          <w:i/>
          <w:iCs/>
        </w:rPr>
        <w:t xml:space="preserve">minimal</w:t>
      </w:r>
      <w:r>
        <w:t xml:space="preserve"> </w:t>
      </w:r>
      <w:r>
        <w:t xml:space="preserve">instantiation of 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, the</w:t>
      </w:r>
      <w:r>
        <w:t xml:space="preserve"> </w:t>
      </w:r>
      <w:r>
        <w:t xml:space="preserve">cheapest member of the topical class; stronger learned rankers (dense bi-encoders, a</w:t>
      </w:r>
      <w:r>
        <w:t xml:space="preserve"> </w:t>
      </w:r>
      <w:r>
        <w:t xml:space="preserve">cross-encoder, and an LLM listwise reranker) are tested against the same trap separately in</w:t>
      </w:r>
      <w:r>
        <w:t xml:space="preserve"> </w:t>
      </w:r>
      <w:r>
        <w:t xml:space="preserve">§</w:t>
      </w:r>
      <w:hyperlink w:anchor="sec:results-misrank">
        <w:r>
          <w:rPr>
            <w:rStyle w:val="Hyperlink"/>
          </w:rPr>
          <w:t xml:space="preserve">7.4.2</w:t>
        </w:r>
      </w:hyperlink>
      <w:r>
        <w:t xml:space="preserve">, while the theorem 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) is the general</w:t>
      </w:r>
      <w:r>
        <w:t xml:space="preserve"> </w:t>
      </w:r>
      <w:r>
        <w:t xml:space="preserve">claim for query-independent scalars.</w:t>
      </w:r>
    </w:p>
    <w:bookmarkEnd w:id="68"/>
    <w:bookmarkEnd w:id="69"/>
    <w:bookmarkStart w:id="77" w:name="sec:methodology"/>
    <w:p>
      <w:pPr>
        <w:pStyle w:val="Heading2"/>
      </w:pPr>
      <w:r>
        <w:t xml:space="preserve">Methodology</w:t>
      </w:r>
    </w:p>
    <w:bookmarkStart w:id="70" w:name="models-and-vendors."/>
    <w:p>
      <w:pPr>
        <w:pStyle w:val="Heading4"/>
      </w:pPr>
      <w:r>
        <w:t xml:space="preserve">Models and vendors.</w:t>
      </w:r>
    </w:p>
    <w:p>
      <w:pPr>
        <w:pStyle w:val="FirstParagraph"/>
      </w:pPr>
      <w:r>
        <w:t xml:space="preserve">We evaluate six models across four vendors: Anthropic Haiku-4.5, Sonnet-4.6, and Opus-4.8; OpenAI</w:t>
      </w:r>
      <w:r>
        <w:t xml:space="preserve"> </w:t>
      </w:r>
      <w:r>
        <w:t xml:space="preserve">GPT-5.5; DeepSeek-V4-Pro; and Moonshot Kimi-K2.6.</w:t>
      </w:r>
    </w:p>
    <w:bookmarkEnd w:id="70"/>
    <w:bookmarkStart w:id="72" w:name="harness-and-arms."/>
    <w:p>
      <w:pPr>
        <w:pStyle w:val="Heading4"/>
      </w:pPr>
      <w:r>
        <w:t xml:space="preserve">Harness and arms.</w:t>
      </w:r>
    </w:p>
    <w:p>
      <w:pPr>
        <w:pStyle w:val="FirstParagraph"/>
      </w:pPr>
      <w:r>
        <w:t xml:space="preserve">The harness (</w:t>
      </w:r>
      <w:r>
        <w:rPr>
          <w:rStyle w:val="VerbatimChar"/>
        </w:rPr>
        <w:t xml:space="preserve">tokenbench/measure_blackwell.py</w:t>
      </w:r>
      <w:r>
        <w:t xml:space="preserve">; released with all run logs at</w:t>
      </w:r>
      <w:r>
        <w:t xml:space="preserve"> </w:t>
      </w:r>
      <w:hyperlink r:id="rId71">
        <w:r>
          <w:rPr>
            <w:rStyle w:val="Hyperlink"/>
          </w:rPr>
          <w:t xml:space="preserve">https://github.com/abilous-ti/blackwell-llm-context</w:t>
        </w:r>
      </w:hyperlink>
      <w:r>
        <w:t xml:space="preserve">) is Python-standard-library only (zero</w:t>
      </w:r>
      <w:r>
        <w:t xml:space="preserve"> </w:t>
      </w:r>
      <w:r>
        <w:t xml:space="preserve">external dependencies); it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in both directions, the uniform</w:t>
      </w:r>
      <w:r>
        <w:t xml:space="preserve"> </w:t>
      </w:r>
      <w:r>
        <w:t xml:space="preserve">Clopper–Pearson/Bonferroni certificate, the interference certificate, and the lexical relevance</w:t>
      </w:r>
      <w:r>
        <w:t xml:space="preserve"> </w:t>
      </w:r>
      <w:r>
        <w:t xml:space="preserve">score, and it implements the launchers for the Anthropic CLI, the Azure Responses API, and</w:t>
      </w:r>
      <w:r>
        <w:t xml:space="preserve"> </w:t>
      </w:r>
      <w:r>
        <w:t xml:space="preserve">OpenAI-compatible chat completions. Each cell is run under the arms</w:t>
      </w:r>
      <w:r>
        <w:t xml:space="preserve"> </w:t>
      </w:r>
      <m:oMath>
        <m:r>
          <m:rPr>
            <m:sty m:val="p"/>
          </m:rPr>
          <m:t>{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, with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</m:oMath>
      <w:r>
        <w:t xml:space="preserve"> </w:t>
      </w:r>
      <w:r>
        <w:t xml:space="preserve">added for the order-control run. PASS is measured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completions per cell.</w:t>
      </w:r>
    </w:p>
    <w:bookmarkEnd w:id="72"/>
    <w:bookmarkStart w:id="73" w:name="X088ab3dfb76e2fd87965c3e31d8fce35589cd84"/>
    <w:p>
      <w:pPr>
        <w:pStyle w:val="Heading4"/>
      </w:pPr>
      <w:r>
        <w:t xml:space="preserve">Agentic vs. single-shot harness (a stated confound).</w:t>
      </w:r>
    </w:p>
    <w:p>
      <w:pPr>
        <w:pStyle w:val="FirstParagraph"/>
      </w:pPr>
      <w:r>
        <w:t xml:space="preserve">The Anthropic models run</w:t>
      </w:r>
      <w:r>
        <w:t xml:space="preserve"> </w:t>
      </w:r>
      <w:r>
        <w:rPr>
          <w:i/>
          <w:iCs/>
        </w:rPr>
        <w:t xml:space="preserve">agentically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-p</w:t>
      </w:r>
      <w:r>
        <w:t xml:space="preserve">, up to six turns with intermediate</w:t>
      </w:r>
      <w:r>
        <w:t xml:space="preserve"> </w:t>
      </w:r>
      <w:r>
        <w:t xml:space="preserve">verifier feedback); the non-Anthropic models run as</w:t>
      </w:r>
      <w:r>
        <w:t xml:space="preserve"> </w:t>
      </w:r>
      <w:r>
        <w:rPr>
          <w:i/>
          <w:iCs/>
        </w:rPr>
        <w:t xml:space="preserve">single-shot</w:t>
      </w:r>
      <w:r>
        <w:t xml:space="preserve"> </w:t>
      </w:r>
      <w:r>
        <w:t xml:space="preserve">completion plus code</w:t>
      </w:r>
      <w:r>
        <w:t xml:space="preserve"> </w:t>
      </w:r>
      <w:r>
        <w:t xml:space="preserve">extraction through an OpenAI-style API. Vendor is therefore confounded with harness in this study:</w:t>
      </w:r>
      <w:r>
        <w:t xml:space="preserve"> </w:t>
      </w:r>
      <w:r>
        <w:t xml:space="preserve">every Anthropic model is agentic and every non-Anthropic model is single-shot. We treat this as a</w:t>
      </w:r>
      <w:r>
        <w:t xml:space="preserve"> </w:t>
      </w:r>
      <w:r>
        <w:t xml:space="preserve">genuine limitation of the cross-vendor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comparisons (§</w:t>
      </w:r>
      <w:hyperlink w:anchor="sec:limitations">
        <w:r>
          <w:rPr>
            <w:rStyle w:val="Hyperlink"/>
          </w:rPr>
          <w:t xml:space="preserve">8.5</w:t>
        </w:r>
      </w:hyperlink>
      <w:r>
        <w:t xml:space="preserve">); the</w:t>
      </w:r>
      <w:r>
        <w:t xml:space="preserve"> </w:t>
      </w:r>
      <w:r>
        <w:t xml:space="preserve">per-model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claims (incomparability certified, relevance mis-rank, anti-monotonicity</w:t>
      </w:r>
      <w:r>
        <w:t xml:space="preserve"> </w:t>
      </w:r>
      <w:r>
        <w:t xml:space="preserve">certified) are within-model and unaffected. We note that the single-shot setting is arguably the</w:t>
      </w:r>
      <w:r>
        <w:t xml:space="preserve"> </w:t>
      </w:r>
      <w:r>
        <w:t xml:space="preserve">cleaner probe of whether a model uses supplied context, since it removes the agentic-exploration</w:t>
      </w:r>
      <w:r>
        <w:t xml:space="preserve"> </w:t>
      </w:r>
      <w:r>
        <w:t xml:space="preserve">pathway.</w:t>
      </w:r>
    </w:p>
    <w:bookmarkEnd w:id="73"/>
    <w:bookmarkStart w:id="74" w:name="certificate-parameters."/>
    <w:p>
      <w:pPr>
        <w:pStyle w:val="Heading4"/>
      </w:pPr>
      <w:r>
        <w:t xml:space="preserve">Certificate parameters.</w:t>
      </w:r>
    </w:p>
    <w:p>
      <w:pPr>
        <w:pStyle w:val="FirstParagraph"/>
      </w:pPr>
      <w:r>
        <w:t xml:space="preserve">All certificates use confidence budget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. Incomparability uses exact Clopper–Pearson</w:t>
      </w:r>
      <w:r>
        <w:t xml:space="preserve"> </w:t>
      </w:r>
      <w:r>
        <w:t xml:space="preserve">intervals at per-cell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over the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proportions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sSub>
          <m:e>
            <m:r>
              <m:rPr>
                <m:sty m:val="p"/>
              </m:rPr>
              <m:t>}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 so by the union bound all hold jointly with probability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and both directions read off the same intervals. The interference certificate uses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threshold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, certifying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 </w:t>
      </w:r>
      <w:r>
        <w:t xml:space="preserve">via the upper bound</w:t>
      </w:r>
      <w:r>
        <w:t xml:space="preserve"> </w:t>
      </w:r>
      <w:r>
        <w:t xml:space="preserve">of</w:t>
      </w:r>
      <w:r>
        <w:t xml:space="preserve"> </w:t>
      </w:r>
      <w:hyperlink w:anchor="eq:psiupper">
        <w:r>
          <w:rPr>
            <w:rStyle w:val="Hyperlink"/>
          </w:rPr>
          <w:t xml:space="preserve">[eq:psiupper]</w:t>
        </w:r>
      </w:hyperlink>
      <w:r>
        <w:t xml:space="preserve">. We report each certificate as marginally controlled at</w:t>
      </w:r>
      <w:r>
        <w:t xml:space="preserve"> </w:t>
      </w:r>
      <m:oMath>
        <m:r>
          <m:t>η</m:t>
        </m:r>
      </m:oMath>
      <w:r>
        <w:t xml:space="preserve">; we do not</w:t>
      </w:r>
      <w:r>
        <w:t xml:space="preserve"> </w:t>
      </w:r>
      <w:r>
        <w:t xml:space="preserve">claim joint family-wise control across the incomparability, dominance, and interference claims drawn</w:t>
      </w:r>
      <w:r>
        <w:t xml:space="preserve"> </w:t>
      </w:r>
      <w:r>
        <w:t xml:space="preserve">from a single run (§</w:t>
      </w:r>
      <w:hyperlink w:anchor="subsec:fwer">
        <w:r>
          <w:rPr>
            <w:rStyle w:val="Hyperlink"/>
          </w:rPr>
          <w:t xml:space="preserve">6.5</w:t>
        </w:r>
      </w:hyperlink>
      <w:r>
        <w:t xml:space="preserve">, §</w:t>
      </w:r>
      <w:hyperlink w:anchor="sec:limitations">
        <w:r>
          <w:rPr>
            <w:rStyle w:val="Hyperlink"/>
          </w:rPr>
          <w:t xml:space="preserve">8.5</w:t>
        </w:r>
      </w:hyperlink>
      <w:r>
        <w:t xml:space="preserve">). The intervals are degenerate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which is why the stark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cells certify incomparability at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the interference contrast, which mixes intermediate baselines, does not.</w:t>
      </w:r>
    </w:p>
    <w:bookmarkEnd w:id="74"/>
    <w:bookmarkStart w:id="75" w:name="sampling-regime."/>
    <w:p>
      <w:pPr>
        <w:pStyle w:val="Heading4"/>
      </w:pPr>
      <w:r>
        <w:t xml:space="preserve">Sampling regime.</w:t>
      </w:r>
    </w:p>
    <w:p>
      <w:pPr>
        <w:pStyle w:val="FirstParagraph"/>
      </w:pPr>
      <w:r>
        <w:t xml:space="preserve">The certificate models each cell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Bernoulli PASS draws (Assumption </w:t>
      </w:r>
      <w:hyperlink w:anchor="ass:iid">
        <w:r>
          <w:rPr>
            <w:rStyle w:val="Hyperlink"/>
          </w:rPr>
          <w:t xml:space="preserve">2</w:t>
        </w:r>
      </w:hyperlink>
      <w:r>
        <w:t xml:space="preserve">); the four</w:t>
      </w:r>
      <w:r>
        <w:t xml:space="preserve"> </w:t>
      </w:r>
      <w:r>
        <w:t xml:space="preserve">arms within a cell are separate completions, hence independent. We report the decoding parameters,</w:t>
      </w:r>
      <w:r>
        <w:t xml:space="preserve"> </w:t>
      </w:r>
      <w:r>
        <w:t xml:space="preserve">seeding policy, retry policy, and turn budget in Appendix </w:t>
      </w:r>
      <w:hyperlink w:anchor="app:repro">
        <w:r>
          <w:rPr>
            <w:rStyle w:val="Hyperlink"/>
          </w:rPr>
          <w:t xml:space="preserve">12</w:t>
        </w:r>
      </w:hyperlink>
      <w:r>
        <w:t xml:space="preserve">. The independence assumption is</w:t>
      </w:r>
      <w:r>
        <w:t xml:space="preserve"> </w:t>
      </w:r>
      <w:r>
        <w:t xml:space="preserve">most delicate for the agentic arm, where each draw is a multi-turn trajectory; each run is a fresh</w:t>
      </w:r>
      <w:r>
        <w:t xml:space="preserve"> </w:t>
      </w:r>
      <w:r>
        <w:t xml:space="preserve">trajectory with no shared state, and the binomial model underlying every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bound applies at the trajectory level (§</w:t>
      </w:r>
      <w:hyperlink w:anchor="sec:limitations">
        <w:r>
          <w:rPr>
            <w:rStyle w:val="Hyperlink"/>
          </w:rPr>
          <w:t xml:space="preserve">8.5</w:t>
        </w:r>
      </w:hyperlink>
      <w:r>
        <w:t xml:space="preserve">).</w:t>
      </w:r>
    </w:p>
    <w:bookmarkEnd w:id="75"/>
    <w:bookmarkStart w:id="76" w:name="spend."/>
    <w:p>
      <w:pPr>
        <w:pStyle w:val="Heading4"/>
      </w:pPr>
      <w:r>
        <w:t xml:space="preserve">Spend.</w:t>
      </w:r>
    </w:p>
    <w:p>
      <w:pPr>
        <w:pStyle w:val="FirstParagraph"/>
      </w:pPr>
      <w:r>
        <w:t xml:space="preserve">The record reflects roughly $210 of Anthropic spend (the live</w:t>
      </w:r>
      <w:r>
        <w:t xml:space="preserve"> </w:t>
      </w:r>
      <w:r>
        <w:rPr>
          <w:rStyle w:val="VerbatimChar"/>
        </w:rPr>
        <w:t xml:space="preserve">claude -p</w:t>
      </w:r>
      <w:r>
        <w:t xml:space="preserve"> </w:t>
      </w:r>
      <w:r>
        <w:t xml:space="preserve">runs;</w:t>
      </w:r>
      <w:r>
        <w:t xml:space="preserve"> </w:t>
      </w:r>
      <w:r>
        <w:t xml:space="preserve">itemized in Appendix </w:t>
      </w:r>
      <w:hyperlink w:anchor="app:repro">
        <w:r>
          <w:rPr>
            <w:rStyle w:val="Hyperlink"/>
          </w:rPr>
          <w:t xml:space="preserve">12</w:t>
        </w:r>
      </w:hyperlink>
      <w:r>
        <w:t xml:space="preserve">) plus Azure quota for the non-Anthropic models; the Azure</w:t>
      </w:r>
      <w:r>
        <w:t xml:space="preserve"> </w:t>
      </w:r>
      <w:r>
        <w:t xml:space="preserve">API returns no cost field, so the $210 figure should not be read as the total cost across all</w:t>
      </w:r>
      <w:r>
        <w:t xml:space="preserve"> </w:t>
      </w:r>
      <w:r>
        <w:t xml:space="preserve">six models.</w:t>
      </w:r>
    </w:p>
    <w:bookmarkEnd w:id="76"/>
    <w:bookmarkEnd w:id="77"/>
    <w:bookmarkStart w:id="97" w:name="sec: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We report four findings: incomparability (§</w:t>
      </w:r>
      <w:hyperlink w:anchor="sec:results-incomp">
        <w:r>
          <w:rPr>
            <w:rStyle w:val="Hyperlink"/>
          </w:rPr>
          <w:t xml:space="preserve">7.4.1</w:t>
        </w:r>
      </w:hyperlink>
      <w:r>
        <w:t xml:space="preserve">), the relevance mis-rank</w:t>
      </w:r>
      <w:r>
        <w:t xml:space="preserve"> </w:t>
      </w:r>
      <w:r>
        <w:t xml:space="preserve">(§</w:t>
      </w:r>
      <w:hyperlink w:anchor="sec:results-misrank">
        <w:r>
          <w:rPr>
            <w:rStyle w:val="Hyperlink"/>
          </w:rPr>
          <w:t xml:space="preserve">7.4.2</w:t>
        </w:r>
      </w:hyperlink>
      <w:r>
        <w:t xml:space="preserve">), anti-monotonicity (§</w:t>
      </w:r>
      <w:hyperlink w:anchor="sec:results-antimono">
        <w:r>
          <w:rPr>
            <w:rStyle w:val="Hyperlink"/>
          </w:rPr>
          <w:t xml:space="preserve">7.4.3</w:t>
        </w:r>
      </w:hyperlink>
      <w:r>
        <w:t xml:space="preserve">), and the</w:t>
      </w:r>
      <w:r>
        <w:t xml:space="preserve"> </w:t>
      </w:r>
      <w:r>
        <w:t xml:space="preserve">model-relative value of private context (§</w:t>
      </w:r>
      <w:hyperlink w:anchor="sec:results-moat">
        <w:r>
          <w:rPr>
            <w:rStyle w:val="Hyperlink"/>
          </w:rPr>
          <w:t xml:space="preserve">7.4.4</w:t>
        </w:r>
      </w:hyperlink>
      <w:r>
        <w:t xml:space="preserve">). Table </w:t>
      </w:r>
      <w:hyperlink w:anchor="tab:consolidated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consolidates the per-model verdicts; Tables </w:t>
      </w:r>
      <w:hyperlink w:anchor="tab:LD">
        <w:r>
          <w:rPr>
            <w:rStyle w:val="Hyperlink"/>
          </w:rPr>
          <w:t xml:space="preserve">2</w:t>
        </w:r>
      </w:hyperlink>
      <w:r>
        <w:t xml:space="preserve">,</w:t>
      </w:r>
      <w:r>
        <w:t xml:space="preserve"> </w:t>
      </w:r>
      <w:hyperlink w:anchor="tab:interference">
        <w:r>
          <w:rPr>
            <w:rStyle w:val="Hyperlink"/>
          </w:rPr>
          <w:t xml:space="preserve">4</w:t>
        </w:r>
      </w:hyperlink>
      <w:r>
        <w:t xml:space="preserve">, and</w:t>
      </w:r>
      <w:r>
        <w:t xml:space="preserve"> </w:t>
      </w:r>
      <w:hyperlink w:anchor="tab:percell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give the underlying quantities.</w:t>
      </w:r>
    </w:p>
    <w:bookmarkStart w:id="78" w:name="tab:consolidated"/>
    <w:p>
      <w:pPr>
        <w:pStyle w:val="TableCaption"/>
      </w:pPr>
      <w:r>
        <w:t xml:space="preserve">Consolidated 6-model / 4-vendor verdict. Anthropic rows are agentic (</w:t>
      </w:r>
      <w:r>
        <w:rPr>
          <w:rStyle w:val="VerbatimChar"/>
        </w:rPr>
        <w:t xml:space="preserve">claude -p</w:t>
      </w:r>
      <w:r>
        <w:t xml:space="preserve">, up</w:t>
      </w:r>
      <w:r>
        <w:t xml:space="preserve"> </w:t>
      </w:r>
      <w:r>
        <w:t xml:space="preserve">to six turns); the others are single-shot (§</w:t>
      </w:r>
      <w:hyperlink w:anchor="sec:methodology">
        <w:r>
          <w:rPr>
            <w:rStyle w:val="Hyperlink"/>
          </w:rPr>
          <w:t xml:space="preserve">7.3</w:t>
        </w:r>
      </w:hyperlink>
      <w:r>
        <w:t xml:space="preserve">).</w:t>
      </w:r>
      <w:r>
        <w:t xml:space="preserve"> </w:t>
      </w:r>
      <w:r>
        <w:t xml:space="preserve">“Anti-mono. certified”</w:t>
      </w:r>
      <w:r>
        <w:t xml:space="preserve"> </w:t>
      </w:r>
      <w:r>
        <w:t xml:space="preserve">counts</w:t>
      </w:r>
      <w:r>
        <w:t xml:space="preserve"> </w:t>
      </w:r>
      <w:r>
        <w:t xml:space="preserve">cells on which the interference upper bound clears</w:t>
      </w:r>
      <w:r>
        <w:t xml:space="preserve"> </w:t>
      </w:r>
      <m:oMath>
        <m:r>
          <m:rPr>
            <m:sty m:val="p"/>
          </m:rPr>
          <m:t>−</m:t>
        </m:r>
        <m:r>
          <m:t>τ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  <w:r>
        <w:t xml:space="preserve"> </w:t>
      </w:r>
      <w:r>
        <w:t xml:space="preserve">“Argorder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”</w:t>
      </w:r>
      <w:r>
        <w:t xml:space="preserve"> </w:t>
      </w:r>
      <w:r>
        <w:t xml:space="preserve">is the no-context baseline PASS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 the model-relative-value</w:t>
      </w:r>
      <w:r>
        <w:t xml:space="preserve"> </w:t>
      </w:r>
      <w:r>
        <w:t xml:space="preserve">spectrum. All figures are real measured runs; no modeled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solidated 6-model / 4-vendor verdict. Anthropic rows are agentic (claude -p, up to six turns); the others are single-shot (§7.3). “Anti-mono. certified” counts cells on which the interference upper bound clears -\tau = -0.30 at \eta=0.10. “Argorder none” is the no-context baseline PASS on api_argorder, the model-relative-value spectrum. All figures are real measured runs; no modeled number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Haiku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Sonnet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Kimi-K2.6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OpenAI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Moonshot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Harness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single-shot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single-shot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single-shot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per cell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Incomp. certified (</w:t>
            </w:r>
            <m:oMath>
              <m:r>
                <m:rPr>
                  <m:sty m:val="p"/>
                </m:rPr>
                <m:t>≥</m:t>
              </m:r>
              <m:r>
                <m:t>90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rPr>
                      <m:scr m:val="script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0.55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0.347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0.675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rPr>
                      <m:scr m:val="script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0.55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0.715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Relevance mis-rank (trap)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Anti-mono. certified (# cells)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(repro.)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</w:tbl>
    <w:bookmarkEnd w:id="78"/>
    <w:bookmarkStart w:id="81" w:name="sec:results-incomp"/>
    <w:p>
      <w:pPr>
        <w:pStyle w:val="Heading3"/>
      </w:pPr>
      <w:r>
        <w:t xml:space="preserve">Incomparability certified on all six models</w:t>
      </w:r>
    </w:p>
    <w:p>
      <w:pPr>
        <w:pStyle w:val="FirstParagraph"/>
      </w:pPr>
      <w:r>
        <w:t xml:space="preserve">On every model the empirical deficiency is mutually positive,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and the uniform lower bounds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in both directions clear zero,</w:t>
      </w:r>
      <w:r>
        <w:t xml:space="preserve"> </w:t>
      </w:r>
      <w:r>
        <w:t xml:space="preserve">certifying empirical incomparability 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</w:t>
      </w:r>
      <w:hyperlink w:anchor="tab:LD">
        <w:r>
          <w:rPr>
            <w:rStyle w:val="Hyperlink"/>
          </w:rPr>
          <w:t xml:space="preserve">2</w:t>
        </w:r>
      </w:hyperlink>
      <w:r>
        <w:t xml:space="preserve">). The crossover is stark: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solves the API and trap cells and fails encoding,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solves encoding and fails the API</w:t>
      </w:r>
      <w:r>
        <w:t xml:space="preserve"> </w:t>
      </w:r>
      <w:r>
        <w:t xml:space="preserve">and trap cells. For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the carrying cells are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) and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); the certificate strengthened from a marginal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0.138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0.877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0.831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, far clear of zero.</w:t>
      </w:r>
    </w:p>
    <w:p>
      <w:pPr>
        <w:pStyle w:val="BodyText"/>
      </w:pPr>
      <w:r>
        <w:t xml:space="preserve">Because incomparability is a two-directional claim, each row of Table </w:t>
      </w:r>
      <w:hyperlink w:anchor="tab:L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requires both</w:t>
      </w:r>
      <w:r>
        <w:t xml:space="preserve"> </w:t>
      </w:r>
      <w:r>
        <w:t xml:space="preserve">bounds positive; the smaller of the two is the binding one. The two carrying cells are one API cell</w:t>
      </w:r>
      <w:r>
        <w:t xml:space="preserve"> </w:t>
      </w:r>
      <w:r>
        <w:t xml:space="preserve">and one encoding cell, so the effective support of the surrogate is two cells. We therefore describe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as a fixed adversarial four-cell battery rather than a sampled task distribution: the</w:t>
      </w:r>
      <w:r>
        <w:t xml:space="preserve"> </w:t>
      </w:r>
      <w:r>
        <w:t xml:space="preserve">certificate is valid for what it covers, and what it covers is a single hand-built API-versus-encoding</w:t>
      </w:r>
      <w:r>
        <w:t xml:space="preserve"> </w:t>
      </w:r>
      <w:r>
        <w:t xml:space="preserve">opposition replicated across six models.</w:t>
      </w:r>
    </w:p>
    <w:bookmarkStart w:id="79" w:name="tab:LD"/>
    <w:p>
      <w:pPr>
        <w:pStyle w:val="TableCaption"/>
      </w:pPr>
      <w:r>
        <w:t xml:space="preserve">Certified incomparability: uniform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t xml:space="preserve"> </w:t>
      </w:r>
      <w:r>
        <w:t xml:space="preserve">lower bounds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in both directions</w:t>
      </w:r>
      <w:r>
        <w:t xml:space="preserve"> </w:t>
      </w:r>
      <w:r>
        <w:t xml:space="preserve">(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).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together certify empirical</w:t>
      </w:r>
      <w:r>
        <w:t xml:space="preserve"> </w:t>
      </w:r>
      <w:r>
        <w:t xml:space="preserve">incomparability. Both bounds are read off the same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Clopper–Pearson intervals</w:t>
      </w:r>
      <w:r>
        <w:t xml:space="preserve"> </w:t>
      </w:r>
      <w:r>
        <w:t xml:space="preserve">(Proposition </w:t>
      </w:r>
      <w:hyperlink w:anchor="prop:certificate">
        <w:r>
          <w:rPr>
            <w:rStyle w:val="Hyperlink"/>
          </w:rPr>
          <w:t xml:space="preserve">3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rtified incomparability: uniform (1-\eta) lower bounds L_{\mathcal{D}} in both directions (\eta=0.10). L_{\mathcal{D}}(W_1,W_2) &gt; 0 and L_{\mathcal{D}}(W_2,W_1) &gt; 0 together certify empirical incomparability. Both bounds are read off the same 2|\mathcal{D}| Clopper–Pearson intervals (Proposition 3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rPr>
                      <m:scr m:val="script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rPr>
                      <m:scr m:val="script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0.877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0.831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0.552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0.552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OpenAI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0.347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0.715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Moonshot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0.675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0.762</m:t>
              </m:r>
            </m:oMath>
            <w:r>
              <w:t xml:space="preserve">​</w:t>
            </w:r>
          </w:p>
        </w:tc>
      </w:tr>
    </w:tbl>
    <w:bookmarkEnd w:id="79"/>
    <w:bookmarkStart w:id="80" w:name="X6c81f23d1e91ce30e0ac8f28f0eb7c1fbd8f467"/>
    <w:p>
      <w:pPr>
        <w:pStyle w:val="Heading4"/>
      </w:pPr>
      <w:r>
        <w:t xml:space="preserve">Why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certifies incomparability for Opus but not interference.</w:t>
      </w:r>
    </w:p>
    <w:p>
      <w:pPr>
        <w:pStyle w:val="FirstParagraph"/>
      </w:pPr>
      <w:r>
        <w:t xml:space="preserve">Opus is run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which certifies incomparability 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0.552</m:t>
        </m:r>
      </m:oMath>
      <w:r>
        <w:t xml:space="preserve"> </w:t>
      </w:r>
      <w:r>
        <w:t xml:space="preserve">both directions) but not</w:t>
      </w:r>
      <w:r>
        <w:t xml:space="preserve"> </w:t>
      </w:r>
      <w:r>
        <w:t xml:space="preserve">anti-monotonicity. This asymmetry is principled, not an inconsistent threshold (Appendix </w:t>
      </w:r>
      <w:hyperlink w:anchor="app:proofs">
        <w:r>
          <w:rPr>
            <w:rStyle w:val="Hyperlink"/>
          </w:rPr>
          <w:t xml:space="preserve">10</w:t>
        </w:r>
      </w:hyperlink>
      <w:r>
        <w:t xml:space="preserve">).</w:t>
      </w:r>
      <w:r>
        <w:t xml:space="preserve"> </w:t>
      </w:r>
      <w:r>
        <w:t xml:space="preserve">The incomparability bound is carried by stark cells whose proportions sit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where the</w:t>
      </w:r>
      <w:r>
        <w:t xml:space="preserve"> </w:t>
      </w:r>
      <w:r>
        <w:t xml:space="preserve">Clopper–Pearson interval is degenerate and a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suffices. The interference bound, by contrast,</w:t>
      </w:r>
      <w:r>
        <w:t xml:space="preserve"> </w:t>
      </w:r>
      <w:r>
        <w:t xml:space="preserve">mixes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arms, including the intermediate Opus baselines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and trap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m:oMath>
        <m:r>
          <m:rPr>
            <m:sty m:val="p"/>
          </m:rPr>
          <m:t>=</m:t>
        </m:r>
        <m:r>
          <m:t>15</m:t>
        </m:r>
        <m:r>
          <m:rPr>
            <m:sty m:val="p"/>
          </m:rPr>
          <m:t>%</m:t>
        </m:r>
      </m:oMath>
      <w:r>
        <w:t xml:space="preserve">), so the four-term Clopper–Pearson sum stays</w:t>
      </w:r>
      <w:r>
        <w:t xml:space="preserve"> </w:t>
      </w:r>
      <w:r>
        <w:t xml:space="preserve">wide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(upper bounds</w:t>
      </w:r>
      <w:r>
        <w:t xml:space="preserve"> </w:t>
      </w:r>
      <m:oMath>
        <m:r>
          <m:rPr>
            <m:sty m:val="p"/>
          </m:rPr>
          <m:t>−</m:t>
        </m:r>
        <m:r>
          <m:t>0.08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0.11</m:t>
        </m:r>
      </m:oMath>
      <w:r>
        <w:t xml:space="preserve">, not below</w:t>
      </w:r>
      <w:r>
        <w:t xml:space="preserve"> </w:t>
      </w:r>
      <m:oMath>
        <m:r>
          <m:rPr>
            <m:sty m:val="p"/>
          </m:rPr>
          <m:t>−</m:t>
        </m:r>
        <m:r>
          <m:t>τ</m:t>
        </m:r>
      </m:oMath>
      <w:r>
        <w:t xml:space="preserve">). Raising Opus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is the one</w:t>
      </w:r>
      <w:r>
        <w:t xml:space="preserve"> </w:t>
      </w:r>
      <w:r>
        <w:t xml:space="preserve">remaining gap in the consolidated record.</w:t>
      </w:r>
    </w:p>
    <w:bookmarkEnd w:id="80"/>
    <w:bookmarkEnd w:id="81"/>
    <w:bookmarkStart w:id="84" w:name="sec:results-misrank"/>
    <w:p>
      <w:pPr>
        <w:pStyle w:val="Heading3"/>
      </w:pPr>
      <w:r>
        <w:t xml:space="preserve">The relevance score mis-ranks the sources</w:t>
      </w:r>
    </w:p>
    <w:p>
      <w:pPr>
        <w:pStyle w:val="FirstParagraph"/>
      </w:pPr>
      <w:r>
        <w:t xml:space="preserve">On the trap, query-conditioned lexical relevance ranks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&lt;</m:t>
        </m:r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0.44</m:t>
        </m:r>
      </m:oMath>
      <w:r>
        <w:t xml:space="preserve">, so it prefers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; yet 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all</w:t>
      </w:r>
      <w:r>
        <w:t xml:space="preserve"> </w:t>
      </w:r>
      <w:r>
        <w:t xml:space="preserve">six models (e.g. Haiku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; Sonnet, GPT-5.5, and Kimi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DeepSeek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; Opus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10</m:t>
        </m:r>
        <m:r>
          <m:rPr>
            <m:sty m:val="p"/>
          </m:rPr>
          <m:t>%</m:t>
        </m:r>
      </m:oMath>
      <w:r>
        <w:t xml:space="preserve">). On the honest cells relevance</w:t>
      </w:r>
      <w:r>
        <w:t xml:space="preserve"> </w:t>
      </w:r>
      <w:r>
        <w:rPr>
          <w:i/>
          <w:iCs/>
        </w:rPr>
        <w:t xml:space="preserve">agrees</w:t>
      </w:r>
      <w:r>
        <w:t xml:space="preserve"> </w:t>
      </w:r>
      <w:r>
        <w:t xml:space="preserve">with PASS, on the API cells relevance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so does PASS, and on the encoding cell</w:t>
      </w:r>
      <w:r>
        <w:t xml:space="preserve"> </w:t>
      </w:r>
      <w:r>
        <w:t xml:space="preserve">relevance ranks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so does PASS, so the score fails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where utility diverges</w:t>
      </w:r>
      <w:r>
        <w:t xml:space="preserve"> </w:t>
      </w:r>
      <w:r>
        <w:t xml:space="preserve">from topicality, exactly the regime 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isolate.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floor on the trap (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on five models,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 </w:t>
      </w:r>
      <w:r>
        <w:t xml:space="preserve">for Opus) confirms genuine</w:t>
      </w:r>
      <w:r>
        <w:t xml:space="preserve"> </w:t>
      </w:r>
      <w:r>
        <w:t xml:space="preserve">unguessability, 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for Opus) confirms that encoding knowledge is</w:t>
      </w:r>
      <w:r>
        <w:t xml:space="preserve"> </w:t>
      </w:r>
      <w:r>
        <w:t xml:space="preserve">useless there.</w:t>
      </w:r>
    </w:p>
    <w:bookmarkStart w:id="83" w:name="X92ef9457b97ee405b154a7eb0fa1aa3a6f2d684"/>
    <w:p>
      <w:pPr>
        <w:pStyle w:val="Heading4"/>
      </w:pPr>
      <w:r>
        <w:t xml:space="preserve">The ranker spectrum: dense retrievers and a cross-encoder fall for the trap; a</w:t>
      </w:r>
      <w:r>
        <w:t xml:space="preserve"> </w:t>
      </w:r>
      <w:r>
        <w:t xml:space="preserve">listwise reranker escapes it.</w:t>
      </w:r>
    </w:p>
    <w:p>
      <w:pPr>
        <w:pStyle w:val="FirstParagraph"/>
      </w:pPr>
      <w:r>
        <w:t xml:space="preserve">To test whether the mis-rank extends beyond bag-of-words, we scored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against the</w:t>
      </w:r>
      <w:r>
        <w:t xml:space="preserve"> </w:t>
      </w:r>
      <w:r>
        <w:t xml:space="preserve">probe tasks with representative open-weight rankers, two dense bi-encoders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bge-small-en-v1.5</w:t>
      </w:r>
      <w:r>
        <w:t xml:space="preserve">,</w:t>
      </w:r>
      <w:r>
        <w:t xml:space="preserve"> </w:t>
      </w:r>
      <w:r>
        <w:rPr>
          <w:rStyle w:val="VerbatimChar"/>
        </w:rPr>
        <w:t xml:space="preserve">e5-small-v2</w:t>
      </w:r>
      <w:r>
        <w:t xml:space="preserve">) and a cross-encoder reranker</w:t>
      </w:r>
      <w:r>
        <w:t xml:space="preserve"> </w:t>
      </w:r>
      <w:r>
        <w:t xml:space="preserve">(</w:t>
      </w:r>
      <w:r>
        <w:rPr>
          <w:rStyle w:val="VerbatimChar"/>
        </w:rPr>
        <w:t xml:space="preserve">ms-marco-MiniLM-L-6-v2</w:t>
      </w:r>
      <w:r>
        <w:t xml:space="preserve">), and with a RankGPT-style LLM</w:t>
      </w:r>
      <w:r>
        <w:t xml:space="preserve"> </w:t>
      </w:r>
      <w:r>
        <w:rPr>
          <w:i/>
          <w:iCs/>
        </w:rPr>
        <w:t xml:space="preserve">listwise</w:t>
      </w:r>
      <w:r>
        <w:t xml:space="preserve"> </w:t>
      </w:r>
      <w:r>
        <w:t xml:space="preserve">reranker (Haiku</w:t>
      </w:r>
      <w:r>
        <w:t xml:space="preserve"> </w:t>
      </w:r>
      <w:r>
        <w:t xml:space="preserve">single-shot, seeing the task and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sources; both presentation orders;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judgments</w:t>
      </w:r>
      <w:r>
        <w:t xml:space="preserve"> </w:t>
      </w:r>
      <w:r>
        <w:t xml:space="preserve">per task). Table </w:t>
      </w:r>
      <w:hyperlink w:anchor="tab:rankers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the induced rankings.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feature-based ranker mis-ranks the trap</w:t>
      </w:r>
      <w:r>
        <w:t xml:space="preserve">: both dense bi-encoders prefer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 while</w:t>
      </w:r>
      <w:r>
        <w:t xml:space="preserve"> </w:t>
      </w:r>
      <w:r>
        <w:t xml:space="preserve">ranking both honest cells correctly, textbook topical behaviour, and the cross-encoder prefers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 with maximal confidence (logits</w:t>
      </w:r>
      <w:r>
        <w:t xml:space="preserve"> </w:t>
      </w:r>
      <m:oMath>
        <m:r>
          <m:rPr>
            <m:sty m:val="p"/>
          </m:rPr>
          <m:t>−</m:t>
        </m:r>
        <m:r>
          <m:t>5.63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vs</w:t>
      </w:r>
      <w:r>
        <w:t xml:space="preserve"> </w:t>
      </w:r>
      <m:oMath>
        <m:r>
          <m:rPr>
            <m:sty m:val="p"/>
          </m:rPr>
          <m:t>+</m:t>
        </m:r>
        <m:r>
          <m:t>3.24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 while</w:t>
      </w:r>
      <w:r>
        <w:t xml:space="preserve"> </w:t>
      </w:r>
      <w:r>
        <w:t xml:space="preserve">being near-tied (and narrowly wrong) on the honest encoding cell. The LLM listwise reranker,</w:t>
      </w:r>
      <w:r>
        <w:t xml:space="preserve"> </w:t>
      </w:r>
      <w:r>
        <w:t xml:space="preserve">which can read the verifier-decisive coordinate rather than match surface features, tracks</w:t>
      </w:r>
      <w:r>
        <w:t xml:space="preserve"> </w:t>
      </w:r>
      <w:r>
        <w:t xml:space="preserve">realized PASS everywhere (</w:t>
      </w:r>
      <m:oMath>
        <m:r>
          <m:t>30</m:t>
        </m:r>
        <m:r>
          <m:rPr>
            <m:sty m:val="p"/>
          </m:rPr>
          <m:t>/</m:t>
        </m:r>
        <m:r>
          <m:t>30</m:t>
        </m:r>
      </m:oMath>
      <w:r>
        <w:t xml:space="preserve"> </w:t>
      </w:r>
      <w:r>
        <w:t xml:space="preserve">per task, both orders). This is exactly the boundary</w:t>
      </w:r>
      <w:r>
        <w:t xml:space="preserve"> </w:t>
      </w:r>
      <w:r>
        <w:t xml:space="preserve">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draws: the impossibility hypothesis is</w:t>
      </w:r>
      <w:r>
        <w:t xml:space="preserve"> </w:t>
      </w:r>
      <w:r>
        <w:rPr>
          <w:i/>
          <w:iCs/>
        </w:rPr>
        <w:t xml:space="preserve">topicality</w:t>
      </w:r>
      <w:r>
        <w:t xml:space="preserve">,</w:t>
      </w:r>
      <w:r>
        <w:t xml:space="preserve"> </w:t>
      </w:r>
      <w:r>
        <w:t xml:space="preserve">invariance to the decisive coordinate, and the trap defeats the lexical, dense, and cross-encoder</w:t>
      </w:r>
      <w:r>
        <w:t xml:space="preserve"> </w:t>
      </w:r>
      <w:r>
        <w:t xml:space="preserve">families that satisfy it while sparing the one ranker that reads content. The practical corollary</w:t>
      </w:r>
      <w:r>
        <w:t xml:space="preserve"> </w:t>
      </w:r>
      <w:r>
        <w:t xml:space="preserve">is that escaping the topical class costs a model call per candidate, a probe of the same kind the</w:t>
      </w:r>
      <w:r>
        <w:t xml:space="preserve"> </w:t>
      </w:r>
      <w:r>
        <w:t xml:space="preserve">deficiency certificate is built from, not a free scalar.</w:t>
      </w:r>
    </w:p>
    <w:bookmarkStart w:id="82" w:name="tab:rankers"/>
    <w:p>
      <w:pPr>
        <w:pStyle w:val="TableCaption"/>
      </w:pPr>
      <w:r>
        <w:t xml:space="preserve">The ranker spectrum on the probe tasks. Each cell is the ranker’s top pick between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w:r>
        <w:t xml:space="preserve">“PASS”</w:t>
      </w:r>
      <w:r>
        <w:t xml:space="preserve"> </w:t>
      </w:r>
      <w:r>
        <w:t xml:space="preserve">is the realized-utility ranking from the certified record. Dense and</w:t>
      </w:r>
      <w:r>
        <w:t xml:space="preserve"> </w:t>
      </w:r>
      <w:r>
        <w:t xml:space="preserve">cross-encoder scores are deterministic; the LLM listwise row pools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judgments per task</w:t>
      </w:r>
      <w:r>
        <w:t xml:space="preserve"> </w:t>
      </w:r>
      <w:r>
        <w:t xml:space="preserve">(unanimous, both presentation orders).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marks a mis-rank. The cross-encoder’s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 </w:t>
      </w:r>
      <w:r>
        <w:t xml:space="preserve">pick is a near-tie (</w:t>
      </w:r>
      <m:oMath>
        <m:r>
          <m:rPr>
            <m:sty m:val="p"/>
          </m:rPr>
          <m:t>−</m:t>
        </m:r>
        <m:r>
          <m:t>0.279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rPr>
            <m:sty m:val="p"/>
          </m:rPr>
          <m:t>−</m:t>
        </m:r>
        <m:r>
          <m:t>0.305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ranker spectrum on the probe tasks. Each cell is the ranker’s top pick between \{W_1, W_2\}; “PASS” is the realized-utility ranking from the certified record. Dense and cross-encoder scores are deterministic; the LLM listwise row pools n=30 judgments per task (unanimous, both presentation orders). \times marks a mis-rank. The cross-encoder’s enc_amount pick is a near-tie (-0.279 vs -0.305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Ranker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trap</w:t>
            </w:r>
            <w:r>
              <w:t xml:space="preserve"> </w:t>
            </w:r>
            <w:r>
              <w:t xml:space="preserve">(PASS: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api_post_ok</w:t>
            </w:r>
            <w:r>
              <w:t xml:space="preserve"> </w:t>
            </w:r>
            <w:r>
              <w:t xml:space="preserve">(PASS: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enc_amount</w:t>
            </w:r>
            <w:r>
              <w:t xml:space="preserve"> </w:t>
            </w:r>
            <w:r>
              <w:t xml:space="preserve">(PASS: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bag-of-words cosine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lexical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 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bge-small-en-v1.5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dense bi-encoder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 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e5-small-v2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dense bi-encoder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 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ms-marco-MiniLM-L-6-v2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cross-encoder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 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 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 listwise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listwise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</w:tbl>
    <w:bookmarkEnd w:id="82"/>
    <w:bookmarkEnd w:id="83"/>
    <w:bookmarkEnd w:id="84"/>
    <w:bookmarkStart w:id="93" w:name="sec:results-antimono"/>
    <w:p>
      <w:pPr>
        <w:pStyle w:val="Heading3"/>
      </w:pPr>
      <w:r>
        <w:t xml:space="preserve">Anti-monotonicity: a certified superset that hurts</w:t>
      </w:r>
    </w:p>
    <w:p>
      <w:pPr>
        <w:pStyle w:val="FirstParagraph"/>
      </w:pPr>
      <w:r>
        <w:t xml:space="preserve">The superset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which literally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signal, sharply degrades the API cells</w:t>
      </w:r>
      <w:r>
        <w:t xml:space="preserve"> </w:t>
      </w:r>
      <w:r>
        <w:t xml:space="preserve">relative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alone. The per-task interference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certified negative 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) on at</w:t>
      </w:r>
      <w:r>
        <w:t xml:space="preserve"> </w:t>
      </w:r>
      <w:r>
        <w:t xml:space="preserve">least one cell for five of the six models (Table </w:t>
      </w:r>
      <w:hyperlink w:anchor="tab:interference">
        <w:r>
          <w:rPr>
            <w:rStyle w:val="Hyperlink"/>
          </w:rPr>
          <w:t xml:space="preserve">4</w:t>
        </w:r>
      </w:hyperlink>
      <w:r>
        <w:t xml:space="preserve">). Opus reproduces the effect</w:t>
      </w:r>
      <w:r>
        <w:t xml:space="preserve"> </w:t>
      </w:r>
      <w:r>
        <w:t xml:space="preserve">with strong point estimates 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0.75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0.80</m:t>
        </m:r>
      </m:oMath>
      <w:r>
        <w:t xml:space="preserve">) but does not certify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. This is a</w:t>
      </w:r>
      <w:r>
        <w:t xml:space="preserve"> </w:t>
      </w:r>
      <w:r>
        <w:t xml:space="preserve">certified empirical falsification of Blackwell superset-dominance on live models</w:t>
      </w:r>
      <w:r>
        <w:t xml:space="preserve"> </w:t>
      </w:r>
      <w:r>
        <w:t xml:space="preserve">(Theorem </w:t>
      </w:r>
      <w:hyperlink w:anchor="thm:antimono">
        <w:r>
          <w:rPr>
            <w:rStyle w:val="Hyperlink"/>
          </w:rPr>
          <w:t xml:space="preserve">3</w:t>
        </w:r>
      </w:hyperlink>
      <w:r>
        <w:t xml:space="preserve">): strictly-more-informative context can hurt, and the deficiency</w:t>
      </w:r>
      <w:r>
        <w:t xml:space="preserve"> </w:t>
      </w:r>
      <w:r>
        <w:t xml:space="preserve">framework detects it precisely where every monotone scalar must miss it.</w:t>
      </w:r>
      <w:r>
        <w:t xml:space="preserve"> </w:t>
      </w:r>
      <w:r>
        <w:t xml:space="preserve">Figure </w:t>
      </w:r>
      <w:hyperlink w:anchor="fig:collapse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shows the collapse across the six models.</w:t>
      </w:r>
    </w:p>
    <w:bookmarkStart w:id="85" w:name="fig:collaps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Anti-monotonicity across the capability ladder: PASS on the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cell</w:t>
      </w:r>
      <w:r>
        <w:t xml:space="preserve"> </w:t>
      </w:r>
      <w:r>
        <w:t xml:space="preserve">under the sufficient source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(light) versus the strict superset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(dark), per model (Table </w:t>
      </w:r>
      <w:hyperlink w:anchor="tab:percell">
        <w:r>
          <w:rPr>
            <w:rStyle w:val="Hyperlink"/>
          </w:rPr>
          <w:t xml:space="preserve">5</w:t>
        </w:r>
      </w:hyperlink>
      <w:r>
        <w:t xml:space="preserve">). The superset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 yet</w:t>
      </w:r>
      <w:r>
        <w:t xml:space="preserve"> </w:t>
      </w:r>
      <w:r>
        <w:t xml:space="preserve">collapses performance on every model; the effect is large everywhere but not monotone in</w:t>
      </w:r>
      <w:r>
        <w:t xml:space="preserve"> </w:t>
      </w:r>
      <w:r>
        <w:t xml:space="preserve">capability (Sonnet collapses hardest, Opus least). Anthropic rows agentic, others single-shot;</w:t>
      </w:r>
      <w:r>
        <w:t xml:space="preserve"> </w:t>
      </w:r>
      <w:r>
        <w:t xml:space="preserve">Opus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(reproduced, not certified).</w:t>
      </w:r>
    </w:p>
    <w:bookmarkEnd w:id="85"/>
    <w:bookmarkStart w:id="88" w:name="Xad950c9ad2efcae5ca328fe88a654bcb87f62fc"/>
    <w:p>
      <w:pPr>
        <w:pStyle w:val="Heading4"/>
      </w:pPr>
      <w:r>
        <w:t xml:space="preserve">The empirical order inverts the idealized one.</w:t>
      </w:r>
    </w:p>
    <w:p>
      <w:pPr>
        <w:pStyle w:val="FirstParagraph"/>
      </w:pPr>
      <w:r>
        <w:t xml:space="preserve">The idealized Blackwell order on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collapses the choice to the</w:t>
      </w:r>
      <w:r>
        <w:t xml:space="preserve"> </w:t>
      </w:r>
      <w:r>
        <w:t xml:space="preserve">superset: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reveals both coordinates,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w:r>
        <w:t xml:space="preserve">“more signal is better”</w:t>
      </w:r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alone. The certified empirical relation for the</w:t>
      </w:r>
      <w:r>
        <w:t xml:space="preserve"> </w:t>
      </w:r>
      <w:r>
        <w:t xml:space="preserve">fixed rule is the opposite shape: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on the API cells,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 the encoding cell,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dominates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(while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certified incomparable pair), so the correct empirical summary is the two-element</w:t>
      </w:r>
      <w:r>
        <w:t xml:space="preserve"> </w:t>
      </w:r>
      <w:r>
        <w:t xml:space="preserve">Pareto front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, an object no scalar top-</w:t>
      </w:r>
      <m:oMath>
        <m:r>
          <m:t>1</m:t>
        </m:r>
      </m:oMath>
      <w:r>
        <w:t xml:space="preserve"> </w:t>
      </w:r>
      <w:r>
        <w:t xml:space="preserve">rule can represent</w:t>
      </w:r>
      <w:r>
        <w:t xml:space="preserve"> </w:t>
      </w:r>
      <w:r>
        <w:t xml:space="preserve">(Figure </w:t>
      </w:r>
      <w:hyperlink w:anchor="fig:hasse">
        <w:r>
          <w:rPr>
            <w:rStyle w:val="Hyperlink"/>
          </w:rPr>
          <w:t xml:space="preserve">2</w:t>
        </w:r>
      </w:hyperlink>
      <w:r>
        <w:t xml:space="preserve">). This reads directly off the certified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Haiku cells; the</w:t>
      </w:r>
      <w:r>
        <w:t xml:space="preserve"> </w:t>
      </w:r>
      <w:r>
        <w:t xml:space="preserve">selection rule it implies, keep the certified non-dominated set rather than force the superset,</w:t>
      </w:r>
      <w:r>
        <w:t xml:space="preserve"> </w:t>
      </w:r>
      <w:r>
        <w:t xml:space="preserve">is developed in a companion paper.</w:t>
      </w:r>
    </w:p>
    <w:bookmarkStart w:id="86" w:name="fig:hass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The paper’s thesis in one picture, on the measured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rPr>
          <w:b/>
          <w:bCs/>
        </w:rPr>
        <w:t xml:space="preserve">Left:</w:t>
      </w:r>
      <w:r>
        <w:t xml:space="preserve"> </w:t>
      </w:r>
      <w:r>
        <w:t xml:space="preserve">the idealized Blackwell order for the optimal user;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reveals both coordinates, so</w:t>
      </w:r>
      <w:r>
        <w:t xml:space="preserve"> </w:t>
      </w:r>
      <w:r>
        <w:t xml:space="preserve">“more signal is better”</w:t>
      </w:r>
      <w:r>
        <w:t xml:space="preserve"> </w:t>
      </w:r>
      <w:r>
        <w:t xml:space="preserve">collapses the choice to the superset.</w:t>
      </w:r>
      <w:r>
        <w:t xml:space="preserve"> </w:t>
      </w:r>
      <w:r>
        <w:rPr>
          <w:b/>
          <w:bCs/>
        </w:rPr>
        <w:t xml:space="preserve">Right:</w:t>
      </w:r>
      <w:r>
        <w:t xml:space="preserve"> </w:t>
      </w:r>
      <w:r>
        <w:t xml:space="preserve">the certified empirical order for the fixed model rule (Haiku,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):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on the API cells (</w:t>
      </w:r>
      <m:oMath>
        <m:r>
          <m:t>98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24</m:t>
        </m:r>
        <m:r>
          <m:rPr>
            <m:sty m:val="p"/>
          </m:rPr>
          <m:t>%</m:t>
        </m:r>
      </m:oMath>
      <w:r>
        <w:t xml:space="preserve">, anti-monotonicity, Table </w:t>
      </w:r>
      <w:hyperlink w:anchor="tab:interference">
        <w:r>
          <w:rPr>
            <w:rStyle w:val="Hyperlink"/>
          </w:rPr>
          <w:t xml:space="preserve">4</w:t>
        </w:r>
      </w:hyperlink>
      <w:r>
        <w:t xml:space="preserve">) while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 the encoding cell, so the two are empirically incomparable (dashed) and the</w:t>
      </w:r>
      <w:r>
        <w:t xml:space="preserve"> </w:t>
      </w:r>
      <w:r>
        <w:t xml:space="preserve">correct output is the two-element Pareto front, which no scalar top-</w:t>
      </w:r>
      <m:oMath>
        <m:r>
          <m:t>1</m:t>
        </m:r>
      </m:oMath>
      <w:r>
        <w:t xml:space="preserve"> </w:t>
      </w:r>
      <w:r>
        <w:t xml:space="preserve">rule can represent.</w:t>
      </w:r>
    </w:p>
    <w:bookmarkEnd w:id="86"/>
    <w:bookmarkStart w:id="87" w:name="tab:interference"/>
    <w:p>
      <w:pPr>
        <w:pStyle w:val="TableCaption"/>
      </w:pPr>
      <w:r>
        <w:t xml:space="preserve">Anti-monotonicity (interference) certificate on the carrying cell per model.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“Upper”</w:t>
      </w:r>
      <w:r>
        <w:t xml:space="preserve"> </w:t>
      </w:r>
      <w:r>
        <w:t xml:space="preserve">is the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Clopper–Pearson upper bound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Ψ</m:t>
                </m:r>
              </m:e>
            </m:bar>
          </m:e>
          <m:sub>
            <m:r>
              <m:t>T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q:psiupper">
        <w:r>
          <w:rPr>
            <w:rStyle w:val="Hyperlink"/>
          </w:rPr>
          <w:t xml:space="preserve">[eq:psiupper]</w:t>
        </w:r>
      </w:hyperlink>
      <w:r>
        <w:t xml:space="preserve">; the cell is certified harmful</w:t>
      </w:r>
      <w:r>
        <w:t xml:space="preserve"> </w:t>
      </w:r>
      <w:r>
        <w:t xml:space="preserve">when Upper</w:t>
      </w:r>
      <w:r>
        <w:t xml:space="preserve"> </w:t>
      </w:r>
      <m:oMath>
        <m:r>
          <m:rPr>
            <m:sty m:val="p"/>
          </m:rPr>
          <m:t>≤</m:t>
        </m:r>
        <m:r>
          <m:rPr>
            <m:sty m:val="p"/>
          </m:rPr>
          <m:t>−</m:t>
        </m:r>
        <m:r>
          <m:t>0.30</m:t>
        </m:r>
      </m:oMath>
      <w:r>
        <w:t xml:space="preserve">.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column reports the PASS collapse. The certificate clears</w:t>
      </w:r>
      <w:r>
        <w:t xml:space="preserve"> </w:t>
      </w:r>
      <w:r>
        <w:t xml:space="preserve">only on cells whose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 floors near zero (the leaky-baseline limitation;</w:t>
      </w:r>
      <w:r>
        <w:t xml:space="preserve"> </w:t>
      </w:r>
      <w:r>
        <w:t xml:space="preserve">Remark </w:t>
      </w:r>
      <w:hyperlink w:anchor="rem:leaky">
        <w:r>
          <w:rPr>
            <w:rStyle w:val="Hyperlink"/>
          </w:rPr>
          <w:t xml:space="preserve">5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nti-monotonicity (interference) certificate on the carrying cell per model. \Psi_T =     \mathrm{PASS}(W_{1+}) - \mathrm{PASS}(W_1) - \mathrm{PASS}(W_2) + \mathrm{PASS}(\texttt{none}); “Upper” is the \eta/4 Clopper–Pearson upper bound \overline\Psi_T of [eq:psiupper]; the cell is certified harmful when Upper \le -0.30. The W_1 \to W_{1+} column reports the PASS collapse. The certificate clears only on cells whose none baseline floors near zero (the leaky-baseline limitation; Remark 5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Carrying cell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Ψ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Upper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Certified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98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24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0.74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0.49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  <w:r>
              <w:t xml:space="preserve"> </w:t>
            </w:r>
            <w:r>
              <w:t xml:space="preserve">(hardened)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0.79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0.69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0.69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0.60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0.75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0.36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0.69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25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0.75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0.80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)</w:t>
            </w:r>
          </w:p>
        </w:tc>
      </w:tr>
    </w:tbl>
    <w:bookmarkEnd w:id="87"/>
    <w:bookmarkEnd w:id="88"/>
    <w:bookmarkStart w:id="89" w:name="Xe149701baef4ebfc0c0660f6732890156a3bb29"/>
    <w:p>
      <w:pPr>
        <w:pStyle w:val="Heading4"/>
      </w:pPr>
      <w:r>
        <w:t xml:space="preserve">The leaky-baseline limitation is a stated protocol.</w:t>
      </w:r>
    </w:p>
    <w:p>
      <w:pPr>
        <w:pStyle w:val="FirstParagraph"/>
      </w:pPr>
      <w:r>
        <w:t xml:space="preserve">The interference upper bound includes the term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cr m:val="monospace"/>
                <m:sty m:val="p"/>
              </m:rPr>
              <m:t>none</m:t>
            </m:r>
          </m:sub>
        </m:sSub>
        <m:r>
          <m:rPr>
            <m:sty m:val="p"/>
          </m:rPr>
          <m:t>)</m:t>
        </m:r>
      </m:oMath>
      <w:r>
        <w:t xml:space="preserve">, so it</w:t>
      </w:r>
      <w:r>
        <w:t xml:space="preserve"> </w:t>
      </w:r>
      <w:r>
        <w:t xml:space="preserve">can certify harm only on cells whose no-context baseline floors near zero. This is exactly why</w:t>
      </w:r>
      <w:r>
        <w:t xml:space="preserve"> </w:t>
      </w:r>
      <w:r>
        <w:t xml:space="preserve">anti-monotonicity certifies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(hardened) for Haiku (</w:t>
      </w:r>
      <w:r>
        <w:rPr>
          <w:rStyle w:val="VerbatimChar"/>
        </w:rPr>
        <w:t xml:space="preserve">none</w:t>
      </w:r>
      <w:r>
        <w:t xml:space="preserve"> </w:t>
      </w:r>
      <w:r>
        <w:t xml:space="preserve">dropped from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after hardening,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 but not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for GPT-5.5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 </w:t>
      </w:r>
      <m:oMath>
        <m:r>
          <m:rPr>
            <m:sty m:val="p"/>
          </m:rPr>
          <m:t>=</m:t>
        </m:r>
        <m:r>
          <m:t>75</m:t>
        </m:r>
        <m:r>
          <m:rPr>
            <m:sty m:val="p"/>
          </m:rPr>
          <m:t>%</m:t>
        </m:r>
      </m:oMath>
      <w:r>
        <w:t xml:space="preserve">), Kimi (</w:t>
      </w:r>
      <m:oMath>
        <m:r>
          <m:t>45</m:t>
        </m:r>
        <m:r>
          <m:rPr>
            <m:sty m:val="p"/>
          </m:rPr>
          <m:t>%</m:t>
        </m:r>
      </m:oMath>
      <w:r>
        <w:t xml:space="preserve">), or Opus (</w:t>
      </w:r>
      <m:oMath>
        <m:r>
          <m:t>15</m:t>
        </m:r>
        <m:r>
          <m:rPr>
            <m:sty m:val="p"/>
          </m:rPr>
          <m:t>%</m:t>
        </m:r>
      </m:oMath>
      <w:r>
        <w:t xml:space="preserve">). We state this as a protocol up front</w:t>
      </w:r>
      <w:r>
        <w:t xml:space="preserve"> </w:t>
      </w:r>
      <w:r>
        <w:t xml:space="preserve">(Remark </w:t>
      </w:r>
      <w:hyperlink w:anchor="rem:leaky">
        <w:r>
          <w:rPr>
            <w:rStyle w:val="Hyperlink"/>
          </w:rPr>
          <w:t xml:space="preserve">5</w:t>
        </w:r>
      </w:hyperlink>
      <w:r>
        <w:t xml:space="preserve">): we certify anti-monotonicity only on cells whose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</w:t>
      </w:r>
      <w:r>
        <w:t xml:space="preserve"> </w:t>
      </w:r>
      <w:r>
        <w:t xml:space="preserve">floors near zero, because a leaky baseline mechanically shrinks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’s certifiable magnitude.</w:t>
      </w:r>
      <w:r>
        <w:t xml:space="preserve"> </w:t>
      </w:r>
      <w:r>
        <w:t xml:space="preserve">Table </w:t>
      </w:r>
      <w:hyperlink w:anchor="tab:interference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therefore reports, per model, which cell carried the certificate and the</w:t>
      </w:r>
      <w:r>
        <w:t xml:space="preserve"> </w:t>
      </w:r>
      <w:r>
        <w:t xml:space="preserve">collapse on it. We also report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ceiling alongside every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: DeepSeek’s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</w:t>
      </w:r>
      <w:r>
        <w:t xml:space="preserve"> </w:t>
      </w:r>
      <w:r>
        <w:t xml:space="preserve">reaches only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(an honest capability difference, vs. </w:t>
      </w:r>
      <m:oMath>
        <m:r>
          <m:rPr>
            <m:sty m:val="p"/>
          </m:rPr>
          <m:t>∼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Claude and GPT), so its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0.75</m:t>
        </m:r>
      </m:oMath>
      <w:r>
        <w:t xml:space="preserve"> </w:t>
      </w:r>
      <w:r>
        <w:t xml:space="preserve">is computed from a lower starting point and is not directly</w:t>
      </w:r>
      <w:r>
        <w:t xml:space="preserve"> </w:t>
      </w:r>
      <w:r>
        <w:t xml:space="preserve">magnitude-comparable to Sonnet’s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.</w:t>
      </w:r>
    </w:p>
    <w:bookmarkEnd w:id="89"/>
    <w:bookmarkStart w:id="90" w:name="order-control."/>
    <w:p>
      <w:pPr>
        <w:pStyle w:val="Heading4"/>
      </w:pPr>
      <w:r>
        <w:t xml:space="preserve">Order control.</w:t>
      </w:r>
    </w:p>
    <w:p>
      <w:pPr>
        <w:pStyle w:val="FirstParagraph"/>
      </w:pPr>
      <w:r>
        <w:t xml:space="preserve">Reordering the superset does not restore performance.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on Haiku,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24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</m:oMath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(vs. 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), and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</m:oMath>
      <w:r>
        <w:t xml:space="preserve"> </w:t>
      </w:r>
      <m:oMath>
        <m:r>
          <m:t>44</m:t>
        </m:r>
        <m:r>
          <m:rPr>
            <m:sty m:val="p"/>
          </m:rPr>
          <m:t>%</m:t>
        </m:r>
      </m:oMath>
      <w:r>
        <w:t xml:space="preserve"> </w:t>
      </w:r>
      <w:r>
        <w:t xml:space="preserve">(vs. 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). On one cell the reversed order</w:t>
      </w:r>
      <w:r>
        <w:t xml:space="preserve"> </w:t>
      </w:r>
      <w:r>
        <w:t xml:space="preserve">is worse and on the other it is better, so order does have a directional effect; but</w:t>
      </w:r>
      <w:r>
        <w:t xml:space="preserve"> </w:t>
      </w:r>
      <w:r>
        <w:rPr>
          <w:i/>
          <w:iCs/>
        </w:rPr>
        <w:t xml:space="preserve">neither</w:t>
      </w:r>
      <w:r>
        <w:t xml:space="preserve"> </w:t>
      </w:r>
      <w:r>
        <w:t xml:space="preserve">ordering recovers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alone. The defensible reading is that reordering does not cure the harm, hence</w:t>
      </w:r>
      <w:r>
        <w:t xml:space="preserve"> </w:t>
      </w:r>
      <w:r>
        <w:t xml:space="preserve">the collapse is not a lost-in-the-middle / recency artifact, not that order is irrelevant.</w:t>
      </w:r>
    </w:p>
    <w:bookmarkEnd w:id="90"/>
    <w:bookmarkStart w:id="91" w:name="X086de5874ce71cba9e6d9633bd38de7f701e1cb"/>
    <w:p>
      <w:pPr>
        <w:pStyle w:val="Heading4"/>
      </w:pPr>
      <w:r>
        <w:t xml:space="preserve">Runtime fingerprint (a descriptive correlate).</w:t>
      </w:r>
    </w:p>
    <w:p>
      <w:pPr>
        <w:pStyle w:val="FirstParagraph"/>
      </w:pPr>
      <w:r>
        <w:t xml:space="preserve">The harmful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arm consistently emits more output tokens than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: between</w:t>
      </w:r>
      <w:r>
        <w:t xml:space="preserve"> </w:t>
      </w:r>
      <m:oMath>
        <m:r>
          <m:rPr>
            <m:sty m:val="p"/>
          </m:rPr>
          <m:t>+</m:t>
        </m:r>
        <m:r>
          <m:t>87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252</m:t>
        </m:r>
        <m:r>
          <m:rPr>
            <m:sty m:val="p"/>
          </m:rPr>
          <m:t>%</m:t>
        </m:r>
      </m:oMath>
      <w:r>
        <w:t xml:space="preserve"> </w:t>
      </w:r>
      <w:r>
        <w:t xml:space="preserve">across the harmful Haiku</w:t>
      </w:r>
      <w:r>
        <w:t xml:space="preserve"> </w:t>
      </w:r>
      <w:r>
        <w:t xml:space="preserve">cells (and, in the full-battery run,</w:t>
      </w:r>
      <w:r>
        <w:t xml:space="preserve"> </w:t>
      </w:r>
      <m:oMath>
        <m:r>
          <m:rPr>
            <m:sty m:val="p"/>
          </m:rPr>
          <m:t>+</m:t>
        </m:r>
        <m:r>
          <m:t>12</m:t>
        </m:r>
        <m:r>
          <m:rPr>
            <m:sty m:val="p"/>
          </m:rPr>
          <m:t>%</m:t>
        </m:r>
      </m:oMath>
      <w:r>
        <w:t xml:space="preserve"> </w:t>
      </w:r>
      <w:r>
        <w:t xml:space="preserve">even on the still-passing encoding cell), Sonnet</w:t>
      </w:r>
      <w:r>
        <w:t xml:space="preserve"> </w:t>
      </w:r>
      <m:oMath>
        <m:r>
          <m:rPr>
            <m:sty m:val="p"/>
          </m:rPr>
          <m:t>+</m:t>
        </m:r>
        <m:r>
          <m:t>120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131</m:t>
        </m:r>
        <m:r>
          <m:rPr>
            <m:sty m:val="p"/>
          </m:rPr>
          <m:t>%</m:t>
        </m:r>
      </m:oMath>
      <w:r>
        <w:t xml:space="preserve">, Opus</w:t>
      </w:r>
      <w:r>
        <w:t xml:space="preserve"> </w:t>
      </w:r>
      <m:oMath>
        <m:r>
          <m:rPr>
            <m:sty m:val="p"/>
          </m:rPr>
          <m:t>+</m:t>
        </m:r>
        <m:r>
          <m:t>204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204</m:t>
        </m:r>
        <m:r>
          <m:rPr>
            <m:sty m:val="p"/>
          </m:rPr>
          <m:t>%</m:t>
        </m:r>
      </m:oMath>
      <w:r>
        <w:t xml:space="preserve">, GPT-5.5</w:t>
      </w:r>
      <w:r>
        <w:t xml:space="preserve"> </w:t>
      </w:r>
      <m:oMath>
        <m:r>
          <m:rPr>
            <m:sty m:val="p"/>
          </m:rPr>
          <m:t>+</m:t>
        </m:r>
        <m:r>
          <m:t>281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274</m:t>
        </m:r>
        <m:r>
          <m:rPr>
            <m:sty m:val="p"/>
          </m:rPr>
          <m:t>%</m:t>
        </m:r>
      </m:oMath>
      <w:r>
        <w:t xml:space="preserve">, DeepSeek</w:t>
      </w:r>
      <w:r>
        <w:t xml:space="preserve"> </w:t>
      </w:r>
      <m:oMath>
        <m:r>
          <m:rPr>
            <m:sty m:val="p"/>
          </m:rPr>
          <m:t>+</m:t>
        </m:r>
        <m:r>
          <m:t>93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166</m:t>
        </m:r>
        <m:r>
          <m:rPr>
            <m:sty m:val="p"/>
          </m:rPr>
          <m:t>%</m:t>
        </m:r>
      </m:oMath>
      <w:r>
        <w:t xml:space="preserve">, Kimi</w:t>
      </w:r>
      <w:r>
        <w:t xml:space="preserve"> </w:t>
      </w:r>
      <m:oMath>
        <m:r>
          <m:rPr>
            <m:sty m:val="p"/>
          </m:rPr>
          <m:t>+</m:t>
        </m:r>
        <m:r>
          <m:t>203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249</m:t>
        </m:r>
        <m:r>
          <m:rPr>
            <m:sty m:val="p"/>
          </m:rPr>
          <m:t>%</m:t>
        </m:r>
      </m:oMath>
      <w:r>
        <w:t xml:space="preserve">. We report this as a consistent descriptive correlate, not a</w:t>
      </w:r>
      <w:r>
        <w:t xml:space="preserve"> </w:t>
      </w:r>
      <w:r>
        <w:t xml:space="preserve">mechanism: more output on the failing arm could be effect rather than cause, and the</w:t>
      </w:r>
      <w:r>
        <w:t xml:space="preserve"> </w:t>
      </w:r>
      <m:oMath>
        <m:r>
          <m:rPr>
            <m:sty m:val="p"/>
          </m:rPr>
          <m:t>+</m:t>
        </m:r>
        <m:r>
          <m:t>12</m:t>
        </m:r>
        <m:r>
          <m:rPr>
            <m:sty m:val="p"/>
          </m:rPr>
          <m:t>%</m:t>
        </m:r>
      </m:oMath>
      <w:r>
        <w:t xml:space="preserve"> </w:t>
      </w:r>
      <w:r>
        <w:t xml:space="preserve">inflation</w:t>
      </w:r>
      <w:r>
        <w:t xml:space="preserve"> </w:t>
      </w:r>
      <w:r>
        <w:t xml:space="preserve">on a cell that still passes undercuts a strict</w:t>
      </w:r>
      <w:r>
        <w:t xml:space="preserve"> </w:t>
      </w:r>
      <w:r>
        <w:t xml:space="preserve">“verbose thrashing causes the collapse”</w:t>
      </w:r>
      <w:r>
        <w:t xml:space="preserve"> </w:t>
      </w:r>
      <w:r>
        <w:t xml:space="preserve">reading.</w:t>
      </w:r>
    </w:p>
    <w:bookmarkEnd w:id="91"/>
    <w:bookmarkStart w:id="92" w:name="robust-but-not-monotone-in-capability."/>
    <w:p>
      <w:pPr>
        <w:pStyle w:val="Heading4"/>
      </w:pPr>
      <w:r>
        <w:t xml:space="preserve">Robust, but not monotone in capability.</w:t>
      </w:r>
    </w:p>
    <w:p>
      <w:pPr>
        <w:pStyle w:val="FirstParagraph"/>
      </w:pPr>
      <w:r>
        <w:t xml:space="preserve">The harm is large and robust across the Anthropic capability ladder but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ordered by</w:t>
      </w:r>
      <w:r>
        <w:t xml:space="preserve"> </w:t>
      </w:r>
      <w:r>
        <w:t xml:space="preserve">capability. On the two API cells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collapse is Haiku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24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%</m:t>
        </m:r>
      </m:oMath>
      <w:r>
        <w:t xml:space="preserve">, Sonnet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, and Opus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25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%</m:t>
        </m:r>
      </m:oMath>
      <w:r>
        <w:t xml:space="preserve">: the middle model (Sonnet) shows the starkest</w:t>
      </w:r>
      <w:r>
        <w:t xml:space="preserve"> </w:t>
      </w:r>
      <w:r>
        <w:t xml:space="preserve">collapse and the strongest model (Opus) less so. An earlier two-point reading suggested the harm</w:t>
      </w:r>
      <w:r>
        <w:t xml:space="preserve"> </w:t>
      </w:r>
      <w:r>
        <w:t xml:space="preserve">“intensifies with strength”</w:t>
      </w:r>
      <w:r>
        <w:t xml:space="preserve">; the third point falsifies that, and we explicitly do not claim a</w:t>
      </w:r>
      <w:r>
        <w:t xml:space="preserve"> </w:t>
      </w:r>
      <w:r>
        <w:t xml:space="preserve">capability trend, only robustness across the ladder.</w:t>
      </w:r>
    </w:p>
    <w:bookmarkEnd w:id="92"/>
    <w:bookmarkEnd w:id="93"/>
    <w:bookmarkStart w:id="96" w:name="sec:results-moat"/>
    <w:p>
      <w:pPr>
        <w:pStyle w:val="Heading3"/>
      </w:pPr>
      <w:r>
        <w:t xml:space="preserve">The model-relative value of private context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“private”</w:t>
      </w:r>
      <w:r>
        <w:t xml:space="preserve"> </w:t>
      </w:r>
      <w:r>
        <w:t xml:space="preserve">conventions are genuinely unguessable for some vendors and partially known to others,</w:t>
      </w:r>
      <w:r>
        <w:t xml:space="preserve"> </w:t>
      </w:r>
      <w:r>
        <w:t xml:space="preserve">and this varies continuously.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-arm baseline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forms a clean</w:t>
      </w:r>
      <w:r>
        <w:t xml:space="preserve"> </w:t>
      </w:r>
      <w:r>
        <w:t xml:space="preserve">spectrum: Haiku and Sonnet</w:t>
      </w:r>
      <w:r>
        <w:t xml:space="preserve"> </w:t>
      </w:r>
      <m:oMath>
        <m:r>
          <m:rPr>
            <m:sty m:val="p"/>
          </m:rPr>
          <m:t>∼</m:t>
        </m:r>
        <m:r>
          <m:t>0</m:t>
        </m:r>
        <m:r>
          <m:rPr>
            <m:sty m:val="p"/>
          </m:rPr>
          <m:t>%</m:t>
        </m:r>
      </m:oMath>
      <w:r>
        <w:t xml:space="preserve">, DeepSeek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, Opus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, Kimi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, GPT-5.5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</w:t>
      </w:r>
      <w:hyperlink w:anchor="tab:consolidated">
        <w:r>
          <w:rPr>
            <w:rStyle w:val="Hyperlink"/>
          </w:rPr>
          <w:t xml:space="preserve">1</w:t>
        </w:r>
      </w:hyperlink>
      <w:r>
        <w:t xml:space="preserve">; Figure </w:t>
      </w:r>
      <w:hyperlink w:anchor="fig:spectrum">
        <w:r>
          <w:rPr>
            <w:rStyle w:val="Hyperlink"/>
          </w:rPr>
          <w:t xml:space="preserve">3</w:t>
        </w:r>
      </w:hyperlink>
      <w:r>
        <w:t xml:space="preserve">). Thus the value of the private context, the model-relative quantity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§</w:t>
      </w:r>
      <w:hyperlink w:anchor="subsec:theta">
        <w:r>
          <w:rPr>
            <w:rStyle w:val="Hyperlink"/>
          </w:rPr>
          <w:t xml:space="preserve">3.3</w:t>
        </w:r>
      </w:hyperlink>
      <w:r>
        <w:t xml:space="preserve">, varies continuously across models. It tracks a vendor’s</w:t>
      </w:r>
      <w:r>
        <w:t xml:space="preserve"> </w:t>
      </w:r>
      <w:r>
        <w:t xml:space="preserve">training rather than raw capability: DeepSeek, a different vendor from Anthropic, nonetheless has a</w:t>
      </w:r>
      <w:r>
        <w:t xml:space="preserve"> </w:t>
      </w:r>
      <w:r>
        <w:t xml:space="preserve">tight prior (baselines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across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/</w:t>
      </w:r>
      <w:r>
        <w:rPr>
          <w:rStyle w:val="VerbatimChar"/>
        </w:rPr>
        <w:t xml:space="preserve">api_argorder</w:t>
      </w:r>
      <w:r>
        <w:t xml:space="preserve">/</w:t>
      </w:r>
      <w:r>
        <w:rPr>
          <w:rStyle w:val="VerbatimChar"/>
        </w:rPr>
        <w:t xml:space="preserve">enc_amount</w:t>
      </w:r>
      <w:r>
        <w:t xml:space="preserve">/trap)</w:t>
      </w:r>
      <w:r>
        <w:t xml:space="preserve"> </w:t>
      </w:r>
      <w:r>
        <w:t xml:space="preserve">like Claude, while GPT-5.5’s prior already holds much of the convention (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 </w:t>
      </w:r>
      <m:oMath>
        <m:r>
          <m:t>55</m:t>
        </m:r>
        <m:r>
          <m:rPr>
            <m:sty m:val="p"/>
          </m:rPr>
          <m:t>%</m:t>
        </m:r>
      </m:oMath>
      <w:r>
        <w:t xml:space="preserve">). Sonnet’s baselines all floor 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 so even the stronger Anthropic</w:t>
      </w:r>
      <w:r>
        <w:t xml:space="preserve"> </w:t>
      </w:r>
      <w:r>
        <w:t xml:space="preserve">model does not guess the convention; the value of private context survives the capability ladder. The</w:t>
      </w:r>
      <w:r>
        <w:t xml:space="preserve"> </w:t>
      </w:r>
      <w:r>
        <w:t xml:space="preserve">certified per-model claims rest on cells unguessable</w:t>
      </w:r>
      <w:r>
        <w:t xml:space="preserve"> </w:t>
      </w:r>
      <w:r>
        <w:rPr>
          <w:i/>
          <w:iCs/>
        </w:rPr>
        <w:t xml:space="preserve">for the model under test</w:t>
      </w:r>
      <w:r>
        <w:t xml:space="preserve"> </w:t>
      </w:r>
      <w:r>
        <w:t xml:space="preserve">(e.g. GPT-5.5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m:oMath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, trap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%</m:t>
        </m:r>
      </m:oMath>
      <w:r>
        <w:t xml:space="preserve">).</w:t>
      </w:r>
    </w:p>
    <w:bookmarkStart w:id="94" w:name="fig:spectrum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The model-relative value of private context as a spectrum: how often each model reproduces</w:t>
      </w:r>
      <w:r>
        <w:t xml:space="preserve"> </w:t>
      </w:r>
      <w:r>
        <w:t xml:space="preserve">the private convention with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context supplied (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arm,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).</w:t>
      </w:r>
      <w:r>
        <w:t xml:space="preserve"> </w:t>
      </w:r>
      <w:r>
        <w:t xml:space="preserve">The value of the same fixed source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ranges from maximal (Haiku/Sonnet, DeepSeek: unguessable) to</w:t>
      </w:r>
      <w:r>
        <w:t xml:space="preserve"> </w:t>
      </w:r>
      <w:r>
        <w:t xml:space="preserve">largely pre-priced-in (GPT-5.5: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guessed), and the ordering tracks vendor training rather than</w:t>
      </w:r>
      <w:r>
        <w:t xml:space="preserve"> </w:t>
      </w:r>
      <w:r>
        <w:t xml:space="preserve">capability, DeepSeek sits with Claude despite being a different vendor, and Opus (the strongest</w:t>
      </w:r>
      <w:r>
        <w:t xml:space="preserve"> </w:t>
      </w:r>
      <w:r>
        <w:t xml:space="preserve">Anthropic model) guesses more than Sonnet.</w:t>
      </w:r>
    </w:p>
    <w:bookmarkEnd w:id="94"/>
    <w:p>
      <w:pPr>
        <w:pStyle w:val="BodyText"/>
      </w:pPr>
      <w:r>
        <w:t xml:space="preserve">We note that this cross-vendor magnitude</w:t>
      </w:r>
      <w:r>
        <w:t xml:space="preserve"> </w:t>
      </w:r>
      <w:r>
        <w:t xml:space="preserve">comparison is the part most exposed to the agentic-vs-single-shot confound (§</w:t>
      </w:r>
      <w:hyperlink w:anchor="sec:limitations">
        <w:r>
          <w:rPr>
            <w:rStyle w:val="Hyperlink"/>
          </w:rPr>
          <w:t xml:space="preserve">8.5</w:t>
        </w:r>
      </w:hyperlink>
      <w:r>
        <w:t xml:space="preserve">):</w:t>
      </w:r>
      <w:r>
        <w:t xml:space="preserve"> </w:t>
      </w:r>
      <w:r>
        <w:t xml:space="preserve">vendor and harness are not separated in the present runs.</w:t>
      </w:r>
    </w:p>
    <w:bookmarkStart w:id="95" w:name="auditable-per-cell-record."/>
    <w:p>
      <w:pPr>
        <w:pStyle w:val="Heading4"/>
      </w:pPr>
      <w:r>
        <w:t xml:space="preserve">Auditable per-cell record.</w:t>
      </w:r>
    </w:p>
    <w:p>
      <w:pPr>
        <w:pStyle w:val="FirstParagraph"/>
      </w:pPr>
      <w:r>
        <w:t xml:space="preserve">The full per-arm PASS record for every carrying cell is Table </w:t>
      </w:r>
      <w:hyperlink w:anchor="tab:percell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in Appendix </w:t>
      </w:r>
      <w:hyperlink w:anchor="app:record">
        <w:r>
          <w:rPr>
            <w:rStyle w:val="Hyperlink"/>
          </w:rPr>
          <w:t xml:space="preserve">11</w:t>
        </w:r>
      </w:hyperlink>
      <w:r>
        <w:t xml:space="preserve">, so each certificate can be reconstructed from the reported counts.</w:t>
      </w:r>
    </w:p>
    <w:bookmarkEnd w:id="95"/>
    <w:bookmarkEnd w:id="96"/>
    <w:bookmarkEnd w:id="97"/>
    <w:bookmarkStart w:id="98" w:name="sec:results-generality"/>
    <w:p>
      <w:pPr>
        <w:pStyle w:val="Heading2"/>
      </w:pPr>
      <w:r>
        <w:t xml:space="preserve">Generality and controls (summary)</w:t>
      </w:r>
    </w:p>
    <w:p>
      <w:pPr>
        <w:pStyle w:val="FirstParagraph"/>
      </w:pPr>
      <w:r>
        <w:t xml:space="preserve">Five follow-up experiments address four threat axes (source-pair generality, the</w:t>
      </w:r>
      <w:r>
        <w:t xml:space="preserve"> </w:t>
      </w:r>
      <w:r>
        <w:t xml:space="preserve">agentic-harness confound, the context-length confound, and prompt-curability of the collapse);</w:t>
      </w:r>
      <w:r>
        <w:t xml:space="preserve"> </w:t>
      </w:r>
      <w:r>
        <w:t xml:space="preserve">full protocols and numbers are</w:t>
      </w:r>
      <w:r>
        <w:t xml:space="preserve"> </w:t>
      </w:r>
      <w:r>
        <w:t xml:space="preserve">in Appendix </w:t>
      </w:r>
      <w:hyperlink w:anchor="app:record">
        <w:r>
          <w:rPr>
            <w:rStyle w:val="Hyperlink"/>
          </w:rPr>
          <w:t xml:space="preserve">11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(i) A second incomparable pair, different domain</w:t>
      </w:r>
      <w:r>
        <w:t xml:space="preserve">: a private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-module contract versus a key-normalization invariant is again certified incomparable</w:t>
      </w:r>
      <w:r>
        <w:t xml:space="preserve"> </w:t>
      </w:r>
      <w:r>
        <w:t xml:space="preserve">on Haiku 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0.774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0.496</m:t>
        </m:r>
      </m:oMath>
      <w:r>
        <w:t xml:space="preserve">), with one-directional dominance fully certified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;</w:t>
      </w:r>
      <w:r>
        <w:t xml:space="preserve"> </w:t>
      </w:r>
      <w:r>
        <w:t xml:space="preserve">its interference is certified in sign 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upper bound</w:t>
      </w:r>
      <w:r>
        <w:t xml:space="preserve"> </w:t>
      </w:r>
      <m:oMath>
        <m:r>
          <m:rPr>
            <m:sty m:val="p"/>
          </m:rPr>
          <m:t>−</m:t>
        </m:r>
        <m:r>
          <m:t>0.21</m:t>
        </m:r>
      </m:oMath>
      <w:r>
        <w:t xml:space="preserve">) but not at the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margin, because the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ceiling keeps the four-term bound wide.</w:t>
      </w:r>
      <w:r>
        <w:t xml:space="preserve"> </w:t>
      </w:r>
      <w:r>
        <w:rPr>
          <w:b/>
          <w:bCs/>
        </w:rPr>
        <w:t xml:space="preserve">(ii) Single-shot</w:t>
      </w:r>
      <w:r>
        <w:rPr>
          <w:b/>
          <w:bCs/>
        </w:rPr>
        <w:t xml:space="preserve"> </w:t>
      </w:r>
      <w:r>
        <w:rPr>
          <w:b/>
          <w:bCs/>
        </w:rPr>
        <w:t xml:space="preserve">replication</w:t>
      </w:r>
      <w:r>
        <w:t xml:space="preserve">: rerunning Haiku in the non-agentic regime preserves certified incomparability</w:t>
      </w:r>
      <w:r>
        <w:t xml:space="preserve"> </w:t>
      </w:r>
      <w:r>
        <w:t xml:space="preserve">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0.762</m:t>
        </m:r>
      </m:oMath>
      <w:r>
        <w:t xml:space="preserve"> </w:t>
      </w:r>
      <w:r>
        <w:t xml:space="preserve">both directions), the trap mis-rank (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), dominance, and one</w:t>
      </w:r>
      <w:r>
        <w:t xml:space="preserve"> </w:t>
      </w:r>
      <w:r>
        <w:t xml:space="preserve">certified interference cell 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0.93</m:t>
        </m:r>
      </m:oMath>
      <w:r>
        <w:t xml:space="preserve">, upper</w:t>
      </w:r>
      <w:r>
        <w:t xml:space="preserve"> </w:t>
      </w:r>
      <m:oMath>
        <m:r>
          <m:rPr>
            <m:sty m:val="p"/>
          </m:rPr>
          <m:t>−</m:t>
        </m:r>
        <m:r>
          <m:t>0.56</m:t>
        </m:r>
      </m:oMath>
      <w:r>
        <w:t xml:space="preserve">), so the order-theoretic findings are</w:t>
      </w:r>
      <w:r>
        <w:t xml:space="preserve"> </w:t>
      </w:r>
      <w:r>
        <w:t xml:space="preserve">not agentic-harness artifacts.</w:t>
      </w:r>
      <w:r>
        <w:t xml:space="preserve"> </w:t>
      </w:r>
      <w:r>
        <w:rPr>
          <w:b/>
          <w:bCs/>
        </w:rPr>
        <w:t xml:space="preserve">(iii) Length-matched padding</w:t>
      </w:r>
      <w:r>
        <w:t xml:space="preserve">: filler character-matched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 ceiling (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; interference</w:t>
      </w:r>
      <w:r>
        <w:t xml:space="preserve"> </w:t>
      </w:r>
      <w:r>
        <w:t xml:space="preserve">certified, upper</w:t>
      </w:r>
      <w:r>
        <w:t xml:space="preserve"> </w:t>
      </w:r>
      <m:oMath>
        <m:r>
          <m:rPr>
            <m:sty m:val="p"/>
          </m:rPr>
          <m:t>−</m:t>
        </m:r>
        <m:r>
          <m:t>0.41</m:t>
        </m:r>
      </m:oMath>
      <w:r>
        <w:t xml:space="preserve">), attributing the collapse to the added signal, not token count.</w:t>
      </w:r>
      <w:r>
        <w:t xml:space="preserve"> </w:t>
      </w:r>
      <w:r>
        <w:rPr>
          <w:b/>
          <w:bCs/>
        </w:rPr>
        <w:t xml:space="preserve">(iv) Routing instruction</w:t>
      </w:r>
      <w:r>
        <w:t xml:space="preserve">: a one-line convention-routing note recovers most of the collapse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80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22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68</m:t>
        </m:r>
        <m:r>
          <m:rPr>
            <m:sty m:val="p"/>
          </m:rPr>
          <m:t>%</m:t>
        </m:r>
      </m:oMath>
      <w:r>
        <w:t xml:space="preserve">; both separated from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) while remaining directionally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 the carrying cell; writing that note requires knowing which source is decisive for which task family,</w:t>
      </w:r>
      <w:r>
        <w:t xml:space="preserve"> </w:t>
      </w:r>
      <w:r>
        <w:t xml:space="preserve">which is exactly the coordinate structure the partial order formalizes, so the cure presupposes</w:t>
      </w:r>
      <w:r>
        <w:t xml:space="preserve"> </w:t>
      </w:r>
      <w:r>
        <w:t xml:space="preserve">the diagnosis.</w:t>
      </w:r>
      <w:r>
        <w:t xml:space="preserve"> </w:t>
      </w:r>
      <w:r>
        <w:rPr>
          <w:b/>
          <w:bCs/>
        </w:rPr>
        <w:t xml:space="preserve">(v) Structured context</w:t>
      </w:r>
      <w:r>
        <w:t xml:space="preserve">: wrapping the same two conventions in labeled XML</w:t>
      </w:r>
      <w:r>
        <w:t xml:space="preserve"> </w:t>
      </w:r>
      <w:r>
        <w:t xml:space="preserve">sections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any routing statement mitigates only weakly (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42</m:t>
        </m:r>
        <m:r>
          <m:rPr>
            <m:sty m:val="p"/>
          </m:rPr>
          <m:t>%</m:t>
        </m:r>
      </m:oMath>
      <w:r>
        <w:t xml:space="preserve"> </w:t>
      </w:r>
      <w:r>
        <w:t xml:space="preserve">on the carrying</w:t>
      </w:r>
      <w:r>
        <w:t xml:space="preserve"> </w:t>
      </w:r>
      <w:r>
        <w:t xml:space="preserve">cell, versus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with the routing note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alone; certified against the raw</w:t>
      </w:r>
      <w:r>
        <w:t xml:space="preserve"> </w:t>
      </w:r>
      <w:r>
        <w:t xml:space="preserve">superset, still far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), so segmentation alone does not cure the interference, the</w:t>
      </w:r>
      <w:r>
        <w:t xml:space="preserve"> </w:t>
      </w:r>
      <w:r>
        <w:t xml:space="preserve">operative variable is routing knowledge. The mitigation hierarchy, raw superset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structure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routing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dropping the dominated signal, is itself a finding: it locates the failure in</w:t>
      </w:r>
      <w:r>
        <w:t xml:space="preserve"> </w:t>
      </w:r>
      <w:r>
        <w:t xml:space="preserve">convention-to-task routing rather than in convention segmentation.</w:t>
      </w:r>
    </w:p>
    <w:bookmarkEnd w:id="98"/>
    <w:bookmarkEnd w:id="99"/>
    <w:bookmarkStart w:id="115" w:name="sec: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Our results recast a piece of practitioner folklore,</w:t>
      </w:r>
      <w:r>
        <w:t xml:space="preserve"> </w:t>
      </w:r>
      <w:r>
        <w:t xml:space="preserve">“relevance does not transfer across</w:t>
      </w:r>
      <w:r>
        <w:t xml:space="preserve"> </w:t>
      </w:r>
      <w:r>
        <w:t xml:space="preserve">tasks”</w:t>
      </w:r>
      <w:r>
        <w:t xml:space="preserve">, as a structural fact about context sources. When two sources are Blackwell-incomparable, the</w:t>
      </w:r>
      <w:r>
        <w:t xml:space="preserve"> </w:t>
      </w:r>
      <w:r>
        <w:t xml:space="preserve">order over them is genuinely partial, and any scalar score, by imposing a total order, must mis-rank</w:t>
      </w:r>
      <w:r>
        <w:t xml:space="preserve"> </w:t>
      </w:r>
      <w:r>
        <w:t xml:space="preserve">them on some task. The empirical program does not merely illustrate this; it instantiates a single</w:t>
      </w:r>
      <w:r>
        <w:t xml:space="preserve"> </w:t>
      </w:r>
      <w:r>
        <w:t xml:space="preserve">hand-built incomparable pair (a private API-call contract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 a private wire-encoding</w:t>
      </w:r>
      <w:r>
        <w:t xml:space="preserve"> </w:t>
      </w:r>
      <w:r>
        <w:t xml:space="preserve">invariant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same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module) and shows that the resulting double crossover, the</w:t>
      </w:r>
      <w:r>
        <w:t xml:space="preserve"> </w:t>
      </w:r>
      <w:r>
        <w:t xml:space="preserve">relevance mis-rank, and an anti-monotonicity collapse all reproduce across six models and four</w:t>
      </w:r>
      <w:r>
        <w:t xml:space="preserve"> </w:t>
      </w:r>
      <w:r>
        <w:t xml:space="preserve">vendors. We discuss what the evidence does and does not license, and where the</w:t>
      </w:r>
      <w:r>
        <w:t xml:space="preserve"> </w:t>
      </w:r>
      <w:r>
        <w:t xml:space="preserve">formalization is a model rather than a proof of the realized object.</w:t>
      </w:r>
    </w:p>
    <w:bookmarkStart w:id="102" w:name="sec:disc-bridge"/>
    <w:p>
      <w:pPr>
        <w:pStyle w:val="Heading2"/>
      </w:pPr>
      <w:r>
        <w:t xml:space="preserve">Scope of the claims</w:t>
      </w:r>
    </w:p>
    <w:p>
      <w:pPr>
        <w:pStyle w:val="FirstParagraph"/>
      </w:pPr>
      <w:bookmarkStart w:id="100" w:name="sec:disc-deficiency"/>
      <w:bookmarkEnd w:id="100"/>
      <w:bookmarkStart w:id="101" w:name="sec:disc-certificate"/>
      <w:bookmarkEnd w:id="101"/>
    </w:p>
    <w:p>
      <w:pPr>
        <w:pStyle w:val="BodyText"/>
      </w:pPr>
      <w:r>
        <w:t xml:space="preserve">Three scope statements govern everything above.</w:t>
      </w:r>
      <w:r>
        <w:t xml:space="preserve"> </w:t>
      </w:r>
      <w:r>
        <w:rPr>
          <w:b/>
          <w:bCs/>
        </w:rPr>
        <w:t xml:space="preserve">(i) Two registers.</w:t>
      </w:r>
      <w:r>
        <w:t xml:space="preserve"> </w:t>
      </w:r>
      <w:r>
        <w:t xml:space="preserve">The theorems concern</w:t>
      </w:r>
      <w:r>
        <w:t xml:space="preserve"> </w:t>
      </w:r>
      <w:r>
        <w:t xml:space="preserve">the idealized Bayes-optimal user of a source; every measured quantity is PASS at one fixed,</w:t>
      </w:r>
      <w:r>
        <w:t xml:space="preserve"> </w:t>
      </w:r>
      <w:r>
        <w:t xml:space="preserve">sub-optimal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Lemma </w:t>
      </w:r>
      <w:hyperlink w:anchor="lem:bridg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supplies the direction the program needs,</w:t>
      </w:r>
      <w:r>
        <w:t xml:space="preserve"> </w:t>
      </w:r>
      <w:r>
        <w:t xml:space="preserve">certified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-incomparability on separated decisive coordinates with capped</w:t>
      </w:r>
      <w:r>
        <w:t xml:space="preserve"> </w:t>
      </w:r>
      <w:r>
        <w:t xml:space="preserve">deprived-side value implies Blackwell incomparability, and the converse requires the</w:t>
      </w:r>
      <w:r>
        <w:t xml:space="preserve"> </w:t>
      </w:r>
      <w:r>
        <w:t xml:space="preserve">value-attainment hypothesis (Assumption </w:t>
      </w:r>
      <w:hyperlink w:anchor="ass:attain">
        <w:r>
          <w:rPr>
            <w:rStyle w:val="Hyperlink"/>
          </w:rPr>
          <w:t xml:space="preserve">1</w:t>
        </w:r>
      </w:hyperlink>
      <w:r>
        <w:t xml:space="preserve">); both hypotheses are enforced by the</w:t>
      </w:r>
      <w:r>
        <w:t xml:space="preserve"> </w:t>
      </w:r>
      <w:r>
        <w:t xml:space="preserve">task design and checked against the measured floors; we therefore read the contribution as a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-restricted,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-restricted incomparability statement that</w:t>
      </w:r>
      <w:r>
        <w:t xml:space="preserve"> </w:t>
      </w:r>
      <w:r>
        <w:rPr>
          <w:i/>
          <w:iCs/>
        </w:rPr>
        <w:t xml:space="preserve">earns</w:t>
      </w:r>
      <w:r>
        <w:t xml:space="preserve"> </w:t>
      </w:r>
      <w:r>
        <w:t xml:space="preserve">the</w:t>
      </w:r>
      <w:r>
        <w:t xml:space="preserve"> </w:t>
      </w:r>
      <w:r>
        <w:t xml:space="preserve">structural conclusion via the bridge rather than assuming it.</w:t>
      </w:r>
      <w:r>
        <w:t xml:space="preserve"> </w:t>
      </w:r>
      <w:r>
        <w:rPr>
          <w:b/>
          <w:bCs/>
        </w:rPr>
        <w:t xml:space="preserve">(ii) The estimator’s name.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performs no garbling minimization and ranges over a fixed finite battery; it is a</w:t>
      </w:r>
      <w:r>
        <w:t xml:space="preserve"> </w:t>
      </w:r>
      <w:r>
        <w:t xml:space="preserve">one-sided, decision-restricted</w:t>
      </w:r>
      <w:r>
        <w:t xml:space="preserve"> </w:t>
      </w:r>
      <w:r>
        <w:rPr>
          <w:i/>
          <w:iCs/>
        </w:rPr>
        <w:t xml:space="preserve">value-deficiency surrogate</w:t>
      </w:r>
      <w:r>
        <w:t xml:space="preserve">, not a Le Cam deficiency, and no</w:t>
      </w:r>
      <w:r>
        <w:t xml:space="preserve"> </w:t>
      </w:r>
      <w:r>
        <w:t xml:space="preserve">two-sided inequality relates the two for a fixed sub-optimal rule (Remark </w:t>
      </w:r>
      <w:hyperlink w:anchor="rem:notlecam">
        <w:r>
          <w:rPr>
            <w:rStyle w:val="Hyperlink"/>
          </w:rPr>
          <w:t xml:space="preserve">4</w:t>
        </w:r>
      </w:hyperlink>
      <w:r>
        <w:t xml:space="preserve">).</w:t>
      </w:r>
      <w:r>
        <w:t xml:space="preserve"> </w:t>
      </w:r>
      <w:r>
        <w:t xml:space="preserve">What is rigorous is the certificate, which we regard as the most robust contribution and which</w:t>
      </w:r>
      <w:r>
        <w:t xml:space="preserve"> </w:t>
      </w:r>
      <w:r>
        <w:t xml:space="preserve">survives independently of the deficiency analogy.</w:t>
      </w:r>
      <w:r>
        <w:t xml:space="preserve"> </w:t>
      </w:r>
      <w:r>
        <w:rPr>
          <w:b/>
          <w:bCs/>
        </w:rPr>
        <w:t xml:space="preserve">(iii) What the certificate covers.</w:t>
      </w:r>
      <w:r>
        <w:t xml:space="preserve"> </w:t>
      </w:r>
      <w:r>
        <w:t xml:space="preserve">Its</w:t>
      </w:r>
      <w:r>
        <w:t xml:space="preserve"> </w:t>
      </w:r>
      <w:r>
        <w:t xml:space="preserve">correctness rests on paying the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multiplicity via exact intervals and a union bound; its</w:t>
      </w:r>
      <w:r>
        <w:t xml:space="preserve"> </w:t>
      </w:r>
      <w:r>
        <w:t xml:space="preserve">effective support is small (one API cell and one encoding cell carry pair-1 incomparability), each</w:t>
      </w:r>
      <w:r>
        <w:t xml:space="preserve"> </w:t>
      </w:r>
      <w:r>
        <w:t xml:space="preserve">certified claim is controlled</w:t>
      </w:r>
      <w:r>
        <w:t xml:space="preserve"> </w:t>
      </w:r>
      <w:r>
        <w:rPr>
          <w:i/>
          <w:iCs/>
        </w:rPr>
        <w:t xml:space="preserve">marginally</w:t>
      </w:r>
      <w:r>
        <w:t xml:space="preserve"> </w:t>
      </w:r>
      <w:r>
        <w:t xml:space="preserve">at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rather than jointly across claims</w:t>
      </w:r>
      <w:r>
        <w:t xml:space="preserve"> </w:t>
      </w:r>
      <w:r>
        <w:t xml:space="preserve">(§</w:t>
      </w:r>
      <w:hyperlink w:anchor="subsec:fwer">
        <w:r>
          <w:rPr>
            <w:rStyle w:val="Hyperlink"/>
          </w:rPr>
          <w:t xml:space="preserve">6.5</w:t>
        </w:r>
      </w:hyperlink>
      <w:r>
        <w:t xml:space="preserve">), and we describe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as a fixed adversarial battery, not a task</w:t>
      </w:r>
      <w:r>
        <w:t xml:space="preserve"> </w:t>
      </w:r>
      <w:r>
        <w:t xml:space="preserve">distribution.</w:t>
      </w:r>
    </w:p>
    <w:bookmarkEnd w:id="102"/>
    <w:bookmarkStart w:id="104" w:name="sec:disc-antimono"/>
    <w:p>
      <w:pPr>
        <w:pStyle w:val="Heading2"/>
      </w:pPr>
      <w:r>
        <w:t xml:space="preserve">Anti-monotonicity is real, certified, but not capability-ordered</w:t>
      </w:r>
    </w:p>
    <w:p>
      <w:pPr>
        <w:pStyle w:val="FirstParagraph"/>
      </w:pPr>
      <w:r>
        <w:t xml:space="preserve">The interference object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nor/>
            <m:sty m:val="p"/>
          </m:rPr>
          <m:t>none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measures whether appending the (irrelevant-to-this-task)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to a sufficient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harms</w:t>
      </w:r>
      <w:r>
        <w:t xml:space="preserve"> </w:t>
      </w:r>
      <w:r>
        <w:t xml:space="preserve">performance. We certify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0.30</m:t>
        </m:r>
      </m:oMath>
      <w:r>
        <w:t xml:space="preserve"> </w:t>
      </w:r>
      <w:r>
        <w:t xml:space="preserve">on at least one cell for five of six models</w:t>
      </w:r>
      <w:r>
        <w:t xml:space="preserve"> </w:t>
      </w:r>
      <w:r>
        <w:t xml:space="preserve">(Table </w:t>
      </w:r>
      <w:hyperlink w:anchor="tab:interference">
        <w:r>
          <w:rPr>
            <w:rStyle w:val="Hyperlink"/>
          </w:rPr>
          <w:t xml:space="preserve">4</w:t>
        </w:r>
      </w:hyperlink>
      <w:r>
        <w:t xml:space="preserve">), with collapses as stark 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1.00</m:t>
        </m:r>
      </m:oMath>
      <w:r>
        <w:t xml:space="preserve">, upper</w:t>
      </w:r>
      <w:r>
        <w:t xml:space="preserve"> </w:t>
      </w:r>
      <w:r>
        <w:t xml:space="preserve">bound</w:t>
      </w:r>
      <w:r>
        <w:t xml:space="preserve"> </w:t>
      </w:r>
      <m:oMath>
        <m:r>
          <m:rPr>
            <m:sty m:val="p"/>
          </m:rPr>
          <m:t>−</m:t>
        </m:r>
        <m:r>
          <m:t>0.69</m:t>
        </m:r>
      </m:oMath>
      <w:r>
        <w:t xml:space="preserve">) on Sonnet and Kimi. This is a certified empirical falsification of</w:t>
      </w:r>
      <w:r>
        <w:t xml:space="preserve"> </w:t>
      </w:r>
      <w:r>
        <w:t xml:space="preserve">superset-dominance for these fixed rules (Theorem </w:t>
      </w:r>
      <w:hyperlink w:anchor="thm:antimono">
        <w:r>
          <w:rPr>
            <w:rStyle w:val="Hyperlink"/>
          </w:rPr>
          <w:t xml:space="preserve">3</w:t>
        </w:r>
      </w:hyperlink>
      <w:r>
        <w:t xml:space="preserve">): a literal superset of a</w:t>
      </w:r>
      <w:r>
        <w:t xml:space="preserve"> </w:t>
      </w:r>
      <w:r>
        <w:t xml:space="preserve">sufficient signal can sharply reduce PASS, which no monotone-submodular scalar context-value score can</w:t>
      </w:r>
      <w:r>
        <w:t xml:space="preserve"> </w:t>
      </w:r>
      <w:r>
        <w:t xml:space="preserve">represent.</w:t>
      </w:r>
    </w:p>
    <w:p>
      <w:pPr>
        <w:pStyle w:val="BodyText"/>
      </w:pPr>
      <w:r>
        <w:t xml:space="preserve">Two corrections follow from the data.</w:t>
      </w:r>
      <w:r>
        <w:t xml:space="preserve"> </w:t>
      </w:r>
      <w:r>
        <w:rPr>
          <w:b/>
          <w:bCs/>
        </w:rPr>
        <w:t xml:space="preserve">(i) The harm is not monotone in</w:t>
      </w:r>
      <w:r>
        <w:rPr>
          <w:b/>
          <w:bCs/>
        </w:rPr>
        <w:t xml:space="preserve"> </w:t>
      </w:r>
      <w:r>
        <w:rPr>
          <w:b/>
          <w:bCs/>
        </w:rPr>
        <w:t xml:space="preserve">capability.</w:t>
      </w:r>
      <w:r>
        <w:t xml:space="preserve"> </w:t>
      </w:r>
      <w:r>
        <w:t xml:space="preserve">An early two-point read (Haiku then Sonnet) suggested the collapse</w:t>
      </w:r>
      <w:r>
        <w:t xml:space="preserve"> </w:t>
      </w:r>
      <w:r>
        <w:t xml:space="preserve">“intensifies with</w:t>
      </w:r>
      <w:r>
        <w:t xml:space="preserve"> </w:t>
      </w:r>
      <w:r>
        <w:t xml:space="preserve">model strength”</w:t>
      </w:r>
      <w:r>
        <w:t xml:space="preserve">; adding the third Anthropic model (Opus) falsified this.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the collapse is</w:t>
      </w:r>
      <w:r>
        <w:t xml:space="preserve"> </w:t>
      </w:r>
      <m:oMath>
        <m:r>
          <m:t>98</m:t>
        </m:r>
        <m:r>
          <m:rPr>
            <m:sty m:val="p"/>
          </m:rPr>
          <m:t>→</m:t>
        </m:r>
        <m:r>
          <m:t>24</m:t>
        </m:r>
        <m:r>
          <m:rPr>
            <m:sty m:val="p"/>
          </m:rPr>
          <m:t>%</m:t>
        </m:r>
      </m:oMath>
      <w:r>
        <w:t xml:space="preserve"> </w:t>
      </w:r>
      <w:r>
        <w:t xml:space="preserve">(Haiku),</w:t>
      </w:r>
      <w:r>
        <w:t xml:space="preserve"> </w:t>
      </w:r>
      <m:oMath>
        <m:r>
          <m:t>100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(Sonnet),</w:t>
      </w:r>
      <w:r>
        <w:t xml:space="preserve"> </w:t>
      </w:r>
      <m:oMath>
        <m:r>
          <m:t>100</m:t>
        </m:r>
        <m:r>
          <m:rPr>
            <m:sty m:val="p"/>
          </m:rPr>
          <m:t>→</m:t>
        </m:r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(Opus), and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100</m:t>
        </m:r>
        <m:r>
          <m:rPr>
            <m:sty m:val="p"/>
          </m:rPr>
          <m:t>→</m:t>
        </m:r>
        <m:r>
          <m:t>1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100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100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respectively, the middle model (Sonnet)</w:t>
      </w:r>
      <w:r>
        <w:t xml:space="preserve"> </w:t>
      </w:r>
      <w:r>
        <w:t xml:space="preserve">is the starkest and the strongest (Opus) is less so. The defensible claim is robustness across the</w:t>
      </w:r>
      <w:r>
        <w:t xml:space="preserve"> </w:t>
      </w:r>
      <w:r>
        <w:t xml:space="preserve">capability ladder,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capability trend.</w:t>
      </w:r>
      <w:r>
        <w:t xml:space="preserve"> </w:t>
      </w:r>
      <w:r>
        <w:rPr>
          <w:b/>
          <w:bCs/>
        </w:rPr>
        <w:t xml:space="preserve">(ii) The interference certificate is structurally cell-selected.</w:t>
      </w:r>
      <w:r>
        <w:t xml:space="preserve"> </w:t>
      </w:r>
      <w:r>
        <w:t xml:space="preserve">Its upper bound includes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none</m:t>
            </m:r>
          </m:sub>
        </m:sSub>
        <m:r>
          <m:rPr>
            <m:sty m:val="p"/>
          </m:rPr>
          <m:t>)</m:t>
        </m:r>
      </m:oMath>
      <w:r>
        <w:t xml:space="preserve">, so it can only certify harm on cells whose none-baseline</w:t>
      </w:r>
      <w:r>
        <w:t xml:space="preserve"> </w:t>
      </w:r>
      <w:r>
        <w:t xml:space="preserve">floors near zero. This is exactly the set of cells that are unguessable for the model under test, which</w:t>
      </w:r>
      <w:r>
        <w:t xml:space="preserve"> </w:t>
      </w:r>
      <w:r>
        <w:t xml:space="preserve">couples the certifiable-harm set to the model-relative value of private context (§</w:t>
      </w:r>
      <w:hyperlink w:anchor="sec:disc-moat">
        <w:r>
          <w:rPr>
            <w:rStyle w:val="Hyperlink"/>
          </w:rPr>
          <w:t xml:space="preserve">8.3</w:t>
        </w:r>
      </w:hyperlink>
      <w:r>
        <w:t xml:space="preserve">).</w:t>
      </w:r>
      <w:r>
        <w:t xml:space="preserve"> </w:t>
      </w:r>
      <w:r>
        <w:t xml:space="preserve">We treat this as a protocol (Remark </w:t>
      </w:r>
      <w:hyperlink w:anchor="rem:leaky">
        <w:r>
          <w:rPr>
            <w:rStyle w:val="Hyperlink"/>
          </w:rPr>
          <w:t xml:space="preserve">5</w:t>
        </w:r>
      </w:hyperlink>
      <w:r>
        <w:t xml:space="preserve">): we certify anti-monotonicity only on</w:t>
      </w:r>
      <w:r>
        <w:t xml:space="preserve"> </w:t>
      </w:r>
      <w:r>
        <w:t xml:space="preserve">floor-baseline cells, because a leaky baseline</w:t>
      </w:r>
      <w:r>
        <w:t xml:space="preserve"> </w:t>
      </w:r>
      <w:r>
        <w:t xml:space="preserve">mechanically shrinks the certifiable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.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the harm is certified for</w:t>
      </w:r>
      <w:r>
        <w:t xml:space="preserve"> </w:t>
      </w:r>
      <w:r>
        <w:t xml:space="preserve">Haiku (hardened baseline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) and Sonnet (</w:t>
      </w:r>
      <m:oMath>
        <m:r>
          <m:t>0</m:t>
        </m:r>
        <m:r>
          <m:rPr>
            <m:sty m:val="p"/>
          </m:rPr>
          <m:t>%</m:t>
        </m:r>
      </m:oMath>
      <w:r>
        <w:t xml:space="preserve">) but not for GPT-5.5 (baseline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), Kimi (</w:t>
      </w:r>
      <m:oMath>
        <m:r>
          <m:t>45</m:t>
        </m:r>
        <m:r>
          <m:rPr>
            <m:sty m:val="p"/>
          </m:rPr>
          <m:t>%</m:t>
        </m:r>
      </m:oMath>
      <w:r>
        <w:t xml:space="preserve">), or Opus (</w:t>
      </w:r>
      <m:oMath>
        <m:r>
          <m:t>15</m:t>
        </m:r>
        <m:r>
          <m:rPr>
            <m:sty m:val="p"/>
          </m:rPr>
          <m:t>%</m:t>
        </m:r>
      </m:oMath>
      <w:r>
        <w:t xml:space="preserve">).</w:t>
      </w:r>
    </w:p>
    <w:bookmarkStart w:id="103" w:name="will-scale-restore-blackwell-coherence"/>
    <w:p>
      <w:pPr>
        <w:pStyle w:val="Heading4"/>
      </w:pPr>
      <w:r>
        <w:t xml:space="preserve">Will scale restore Blackwell coherence?</w:t>
      </w:r>
    </w:p>
    <w:p>
      <w:pPr>
        <w:pStyle w:val="FirstParagraph"/>
      </w:pPr>
      <w:r>
        <w:t xml:space="preserve">The capability non-monotonicity raises a question this framework makes precisely testable: is</w:t>
      </w:r>
      <w:r>
        <w:t xml:space="preserve"> </w:t>
      </w:r>
      <w:r>
        <w:t xml:space="preserve">Blackwell coherence of the realized rule an emergent property of scale? Three points on one</w:t>
      </w:r>
      <w:r>
        <w:t xml:space="preserve"> </w:t>
      </w:r>
      <w:r>
        <w:t xml:space="preserve">vendor’s ladder cannot estimate that curve, and we decline to extrapolate from them; what the</w:t>
      </w:r>
      <w:r>
        <w:t xml:space="preserve"> </w:t>
      </w:r>
      <w:r>
        <w:t xml:space="preserve">framework contributes is the</w:t>
      </w:r>
      <w:r>
        <w:t xml:space="preserve"> </w:t>
      </w:r>
      <w:r>
        <w:rPr>
          <w:i/>
          <w:iCs/>
        </w:rPr>
        <w:t xml:space="preserve">instrument</w:t>
      </w:r>
      <w:r>
        <w:t xml:space="preserve">: coherence is now a certifiable property of any</w:t>
      </w:r>
      <w:r>
        <w:t xml:space="preserve"> </w:t>
      </w:r>
      <w:r>
        <w:t xml:space="preserve">fixed rule, so</w:t>
      </w:r>
      <w:r>
        <w:t xml:space="preserve"> </w:t>
      </w:r>
      <w:r>
        <w:t xml:space="preserve">“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versus scale”</w:t>
      </w:r>
      <w:r>
        <w:t xml:space="preserve"> </w:t>
      </w:r>
      <w:r>
        <w:t xml:space="preserve">is a measurable trajectory across model generations</w:t>
      </w:r>
      <w:r>
        <w:t xml:space="preserve"> </w:t>
      </w:r>
      <w:r>
        <w:t xml:space="preserve">rather than a speculation, and the present data offer no comfort that the frontier is already</w:t>
      </w:r>
      <w:r>
        <w:t xml:space="preserve"> </w:t>
      </w:r>
      <w:r>
        <w:t xml:space="preserve">there (GPT-5.5 certifies a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collapse; Opus reproduces the harm at strong point</w:t>
      </w:r>
      <w:r>
        <w:t xml:space="preserve"> </w:t>
      </w:r>
      <w:r>
        <w:t xml:space="preserve">estimates). Two things would remain true under any scaling outcome. First, the theory treats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as fixed</w:t>
      </w:r>
      <w:r>
        <w:t xml:space="preserve"> </w:t>
      </w:r>
      <w:r>
        <w:rPr>
          <w:i/>
          <w:iCs/>
        </w:rPr>
        <w:t xml:space="preserve">per measurement</w:t>
      </w:r>
      <w:r>
        <w:t xml:space="preserve">, not as a claim that models are static: every new</w:t>
      </w:r>
      <w:r>
        <w:t xml:space="preserve"> </w:t>
      </w:r>
      <w:r>
        <w:t xml:space="preserve">model or configuration is a new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(§</w:t>
      </w:r>
      <w:hyperlink w:anchor="subsec:theta">
        <w:r>
          <w:rPr>
            <w:rStyle w:val="Hyperlink"/>
          </w:rPr>
          <w:t xml:space="preserve">3.3</w:t>
        </w:r>
      </w:hyperlink>
      <w:r>
        <w:t xml:space="preserve">), and every certified quantity is</w:t>
      </w:r>
      <w:r>
        <w:t xml:space="preserve"> </w:t>
      </w:r>
      <w:r>
        <w:t xml:space="preserve">indexed by it, so model evolution is inside the framework, not outside it. Second, and</w:t>
      </w:r>
      <w:r>
        <w:t xml:space="preserve"> </w:t>
      </w:r>
      <w:r>
        <w:t xml:space="preserve">decisively: anti-monotonicity is a coherence failure of the</w:t>
      </w:r>
      <w:r>
        <w:t xml:space="preserve"> </w:t>
      </w:r>
      <w:r>
        <w:rPr>
          <w:i/>
          <w:iCs/>
        </w:rPr>
        <w:t xml:space="preserve">rule</w:t>
      </w:r>
      <w:r>
        <w:t xml:space="preserve"> </w:t>
      </w:r>
      <w:r>
        <w:t xml:space="preserve">and could in principle</w:t>
      </w:r>
      <w:r>
        <w:t xml:space="preserve"> </w:t>
      </w:r>
      <w:r>
        <w:t xml:space="preserve">vanish with scale, but incomparability is a structural property of the</w:t>
      </w:r>
      <w:r>
        <w:t xml:space="preserve"> </w:t>
      </w:r>
      <w:r>
        <w:rPr>
          <w:i/>
          <w:iCs/>
        </w:rPr>
        <w:t xml:space="preserve">sources</w:t>
      </w:r>
      <w:r>
        <w:t xml:space="preserve">, mutually</w:t>
      </w:r>
      <w:r>
        <w:t xml:space="preserve"> </w:t>
      </w:r>
      <w:r>
        <w:t xml:space="preserve">non-refining signals stay incomparable no matter how capable the reader becomes, so the paper’s</w:t>
      </w:r>
      <w:r>
        <w:t xml:space="preserve"> </w:t>
      </w:r>
      <w:r>
        <w:t xml:space="preserve">central claim, that selection is a partial-order problem, is invariant to how the scaling</w:t>
      </w:r>
      <w:r>
        <w:t xml:space="preserve"> </w:t>
      </w:r>
      <w:r>
        <w:t xml:space="preserve">question resolves; scale can change only how gracefully a fixed rule degrades, never the order</w:t>
      </w:r>
      <w:r>
        <w:t xml:space="preserve"> </w:t>
      </w:r>
      <w:r>
        <w:t xml:space="preserve">itself.</w:t>
      </w:r>
    </w:p>
    <w:bookmarkEnd w:id="103"/>
    <w:bookmarkEnd w:id="104"/>
    <w:bookmarkStart w:id="105" w:name="sec:disc-moat"/>
    <w:p>
      <w:pPr>
        <w:pStyle w:val="Heading2"/>
      </w:pPr>
      <w:r>
        <w:t xml:space="preserve">The value of private context is model-relative and tracks vendor training</w:t>
      </w:r>
    </w:p>
    <w:p>
      <w:pPr>
        <w:pStyle w:val="FirstParagraph"/>
      </w:pPr>
      <w:r>
        <w:t xml:space="preserve">The value of a private convention,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is itself a model-relative (</w:t>
      </w:r>
      <m:oMath>
        <m:r>
          <m:t>θ</m:t>
        </m:r>
      </m:oMath>
      <w:r>
        <w:t xml:space="preserve">-dependent)</w:t>
      </w:r>
      <w:r>
        <w:t xml:space="preserve"> </w:t>
      </w:r>
      <w:r>
        <w:t xml:space="preserve">object, and the data give a clean continuous map of it. The none-arm baseline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 how often a model reproduces the private convention with no context supplied, forms a spectrum:</w:t>
      </w:r>
      <w:r>
        <w:t xml:space="preserve"> </w:t>
      </w:r>
      <w:r>
        <w:t xml:space="preserve">Haiku and Sonnet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0</m:t>
        </m:r>
        <m:r>
          <m:rPr>
            <m:sty m:val="p"/>
          </m:rPr>
          <m:t>%</m:t>
        </m:r>
      </m:oMath>
      <w:r>
        <w:t xml:space="preserve">, DeepSeek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, Opus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, Kimi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, GPT-5.5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. We do not claim this</w:t>
      </w:r>
      <w:r>
        <w:t xml:space="preserve"> </w:t>
      </w:r>
      <w:r>
        <w:t xml:space="preserve">tracks capability. The decisive piece of evidence is DeepSeek: it has a tight, near-zero prior like</w:t>
      </w:r>
      <w:r>
        <w:t xml:space="preserve"> </w:t>
      </w:r>
      <w:r>
        <w:t xml:space="preserve">Claude despite being a different vendor, while GPT-5.5’s prior is wide (</w:t>
      </w:r>
      <m:oMath>
        <m:r>
          <m:t>55</m:t>
        </m:r>
        <m:r>
          <m:rPr>
            <m:sty m:val="p"/>
          </m:rPr>
          <m:t>%</m:t>
        </m:r>
      </m:oMath>
      <w:r>
        <w:t xml:space="preserve">–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guessing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/</w:t>
      </w:r>
      <w:r>
        <w:rPr>
          <w:rStyle w:val="VerbatimChar"/>
        </w:rPr>
        <w:t xml:space="preserve">enc_amount</w:t>
      </w:r>
      <w:r>
        <w:t xml:space="preserve">). A</w:t>
      </w:r>
      <w:r>
        <w:t xml:space="preserve"> </w:t>
      </w:r>
      <w:r>
        <w:t xml:space="preserve">“stronger-model-knows-more”</w:t>
      </w:r>
      <w:r>
        <w:t xml:space="preserve"> </w:t>
      </w:r>
      <w:r>
        <w:t xml:space="preserve">account predicts the</w:t>
      </w:r>
      <w:r>
        <w:t xml:space="preserve"> </w:t>
      </w:r>
      <w:r>
        <w:t xml:space="preserve">spectrum to follow capability; it does not. We read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tracking a vendor’s training</w:t>
      </w:r>
      <w:r>
        <w:t xml:space="preserve"> </w:t>
      </w:r>
      <w:r>
        <w:t xml:space="preserve">distribution rather than raw capability, which makes the theory’s</w:t>
      </w:r>
      <w:r>
        <w:t xml:space="preserve"> </w:t>
      </w:r>
      <m:oMath>
        <m:r>
          <m:t>θ</m:t>
        </m:r>
      </m:oMath>
      <w:r>
        <w:t xml:space="preserve">-dependence concrete and</w:t>
      </w:r>
      <w:r>
        <w:t xml:space="preserve"> </w:t>
      </w:r>
      <w:r>
        <w:t xml:space="preserve">caps which cells certify per model.</w:t>
      </w:r>
    </w:p>
    <w:bookmarkEnd w:id="105"/>
    <w:bookmarkStart w:id="107" w:name="sec:disc-mechanism"/>
    <w:p>
      <w:pPr>
        <w:pStyle w:val="Heading2"/>
      </w:pPr>
      <w:r>
        <w:t xml:space="preserve">Mechanism: the runtime fingerprint is a correlate, not an explanation</w:t>
      </w:r>
    </w:p>
    <w:p>
      <w:pPr>
        <w:pStyle w:val="FirstParagraph"/>
      </w:pPr>
      <w:r>
        <w:t xml:space="preserve">Every collapse is accompanied by output-token inflation on the harmful arm: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emits between</w:t>
      </w:r>
      <w:r>
        <w:t xml:space="preserve"> </w:t>
      </w:r>
      <m:oMath>
        <m:r>
          <m:rPr>
            <m:sty m:val="p"/>
          </m:rPr>
          <m:t>+</m:t>
        </m:r>
        <m:r>
          <m:t>87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281</m:t>
        </m:r>
        <m:r>
          <m:rPr>
            <m:sty m:val="p"/>
          </m:rPr>
          <m:t>%</m:t>
        </m:r>
      </m:oMath>
      <w:r>
        <w:t xml:space="preserve"> </w:t>
      </w:r>
      <w:r>
        <w:t xml:space="preserve">more output tokens than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 the API collapse cells (e.g. Haiku</w:t>
      </w:r>
      <w:r>
        <w:t xml:space="preserve"> </w:t>
      </w:r>
      <m:oMath>
        <m:r>
          <m:rPr>
            <m:sty m:val="p"/>
          </m:rPr>
          <m:t>+</m:t>
        </m:r>
        <m:r>
          <m:t>106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87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252</m:t>
        </m:r>
        <m:r>
          <m:rPr>
            <m:sty m:val="p"/>
          </m:rPr>
          <m:t>%</m:t>
        </m:r>
      </m:oMath>
      <w:r>
        <w:t xml:space="preserve">; Sonnet</w:t>
      </w:r>
      <w:r>
        <w:t xml:space="preserve"> </w:t>
      </w:r>
      <m:oMath>
        <m:r>
          <m:rPr>
            <m:sty m:val="p"/>
          </m:rPr>
          <m:t>+</m:t>
        </m:r>
        <m:r>
          <m:t>120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131</m:t>
        </m:r>
        <m:r>
          <m:rPr>
            <m:sty m:val="p"/>
          </m:rPr>
          <m:t>%</m:t>
        </m:r>
      </m:oMath>
      <w:r>
        <w:t xml:space="preserve">; GPT-5.5</w:t>
      </w:r>
      <w:r>
        <w:t xml:space="preserve"> </w:t>
      </w:r>
      <m:oMath>
        <m:r>
          <m:rPr>
            <m:sty m:val="p"/>
          </m:rPr>
          <m:t>+</m:t>
        </m:r>
        <m:r>
          <m:t>281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274</m:t>
        </m:r>
        <m:r>
          <m:rPr>
            <m:sty m:val="p"/>
          </m:rPr>
          <m:t>%</m:t>
        </m:r>
      </m:oMath>
      <w:r>
        <w:t xml:space="preserve">). One might read this as</w:t>
      </w:r>
      <w:r>
        <w:t xml:space="preserve"> </w:t>
      </w:r>
      <w:r>
        <w:t xml:space="preserve">“verbose thrashing”</w:t>
      </w:r>
      <w:r>
        <w:t xml:space="preserve"> </w:t>
      </w:r>
      <w:r>
        <w:t xml:space="preserve">causing the failure, but the relationship is correlational and uncontrolled: the</w:t>
      </w:r>
      <w:r>
        <w:t xml:space="preserve"> </w:t>
      </w:r>
      <w:r>
        <w:t xml:space="preserve">same superset arm also inflates output by</w:t>
      </w:r>
      <w:r>
        <w:t xml:space="preserve"> </w:t>
      </w:r>
      <m:oMath>
        <m:r>
          <m:rPr>
            <m:sty m:val="p"/>
          </m:rPr>
          <m:t>+</m:t>
        </m:r>
        <m:r>
          <m:t>12</m:t>
        </m:r>
        <m:r>
          <m:rPr>
            <m:sty m:val="p"/>
          </m:rPr>
          <m:t>%</m:t>
        </m:r>
      </m:oMath>
      <w:r>
        <w:t xml:space="preserve"> </w:t>
      </w:r>
      <w:r>
        <w:t xml:space="preserve">on the</w:t>
      </w:r>
      <w:r>
        <w:t xml:space="preserve"> </w:t>
      </w:r>
      <w:r>
        <w:rPr>
          <w:i/>
          <w:iCs/>
        </w:rPr>
        <w:t xml:space="preserve">still-passing</w:t>
      </w:r>
      <w:r>
        <w:t xml:space="preserve"> </w:t>
      </w:r>
      <w:r>
        <w:t xml:space="preserve">encoding cell, which</w:t>
      </w:r>
      <w:r>
        <w:t xml:space="preserve"> </w:t>
      </w:r>
      <w:r>
        <w:t xml:space="preserve">undercuts a clean</w:t>
      </w:r>
      <w:r>
        <w:t xml:space="preserve"> </w:t>
      </w:r>
      <w:r>
        <w:t xml:space="preserve">“verbosity causes collapse”</w:t>
      </w:r>
      <w:r>
        <w:t xml:space="preserve"> </w:t>
      </w:r>
      <w:r>
        <w:t xml:space="preserve">account. We therefore treat the token fingerprint as a</w:t>
      </w:r>
      <w:r>
        <w:t xml:space="preserve"> </w:t>
      </w:r>
      <w:r>
        <w:t xml:space="preserve">reproducible correlate of the harmful arm, not a mechanism.</w:t>
      </w:r>
    </w:p>
    <w:p>
      <w:pPr>
        <w:pStyle w:val="BodyText"/>
      </w:pPr>
      <w:r>
        <w:t xml:space="preserve">Two points bound what this paper can and cannot say about mechanism. First, the claim structure is</w:t>
      </w:r>
      <w:r>
        <w:t xml:space="preserve"> </w:t>
      </w:r>
      <w:r>
        <w:t xml:space="preserve">deliberately mechanism-agnostic: Theorem </w:t>
      </w:r>
      <w:hyperlink w:anchor="thm:antimono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certifies that the realized rule is not</w:t>
      </w:r>
      <w:r>
        <w:t xml:space="preserve"> </w:t>
      </w:r>
      <w:r>
        <w:t xml:space="preserve">Blackwell-coherent</w:t>
      </w:r>
      <w:r>
        <w:t xml:space="preserve"> </w:t>
      </w:r>
      <w:r>
        <w:rPr>
          <w:i/>
          <w:iCs/>
        </w:rPr>
        <w:t xml:space="preserve">whatever</w:t>
      </w:r>
      <w:r>
        <w:t xml:space="preserve"> </w:t>
      </w:r>
      <w:r>
        <w:t xml:space="preserve">the internal cause, and the behavioral controls already</w:t>
      </w:r>
      <w:r>
        <w:t xml:space="preserve"> </w:t>
      </w:r>
      <w:r>
        <w:t xml:space="preserve">constrain the hypothesis space from the outside, the harm is not position (order control), not</w:t>
      </w:r>
      <w:r>
        <w:t xml:space="preserve"> </w:t>
      </w:r>
      <w:r>
        <w:t xml:space="preserve">token count (padding control), and is largely, though not fully, curable by explicit convention</w:t>
      </w:r>
      <w:r>
        <w:t xml:space="preserve"> </w:t>
      </w:r>
      <w:r>
        <w:t xml:space="preserve">routing (instruction ablation), a signature consistent with convention interference or</w:t>
      </w:r>
      <w:r>
        <w:t xml:space="preserve"> </w:t>
      </w:r>
      <w:r>
        <w:t xml:space="preserve">mis-binding rather than capacity exhaustion. Second, an activation-level account is genuinely out</w:t>
      </w:r>
      <w:r>
        <w:t xml:space="preserve"> </w:t>
      </w:r>
      <w:r>
        <w:t xml:space="preserve">of reach for the objects studied here: four of the six models are closed-weight production APIs,</w:t>
      </w:r>
      <w:r>
        <w:t xml:space="preserve"> </w:t>
      </w:r>
      <w:r>
        <w:t xml:space="preserve">and the phenomenon is cross-vendor, so any internal story must generalize across architectures we</w:t>
      </w:r>
      <w:r>
        <w:t xml:space="preserve"> </w:t>
      </w:r>
      <w:r>
        <w:t xml:space="preserve">cannot open. The direct path to mechanism is to reproduce the collapse on an open-weight model</w:t>
      </w:r>
      <w:r>
        <w:t xml:space="preserve"> </w:t>
      </w:r>
      <w:r>
        <w:t xml:space="preserve">with the same harness (the launchers speak any OpenAI-compatible endpoint) and then instrument</w:t>
      </w:r>
      <w:r>
        <w:t xml:space="preserve"> </w:t>
      </w:r>
      <w:r>
        <w:t xml:space="preserve">attention and activation patterns on the contrasting arms; we regard this as the natural</w:t>
      </w:r>
      <w:r>
        <w:t xml:space="preserve"> </w:t>
      </w:r>
      <w:r>
        <w:t xml:space="preserve">mechanistic companion study, downstream of, not prerequisite to, the certified behavioral claim.</w:t>
      </w:r>
    </w:p>
    <w:bookmarkStart w:id="106" w:name="X37a5acb05d688eb32bbe54c216dbcf303d3b4c3"/>
    <w:p>
      <w:pPr>
        <w:pStyle w:val="Heading4"/>
      </w:pPr>
      <w:r>
        <w:t xml:space="preserve">Levels of description, and three readings of the phenomenon.</w:t>
      </w:r>
    </w:p>
    <w:p>
      <w:pPr>
        <w:pStyle w:val="FirstParagraph"/>
      </w:pPr>
      <w:r>
        <w:t xml:space="preserve">The partial order is a decision-theoretic, behavioral-level frame; it does not compete with a</w:t>
      </w:r>
      <w:r>
        <w:t xml:space="preserve"> </w:t>
      </w:r>
      <w:r>
        <w:t xml:space="preserve">computational account of how conditioning on added text changes the model’s processing. The two</w:t>
      </w:r>
      <w:r>
        <w:t xml:space="preserve"> </w:t>
      </w:r>
      <w:r>
        <w:t xml:space="preserve">are levels of description of the same event, and the certified behavioral facts are the</w:t>
      </w:r>
      <w:r>
        <w:t xml:space="preserve"> </w:t>
      </w:r>
      <w:r>
        <w:t xml:space="preserve">constraints any computational account must satisfy. Three interpretive readings are compatible</w:t>
      </w:r>
      <w:r>
        <w:t xml:space="preserve"> </w:t>
      </w:r>
      <w:r>
        <w:t xml:space="preserve">with the present data, and each is discriminable by a named experiment.</w:t>
      </w:r>
      <w:r>
        <w:t xml:space="preserve"> </w:t>
      </w:r>
      <w:r>
        <w:rPr>
          <w:b/>
          <w:bCs/>
        </w:rPr>
        <w:t xml:space="preserve">(i) A transient</w:t>
      </w:r>
      <w:r>
        <w:rPr>
          <w:b/>
          <w:bCs/>
        </w:rPr>
        <w:t xml:space="preserve"> </w:t>
      </w:r>
      <w:r>
        <w:rPr>
          <w:b/>
          <w:bCs/>
        </w:rPr>
        <w:t xml:space="preserve">failure of current models</w:t>
      </w:r>
      <w:r>
        <w:t xml:space="preserve">: discriminated by the coherence-versus-scale trajectory of</w:t>
      </w:r>
      <w:r>
        <w:t xml:space="preserve"> </w:t>
      </w:r>
      <w:r>
        <w:t xml:space="preserve">§</w:t>
      </w:r>
      <w:hyperlink w:anchor="sec:disc-antimono">
        <w:r>
          <w:rPr>
            <w:rStyle w:val="Hyperlink"/>
          </w:rPr>
          <w:t xml:space="preserve">8.2</w:t>
        </w:r>
      </w:hyperlink>
      <w:r>
        <w:t xml:space="preserve">, if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shrinks toward zero across model generations, the</w:t>
      </w:r>
      <w:r>
        <w:t xml:space="preserve"> </w:t>
      </w:r>
      <w:r>
        <w:t xml:space="preserve">anti-monotonicity half of the phenomenon was a passing artifact (the incomparability half, being</w:t>
      </w:r>
      <w:r>
        <w:t xml:space="preserve"> </w:t>
      </w:r>
      <w:r>
        <w:t xml:space="preserve">a property of the sources, remains).</w:t>
      </w:r>
      <w:r>
        <w:t xml:space="preserve"> </w:t>
      </w:r>
      <w:r>
        <w:rPr>
          <w:b/>
          <w:bCs/>
        </w:rPr>
        <w:t xml:space="preserve">(ii) A property of fixed-compute inference</w:t>
      </w:r>
      <w:r>
        <w:t xml:space="preserve">: a rule</w:t>
      </w:r>
      <w:r>
        <w:t xml:space="preserve"> </w:t>
      </w:r>
      <w:r>
        <w:t xml:space="preserve">that spends the same forward computation regardless of context configuration cannot be optimal</w:t>
      </w:r>
      <w:r>
        <w:t xml:space="preserve"> </w:t>
      </w:r>
      <w:r>
        <w:t xml:space="preserve">for every configuration, on this reading some coherence violation persists at every scale and</w:t>
      </w:r>
      <w:r>
        <w:t xml:space="preserve"> </w:t>
      </w:r>
      <w:r>
        <w:t xml:space="preserve">only relocates.</w:t>
      </w:r>
      <w:r>
        <w:t xml:space="preserve"> </w:t>
      </w:r>
      <w:r>
        <w:rPr>
          <w:b/>
          <w:bCs/>
        </w:rPr>
        <w:t xml:space="preserve">(iii) Prompts as programs</w:t>
      </w:r>
      <w:r>
        <w:t xml:space="preserve">: the added convention does not merely add</w:t>
      </w:r>
      <w:r>
        <w:t xml:space="preserve"> </w:t>
      </w:r>
      <w:r>
        <w:t xml:space="preserve">information, it selects a different computation; this reading is supported by the routing</w:t>
      </w:r>
      <w:r>
        <w:t xml:space="preserve"> </w:t>
      </w:r>
      <w:r>
        <w:t xml:space="preserve">result, a one-line control statement that adds no task-relevant information recovers most of the</w:t>
      </w:r>
      <w:r>
        <w:t xml:space="preserve"> </w:t>
      </w:r>
      <w:r>
        <w:t xml:space="preserve">collapse, and by the structured-context ablation, labeled XML segmentation of the same content</w:t>
      </w:r>
      <w:r>
        <w:t xml:space="preserve"> </w:t>
      </w:r>
      <w:r>
        <w:t xml:space="preserve">recovers only a minority of the collapse (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42</m:t>
        </m:r>
        <m:r>
          <m:rPr>
            <m:sty m:val="p"/>
          </m:rPr>
          <m:t>%</m:t>
        </m:r>
      </m:oMath>
      <w:r>
        <w:t xml:space="preserve">) while the routing statement recovers most</w:t>
      </w:r>
      <w:r>
        <w:t xml:space="preserve"> </w:t>
      </w:r>
      <w:r>
        <w:t xml:space="preserve">of it (</w:t>
      </w:r>
      <m:oMath>
        <m:r>
          <m:rPr>
            <m:sty m:val="p"/>
          </m:rPr>
          <m:t>→</m:t>
        </m:r>
        <m:r>
          <m:t>80</m:t>
        </m:r>
        <m:r>
          <m:rPr>
            <m:sty m:val="p"/>
          </m:rPr>
          <m:t>%</m:t>
        </m:r>
      </m:oMath>
      <w:r>
        <w:t xml:space="preserve">), locating the operative variable in convention-to-task</w:t>
      </w:r>
      <w:r>
        <w:t xml:space="preserve"> </w:t>
      </w:r>
      <w:r>
        <w:rPr>
          <w:i/>
          <w:iCs/>
        </w:rPr>
        <w:t xml:space="preserve">routing</w:t>
      </w:r>
      <w:r>
        <w:t xml:space="preserve"> </w:t>
      </w:r>
      <w:r>
        <w:t xml:space="preserve">rather</w:t>
      </w:r>
      <w:r>
        <w:t xml:space="preserve"> </w:t>
      </w:r>
      <w:r>
        <w:t xml:space="preserve">than formatting or segmentation. We state these as interpretations, not findings; every certified</w:t>
      </w:r>
      <w:r>
        <w:t xml:space="preserve"> </w:t>
      </w:r>
      <w:r>
        <w:t xml:space="preserve">claim in the paper is independent of which reading is true.</w:t>
      </w:r>
    </w:p>
    <w:bookmarkEnd w:id="106"/>
    <w:bookmarkEnd w:id="107"/>
    <w:bookmarkStart w:id="114" w:name="sec:limitations"/>
    <w:p>
      <w:pPr>
        <w:pStyle w:val="Heading2"/>
      </w:pPr>
      <w:r>
        <w:t xml:space="preserve">Limitations and threats to validity</w:t>
      </w:r>
    </w:p>
    <w:p>
      <w:pPr>
        <w:pStyle w:val="FirstParagraph"/>
      </w:pPr>
      <w:r>
        <w:t xml:space="preserve">We collect the scope restrictions here; each is stated once and sized to its weight.</w:t>
      </w:r>
    </w:p>
    <w:bookmarkStart w:id="108" w:name="from-diagnosis-to-selection."/>
    <w:p>
      <w:pPr>
        <w:pStyle w:val="Heading4"/>
      </w:pPr>
      <w:r>
        <w:t xml:space="preserve">From diagnosis to selection.</w:t>
      </w:r>
    </w:p>
    <w:p>
      <w:pPr>
        <w:pStyle w:val="FirstParagraph"/>
      </w:pPr>
      <w:r>
        <w:t xml:space="preserve">The constructive selection rule the partial order</w:t>
      </w:r>
      <w:r>
        <w:t xml:space="preserve"> </w:t>
      </w:r>
      <w:r>
        <w:t xml:space="preserve">implies, with its guarantees and evaluation against strong reranker baselines, is factored into a</w:t>
      </w:r>
      <w:r>
        <w:t xml:space="preserve"> </w:t>
      </w:r>
      <w:r>
        <w:t xml:space="preserve">companion paper. Building the certified order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candidates costs</w:t>
      </w:r>
      <w:r>
        <w:t xml:space="preserve"> </w:t>
      </w:r>
      <m:oMath>
        <m:r>
          <m:t>m</m:t>
        </m:r>
        <m:r>
          <m:t>​</m:t>
        </m:r>
        <m:r>
          <m:rPr>
            <m:sty m:val="p"/>
          </m:rPr>
          <m:t>⋅</m:t>
        </m:r>
        <m:r>
          <m:t>​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t>​</m:t>
        </m:r>
        <m:r>
          <m:rPr>
            <m:sty m:val="p"/>
          </m:rPr>
          <m:t>⋅</m:t>
        </m:r>
        <m:r>
          <m:t>​</m:t>
        </m:r>
        <m:r>
          <m:t>n</m:t>
        </m:r>
      </m:oMath>
      <w:r>
        <w:t xml:space="preserve"> </w:t>
      </w:r>
      <w:r>
        <w:t xml:space="preserve">verifier-gated calls, curation scale, not corpus scale; scaling</w:t>
      </w:r>
      <w:r>
        <w:t xml:space="preserve"> </w:t>
      </w:r>
      <w:r>
        <w:t xml:space="preserve">certified selection to retrieval over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passages, by amortizing the probe into a learned</w:t>
      </w:r>
      <w:r>
        <w:t xml:space="preserve"> </w:t>
      </w:r>
      <w:r>
        <w:t xml:space="preserve">deficiency predictor or running the partial-order step as a re-ranking head over a scalar</w:t>
      </w:r>
      <w:r>
        <w:t xml:space="preserve"> </w:t>
      </w:r>
      <w:r>
        <w:t xml:space="preserve">shortlist, is the central open problem this work opens.</w:t>
      </w:r>
    </w:p>
    <w:bookmarkEnd w:id="108"/>
    <w:bookmarkStart w:id="109" w:name="source-pair-generality."/>
    <w:p>
      <w:pPr>
        <w:pStyle w:val="Heading4"/>
      </w:pPr>
      <w:r>
        <w:t xml:space="preserve">Source-pair generality.</w:t>
      </w:r>
    </w:p>
    <w:p>
      <w:pPr>
        <w:pStyle w:val="FirstParagraph"/>
      </w:pPr>
      <w:r>
        <w:t xml:space="preserve">Incomparability and dominance hold for two hand-built pairs</w:t>
      </w:r>
      <w:r>
        <w:t xml:space="preserve"> </w:t>
      </w:r>
      <w:r>
        <w:t xml:space="preserve">in two domains; the cross-vendor record is single-pair. Pair-2 interference is certified in sign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) but not at the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margin, its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ceiling keeps the</w:t>
      </w:r>
      <w:r>
        <w:t xml:space="preserve"> </w:t>
      </w:r>
      <w:r>
        <w:t xml:space="preserve">four-term bound wide; pair-2’s relevance trap was an honest null (its prompt was not lexically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-leaning). A third domain and a vendor-general strong mis-rank remain inexpensive next</w:t>
      </w:r>
      <w:r>
        <w:t xml:space="preserve"> </w:t>
      </w:r>
      <w:r>
        <w:t xml:space="preserve">steps.</w:t>
      </w:r>
    </w:p>
    <w:bookmarkEnd w:id="109"/>
    <w:bookmarkStart w:id="110" w:name="vendor-is-confounded-with-harness."/>
    <w:p>
      <w:pPr>
        <w:pStyle w:val="Heading4"/>
      </w:pPr>
      <w:r>
        <w:t xml:space="preserve">Vendor is confounded with harness.</w:t>
      </w:r>
    </w:p>
    <w:p>
      <w:pPr>
        <w:pStyle w:val="FirstParagraph"/>
      </w:pPr>
      <w:r>
        <w:t xml:space="preserve">Anthropic models ran agentically, the rest</w:t>
      </w:r>
      <w:r>
        <w:t xml:space="preserve"> </w:t>
      </w:r>
      <w:r>
        <w:t xml:space="preserve">single-shot, so cross-vendor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comparisons (the value spectrum, the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ladder) inherit the confound. The binary within-model claims do not, and the single-shot Haiku</w:t>
      </w:r>
      <w:r>
        <w:t xml:space="preserve"> </w:t>
      </w:r>
      <w:r>
        <w:t xml:space="preserve">replication preserves all order-theoretic findings, so they are not agentic artifacts; magnitude</w:t>
      </w:r>
      <w:r>
        <w:t xml:space="preserve"> </w:t>
      </w:r>
      <w:r>
        <w:t xml:space="preserve">comparisons should still be read as suggestive.</w:t>
      </w:r>
    </w:p>
    <w:bookmarkEnd w:id="110"/>
    <w:bookmarkStart w:id="111" w:name="the-model-is-an-idealization-twice."/>
    <w:p>
      <w:pPr>
        <w:pStyle w:val="Heading4"/>
      </w:pPr>
      <w:r>
        <w:t xml:space="preserve">The model is an idealization, twice.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certifies dominance and</w:t>
      </w:r>
      <w:r>
        <w:t xml:space="preserve"> </w:t>
      </w:r>
      <w:r>
        <w:t xml:space="preserve">incomparability for a given model on a fixed battery, not the universal Blackwell order. And the</w:t>
      </w:r>
      <w:r>
        <w:t xml:space="preserve"> </w:t>
      </w:r>
      <w:r>
        <w:t xml:space="preserve">projection construction models sources as clean projections onto independent coordinates; real</w:t>
      </w:r>
      <w:r>
        <w:t xml:space="preserve"> </w:t>
      </w:r>
      <w:r>
        <w:t xml:space="preserve">chunks overlap, contradict, and leak (the measured</w:t>
      </w:r>
      <w:r>
        <w:t xml:space="preserve"> </w:t>
      </w:r>
      <m:oMath>
        <m:r>
          <m:t>θ</m:t>
        </m:r>
      </m:oMath>
      <w:r>
        <w:t xml:space="preserve">-dependence is exactly such leakage),</w:t>
      </w:r>
      <w:r>
        <w:t xml:space="preserve"> </w:t>
      </w:r>
      <w:r>
        <w:t xml:space="preserve">so the construction is the cleanest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condition for incomparability, realized</w:t>
      </w:r>
      <w:r>
        <w:t xml:space="preserve"> </w:t>
      </w:r>
      <w:r>
        <w:t xml:space="preserve">exactly by our hand-built pairs, and measuring certified-incomparability prevalence on natural</w:t>
      </w:r>
      <w:r>
        <w:t xml:space="preserve"> </w:t>
      </w:r>
      <w:r>
        <w:t xml:space="preserve">document pairs is the direct next experiment.</w:t>
      </w:r>
    </w:p>
    <w:bookmarkEnd w:id="111"/>
    <w:bookmarkStart w:id="112" w:name="sampling-and-certification-regime."/>
    <w:p>
      <w:pPr>
        <w:pStyle w:val="Heading4"/>
      </w:pPr>
      <w:r>
        <w:t xml:space="preserve">Sampling and certification regime.</w:t>
      </w:r>
    </w:p>
    <w:p>
      <w:pPr>
        <w:pStyle w:val="FirstParagraph"/>
      </w:pPr>
      <w:r>
        <w:t xml:space="preserve">The certificate assumes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i.i.d. Bernoulli PASS</w:t>
      </w:r>
      <w:r>
        <w:t xml:space="preserve"> </w:t>
      </w:r>
      <w:r>
        <w:t xml:space="preserve">draws per cell (Assumption </w:t>
      </w:r>
      <w:hyperlink w:anchor="ass:iid">
        <w:r>
          <w:rPr>
            <w:rStyle w:val="Hyperlink"/>
          </w:rPr>
          <w:t xml:space="preserve">2</w:t>
        </w:r>
      </w:hyperlink>
      <w:r>
        <w:t xml:space="preserve">); the assumption is most delicate for the agentic arm,</w:t>
      </w:r>
      <w:r>
        <w:t xml:space="preserve"> </w:t>
      </w:r>
      <w:r>
        <w:t xml:space="preserve">where each draw is a fresh multi-turn trajectory (protocol in Appendix </w:t>
      </w:r>
      <w:hyperlink w:anchor="app:repro">
        <w:r>
          <w:rPr>
            <w:rStyle w:val="Hyperlink"/>
          </w:rPr>
          <w:t xml:space="preserve">12</w:t>
        </w:r>
      </w:hyperlink>
      <w:r>
        <w:t xml:space="preserve">).</w:t>
      </w:r>
      <w:r>
        <w:t xml:space="preserve"> </w:t>
      </w:r>
      <w:r>
        <w:t xml:space="preserve">Interference is certifiable only on cells whose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 floors near zero, stated</w:t>
      </w:r>
      <w:r>
        <w:t xml:space="preserve"> </w:t>
      </w:r>
      <w:r>
        <w:t xml:space="preserve">as a protocol (Remark </w:t>
      </w:r>
      <w:hyperlink w:anchor="rem:leaky">
        <w:r>
          <w:rPr>
            <w:rStyle w:val="Hyperlink"/>
          </w:rPr>
          <w:t xml:space="preserve">5</w:t>
        </w:r>
      </w:hyperlink>
      <w:r>
        <w:t xml:space="preserve">); marginal-versus-joint control is discussed in</w:t>
      </w:r>
      <w:r>
        <w:t xml:space="preserve"> </w:t>
      </w:r>
      <w:r>
        <w:t xml:space="preserve">§</w:t>
      </w:r>
      <w:hyperlink w:anchor="sec:disc-bridge">
        <w:r>
          <w:rPr>
            <w:rStyle w:val="Hyperlink"/>
          </w:rPr>
          <w:t xml:space="preserve">8.1</w:t>
        </w:r>
      </w:hyperlink>
      <w:r>
        <w:t xml:space="preserve">.</w:t>
      </w:r>
    </w:p>
    <w:bookmarkEnd w:id="112"/>
    <w:bookmarkStart w:id="113" w:name="ranker-spectrum-and-synergy."/>
    <w:p>
      <w:pPr>
        <w:pStyle w:val="Heading4"/>
      </w:pPr>
      <w:r>
        <w:t xml:space="preserve">Ranker spectrum and synergy.</w:t>
      </w:r>
    </w:p>
    <w:p>
      <w:pPr>
        <w:pStyle w:val="FirstParagraph"/>
      </w:pPr>
      <w:r>
        <w:t xml:space="preserve">The trap mis-rank spans lexical cosine and three</w:t>
      </w:r>
      <w:r>
        <w:t xml:space="preserve"> </w:t>
      </w:r>
      <w:r>
        <w:t xml:space="preserve">representative open-weight learned rankers, with an LLM listwise reranker escaping as predicted, but the</w:t>
      </w:r>
      <w:r>
        <w:t xml:space="preserve"> </w:t>
      </w:r>
      <w:r>
        <w:t xml:space="preserve">learned checkpoints are the small members of their families and the evidence is one trap in one</w:t>
      </w:r>
      <w:r>
        <w:t xml:space="preserve"> </w:t>
      </w:r>
      <w:r>
        <w:t xml:space="preserve">domain. Positive interference (synergy) is untested by construction: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task-disjoint, so a complementary pair would be needed to test whether a superset can also</w:t>
      </w:r>
      <w:r>
        <w:t xml:space="preserve"> </w:t>
      </w:r>
      <w:r>
        <w:rPr>
          <w:i/>
          <w:iCs/>
        </w:rPr>
        <w:t xml:space="preserve">help</w:t>
      </w:r>
      <w:r>
        <w:t xml:space="preserve"> </w:t>
      </w:r>
      <w:r>
        <w:t xml:space="preserve">beyond its parts; we make no claim about it.</w:t>
      </w:r>
    </w:p>
    <w:bookmarkEnd w:id="113"/>
    <w:bookmarkEnd w:id="114"/>
    <w:bookmarkEnd w:id="115"/>
    <w:bookmarkStart w:id="116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Context selection for language models is, structurally, a partial-order problem rather than a scalar</w:t>
      </w:r>
      <w:r>
        <w:t xml:space="preserve"> </w:t>
      </w:r>
      <w:r>
        <w:t xml:space="preserve">one. When two context sources are Blackwell-incomparable, no scalar score can rank them correctly for</w:t>
      </w:r>
      <w:r>
        <w:t xml:space="preserve"> </w:t>
      </w:r>
      <w:r>
        <w:t xml:space="preserve">all tasks 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), which gives a formal account of the field’s</w:t>
      </w:r>
      <w:r>
        <w:t xml:space="preserve"> </w:t>
      </w:r>
      <w:r>
        <w:t xml:space="preserve">“relevance does</w:t>
      </w:r>
      <w:r>
        <w:t xml:space="preserve"> </w:t>
      </w:r>
      <w:r>
        <w:t xml:space="preserve">not transfer”</w:t>
      </w:r>
      <w:r>
        <w:t xml:space="preserve"> </w:t>
      </w:r>
      <w:r>
        <w:t xml:space="preserve">folklore. We made the order measurable with a decision-restricted value-deficiency</w:t>
      </w:r>
      <w:r>
        <w:t xml:space="preserve"> </w:t>
      </w:r>
      <w:r>
        <w:t xml:space="preserve">surrogate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equipped with a distribution-free uniform Clopper–Pearson/Bonferroni</w:t>
      </w:r>
      <w:r>
        <w:t xml:space="preserve"> </w:t>
      </w:r>
      <w:r>
        <w:t xml:space="preserve">certificate, and we instantiated the theory on six models across four vendors. On every model we certify</w:t>
      </w:r>
      <w:r>
        <w:t xml:space="preserve"> </w:t>
      </w:r>
      <w:r>
        <w:t xml:space="preserve">(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) that two private context sources are empirically incomparable; on every model a real</w:t>
      </w:r>
      <w:r>
        <w:t xml:space="preserve"> </w:t>
      </w:r>
      <w:r>
        <w:t xml:space="preserve">query-conditioned lexical relevance score mis-ranks them; and on five of six models we certify a superset</w:t>
      </w:r>
      <w:r>
        <w:t xml:space="preserve"> </w:t>
      </w:r>
      <w:r>
        <w:t xml:space="preserve">of a sufficient source sharply degrading PASS (a collapse as deep 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), a certified</w:t>
      </w:r>
      <w:r>
        <w:t xml:space="preserve"> </w:t>
      </w:r>
      <w:r>
        <w:t xml:space="preserve">falsification of superset-monotonicity for these fixed rules. The value of private context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itself model-relative, forming a continuous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–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spectrum that tracks</w:t>
      </w:r>
      <w:r>
        <w:t xml:space="preserve"> </w:t>
      </w:r>
      <w:r>
        <w:t xml:space="preserve">vendor training rather than raw capability.</w:t>
      </w:r>
    </w:p>
    <w:p>
      <w:pPr>
        <w:pStyle w:val="BodyText"/>
      </w:pPr>
      <w:r>
        <w:t xml:space="preserve">On scope: the theorems concern the idealized Bayes-optimal user of a source; the</w:t>
      </w:r>
      <w:r>
        <w:t xml:space="preserve"> </w:t>
      </w:r>
      <w:r>
        <w:t xml:space="preserve">realized crossover, anti-monotonicity, and value-of-private-context are properties of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models</w:t>
      </w:r>
      <w:r>
        <w:t xml:space="preserve"> </w:t>
      </w:r>
      <w:r>
        <w:t xml:space="preserve">measured directly, bridged to the structural claim by Lemma </w:t>
      </w:r>
      <w:hyperlink w:anchor="lem:bridge">
        <w:r>
          <w:rPr>
            <w:rStyle w:val="Hyperlink"/>
          </w:rPr>
          <w:t xml:space="preserve">2</w:t>
        </w:r>
      </w:hyperlink>
      <w:r>
        <w:t xml:space="preserve">. The estimator is a</w:t>
      </w:r>
      <w:r>
        <w:t xml:space="preserve"> </w:t>
      </w:r>
      <w:r>
        <w:t xml:space="preserve">regret-gap surrogate, not a Le Cam deficiency; the certificate, which we regard as the most robust</w:t>
      </w:r>
      <w:r>
        <w:t xml:space="preserve"> </w:t>
      </w:r>
      <w:r>
        <w:t xml:space="preserve">contribution, is correct and survives that re-labeling. The evidence now spans two hand-built source</w:t>
      </w:r>
      <w:r>
        <w:t xml:space="preserve"> </w:t>
      </w:r>
      <w:r>
        <w:t xml:space="preserve">pairs in two domains, a single-shot replication that preserves the order-theoretic claims, and a</w:t>
      </w:r>
      <w:r>
        <w:t xml:space="preserve"> </w:t>
      </w:r>
      <w:r>
        <w:t xml:space="preserve">length-matched padding control that attributes the anti-monotonicity collapse to signal content rather</w:t>
      </w:r>
      <w:r>
        <w:t xml:space="preserve"> </w:t>
      </w:r>
      <w:r>
        <w:t xml:space="preserve">than added tokens; the cross-vendor record remains single-pair, vendor is confounded with harness for</w:t>
      </w:r>
      <w:r>
        <w:t xml:space="preserve"> </w:t>
      </w:r>
      <w:r>
        <w:t xml:space="preserve">the magnitude comparisons, and synergy is untested. The practical reading is modest and actionable:</w:t>
      </w:r>
      <w:r>
        <w:t xml:space="preserve"> </w:t>
      </w:r>
      <w:r>
        <w:t xml:space="preserve">selection should be treated as partial-order-aware rather than scalar top-</w:t>
      </w:r>
      <m:oMath>
        <m:r>
          <m:t>k</m:t>
        </m:r>
      </m:oMath>
      <w:r>
        <w:t xml:space="preserve">, the right operational</w:t>
      </w:r>
      <w:r>
        <w:t xml:space="preserve"> </w:t>
      </w:r>
      <w:r>
        <w:t xml:space="preserve">object is a certified deficiency surrogate rather than a relevance scalar, and</w:t>
      </w:r>
      <w:r>
        <w:t xml:space="preserve"> </w:t>
      </w:r>
      <w:r>
        <w:t xml:space="preserve">“the best context”</w:t>
      </w:r>
      <w:r>
        <w:t xml:space="preserve"> </w:t>
      </w:r>
      <w:r>
        <w:t xml:space="preserve">should be expected to be model-relative and only partially ordered. Stated at its sharpest, the</w:t>
      </w:r>
      <w:r>
        <w:t xml:space="preserve"> </w:t>
      </w:r>
      <w:r>
        <w:t xml:space="preserve">impossibility is a theorem about</w:t>
      </w:r>
      <w:r>
        <w:t xml:space="preserve"> </w:t>
      </w:r>
      <w:r>
        <w:rPr>
          <w:i/>
          <w:iCs/>
        </w:rPr>
        <w:t xml:space="preserve">cheap</w:t>
      </w:r>
      <w:r>
        <w:t xml:space="preserve"> </w:t>
      </w:r>
      <w:r>
        <w:t xml:space="preserve">selection: per-source scalars</w:t>
      </w:r>
      <w:r>
        <w:t xml:space="preserve"> </w:t>
      </w:r>
      <w:r>
        <w:t xml:space="preserve">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) and topical query-conditioned scores</w:t>
      </w:r>
      <w:r>
        <w:t xml:space="preserve"> </w:t>
      </w:r>
      <w:r>
        <w:t xml:space="preserve">(Proposition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), not all context selection. The measured spectrum</w:t>
      </w:r>
      <w:r>
        <w:t xml:space="preserve"> </w:t>
      </w:r>
      <w:r>
        <w:t xml:space="preserve">realizes exactly that boundary: lexical cosine, two dense bi-encoders, and a cross-encoder all</w:t>
      </w:r>
      <w:r>
        <w:t xml:space="preserve"> </w:t>
      </w:r>
      <w:r>
        <w:t xml:space="preserve">fall for the trap, while an LLM listwise reranker, which pays per-candidate computation to read</w:t>
      </w:r>
      <w:r>
        <w:t xml:space="preserve"> </w:t>
      </w:r>
      <w:r>
        <w:t xml:space="preserve">the decisive content, escapes it. The hierarchy is computational: scalar scores cannot represent</w:t>
      </w:r>
      <w:r>
        <w:t xml:space="preserve"> </w:t>
      </w:r>
      <w:r>
        <w:t xml:space="preserve">the order, and probes that read content can measure it, at probe cost. The remaining</w:t>
      </w:r>
      <w:r>
        <w:t xml:space="preserve"> </w:t>
      </w:r>
      <w:r>
        <w:t xml:space="preserve">strengthenings, a vendor-general strong mis-rank, larger reranker checkpoints, and a third</w:t>
      </w:r>
      <w:r>
        <w:t xml:space="preserve"> </w:t>
      </w:r>
      <w:r>
        <w:t xml:space="preserve">domain, are the natural next steps, and the experimental record indicates each is cheap to run.</w:t>
      </w:r>
    </w:p>
    <w:bookmarkEnd w:id="116"/>
    <w:bookmarkStart w:id="129" w:name="app:proofs"/>
    <w:p>
      <w:pPr>
        <w:pStyle w:val="Heading1"/>
      </w:pPr>
      <w:r>
        <w:t xml:space="preserve">Deferred proofs and technical material</w:t>
      </w:r>
    </w:p>
    <w:bookmarkStart w:id="117" w:name="proof-of-theorem-thmblackwell"/>
    <w:p>
      <w:pPr>
        <w:pStyle w:val="Heading2"/>
      </w:pPr>
      <w:r>
        <w:t xml:space="preserve">Proof of Theorem </w:t>
      </w:r>
      <w:hyperlink w:anchor="thm:blackwell">
        <w:r>
          <w:rPr>
            <w:rStyle w:val="Hyperlink"/>
          </w:rPr>
          <w:t xml:space="preserve">1</w:t>
        </w:r>
      </w:hyperlink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This is Blackwell’s theorem </w:t>
      </w:r>
      <w:r>
        <w:t xml:space="preserve">(</w:t>
      </w:r>
      <w:hyperlink w:anchor="ref-blackwell1953">
        <w:r>
          <w:rPr>
            <w:rStyle w:val="Hyperlink"/>
          </w:rPr>
          <w:t xml:space="preserve">Blackwell 1953</w:t>
        </w:r>
      </w:hyperlink>
      <w:r>
        <w:t xml:space="preserve">)</w:t>
      </w:r>
      <w:r>
        <w:t xml:space="preserve">; the loss-function form and the role of</w:t>
      </w:r>
      <w:r>
        <w:t xml:space="preserve"> </w:t>
      </w:r>
      <w:r>
        <w:t xml:space="preserve">randomization are standard </w:t>
      </w:r>
      <w:r>
        <w:t xml:space="preserve">(</w:t>
      </w:r>
      <w:hyperlink w:anchor="ref-lecam1986">
        <w:r>
          <w:rPr>
            <w:rStyle w:val="Hyperlink"/>
          </w:rPr>
          <w:t xml:space="preserve">Le Cam 1986</w:t>
        </w:r>
      </w:hyperlink>
      <w:r>
        <w:t xml:space="preserve">;</w:t>
      </w:r>
      <w:r>
        <w:t xml:space="preserve"> </w:t>
      </w:r>
      <w:hyperlink w:anchor="ref-torgersen1991">
        <w:r>
          <w:rPr>
            <w:rStyle w:val="Hyperlink"/>
          </w:rPr>
          <w:t xml:space="preserve">Torgersen 1991</w:t>
        </w:r>
      </w:hyperlink>
      <w:r>
        <w:t xml:space="preserve">)</w:t>
      </w:r>
      <w:r>
        <w:t xml:space="preserve">. We use it as a black box. The only</w:t>
      </w:r>
      <w:r>
        <w:t xml:space="preserve"> </w:t>
      </w:r>
      <w:r>
        <w:t xml:space="preserve">substantive specialization is the reading of</w:t>
      </w:r>
      <w:r>
        <w:t xml:space="preserve"> </w:t>
      </w:r>
      <w:r>
        <w:t xml:space="preserve">“decision problem”</w:t>
      </w:r>
      <w:r>
        <w:t xml:space="preserve"> </w:t>
      </w:r>
      <w:r>
        <w:t xml:space="preserve">as</w:t>
      </w:r>
      <w:r>
        <w:t xml:space="preserve"> </w:t>
      </w:r>
      <w:r>
        <w:t xml:space="preserve">“task with a bounded</w:t>
      </w:r>
      <w:r>
        <w:t xml:space="preserve"> </w:t>
      </w:r>
      <w:r>
        <w:t xml:space="preserve">verifier utility”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“experiment”</w:t>
      </w:r>
      <w:r>
        <w:t xml:space="preserve"> </w:t>
      </w:r>
      <w:r>
        <w:t xml:space="preserve">as</w:t>
      </w:r>
      <w:r>
        <w:t xml:space="preserve"> </w:t>
      </w:r>
      <w:r>
        <w:t xml:space="preserve">“context source”</w:t>
      </w:r>
      <w:r>
        <w:t xml:space="preserve"> </w:t>
      </w:r>
      <w:r>
        <w:t xml:space="preserve">(Definition </w:t>
      </w:r>
      <w:hyperlink w:anchor="def:source">
        <w:r>
          <w:rPr>
            <w:rStyle w:val="Hyperlink"/>
          </w:rPr>
          <w:t xml:space="preserve">1</w:t>
        </w:r>
      </w:hyperlink>
      <w:r>
        <w:t xml:space="preserve">), which</w:t>
      </w:r>
      <w:r>
        <w:t xml:space="preserve"> </w:t>
      </w:r>
      <w:r>
        <w:t xml:space="preserve">is faithful because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a bounded utility and the kernels of</w:t>
      </w:r>
      <w:r>
        <w:t xml:space="preserve"> </w:t>
      </w:r>
      <w:r>
        <w:t xml:space="preserve">Definition </w:t>
      </w:r>
      <w:hyperlink w:anchor="def:project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are standard Borel. ◻</w:t>
      </w:r>
    </w:p>
    <w:bookmarkEnd w:id="117"/>
    <w:bookmarkStart w:id="118" w:name="proof-of-lemma-lemnoref"/>
    <w:p>
      <w:pPr>
        <w:pStyle w:val="Heading2"/>
      </w:pPr>
      <w:r>
        <w:t xml:space="preserve">Proof of Lemma </w:t>
      </w:r>
      <w:hyperlink w:anchor="lem:noref">
        <w:r>
          <w:rPr>
            <w:rStyle w:val="Hyperlink"/>
          </w:rPr>
          <w:t xml:space="preserve">1</w:t>
        </w:r>
      </w:hyperlink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rPr>
          <w:i/>
          <w:iCs/>
        </w:rPr>
        <w:t xml:space="preserve">(a)</w:t>
      </w:r>
      <w:r>
        <w:t xml:space="preserve"> </w:t>
      </w:r>
      <w:r>
        <w:t xml:space="preserve">For deterministic experiments a garbling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 </w:t>
      </w:r>
      <w:r>
        <w:t xml:space="preserve">must compute</w:t>
      </w:r>
      <w:r>
        <w:t xml:space="preserve"> </w:t>
      </w:r>
      <m:oMath>
        <m:sSub>
          <m:e>
            <m:r>
              <m:t>π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alone (no further access to</w:t>
      </w:r>
      <w:r>
        <w:t xml:space="preserve"> </w:t>
      </w:r>
      <m:oMath>
        <m:r>
          <m:t>S</m:t>
        </m:r>
      </m:oMath>
      <w:r>
        <w:t xml:space="preserve">). Such a measurable map</w:t>
      </w:r>
      <w:r>
        <w:t xml:space="preserve"> </w:t>
      </w:r>
      <w:r>
        <w:t xml:space="preserve">exists iff</w:t>
      </w:r>
      <w:r>
        <w:t xml:space="preserve"> </w:t>
      </w:r>
      <m:oMath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-measurable, i.e. 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⊆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.</w:t>
      </w:r>
      <w:r>
        <w:t xml:space="preserve"> </w:t>
      </w:r>
      <w:r>
        <w:t xml:space="preserve">Under coordinate independence and non-degeneracy,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⊆</m:t>
        </m:r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 iff</w:t>
      </w:r>
      <w:r>
        <w:t xml:space="preserve"> </w:t>
      </w:r>
      <w:r>
        <w:t xml:space="preserve">every coordinate 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among those in</w:t>
      </w:r>
      <w:r>
        <w:t xml:space="preserve"> </w:t>
      </w:r>
      <m:oMath>
        <m:r>
          <m:t>A</m:t>
        </m:r>
      </m:oMath>
      <w:r>
        <w:t xml:space="preserve">, i.e. 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: if some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 non-constant, so it is not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-measurable, and no garbling can reconstruct it; conversely if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coordinate-deletion map is a (deterministic) garbling.</w:t>
      </w:r>
      <w:r>
        <w:t xml:space="preserve"> </w:t>
      </w:r>
      <w:r>
        <w:rPr>
          <w:i/>
          <w:iCs/>
        </w:rPr>
        <w:t xml:space="preserve">(b)</w:t>
      </w:r>
      <w:r>
        <w:t xml:space="preserve"> </w:t>
      </w:r>
      <w:r>
        <w:t xml:space="preserve">is the contrapositive of (a)</w:t>
      </w:r>
      <w:r>
        <w:t xml:space="preserve"> </w:t>
      </w:r>
      <w:r>
        <w:t xml:space="preserve">applied in both directions. ◻</w:t>
      </w:r>
    </w:p>
    <w:bookmarkEnd w:id="118"/>
    <w:bookmarkStart w:id="119" w:name="proof-of-lemma-lembridge"/>
    <w:p>
      <w:pPr>
        <w:pStyle w:val="Heading2"/>
      </w:pPr>
      <w:r>
        <w:t xml:space="preserve">Proof of Lemma </w:t>
      </w:r>
      <w:hyperlink w:anchor="lem:bridge">
        <w:r>
          <w:rPr>
            <w:rStyle w:val="Hyperlink"/>
          </w:rPr>
          <w:t xml:space="preserve">2</w:t>
        </w:r>
      </w:hyperlink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(a)</w:t>
      </w:r>
      <w:r>
        <w:t xml:space="preserve"> </w:t>
      </w:r>
      <w:r>
        <w:t xml:space="preserve">Suppose, for contradiction,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By Theorem </w:t>
      </w:r>
      <w:hyperlink w:anchor="thm:blackwell">
        <w:r>
          <w:rPr>
            <w:rStyle w:val="Hyperlink"/>
          </w:rPr>
          <w:t xml:space="preserve">1</w:t>
        </w:r>
      </w:hyperlink>
      <w:r>
        <w:t xml:space="preserve">,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task</w:t>
      </w:r>
      <w:r>
        <w:t xml:space="preserve"> </w:t>
      </w:r>
      <m:oMath>
        <m:r>
          <m:t>T</m:t>
        </m:r>
      </m:oMath>
      <w:r>
        <w:t xml:space="preserve">, in particular at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. But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, the first inequality because</w:t>
      </w:r>
      <w:r>
        <w:t xml:space="preserve"> </w:t>
      </w:r>
      <w:r>
        <w:t xml:space="preserve">the optimal rule weakly improves on any fixed rule, the second by hypothesis, a contradiction.</w:t>
      </w:r>
      <w:r>
        <w:t xml:space="preserve"> </w:t>
      </w:r>
      <w:r>
        <w:t xml:space="preserve">Hence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⋡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Symmetrically,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g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forbids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 Neither dominance direction holds,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Blackwell-incomparable.</w:t>
      </w:r>
      <w:r>
        <w:t xml:space="preserve"> </w:t>
      </w:r>
      <w:r>
        <w:t xml:space="preserve">The caps are essential: without them a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crossover is compatible even with Blackwell</w:t>
      </w:r>
      <w:r>
        <w:t xml:space="preserve"> </w:t>
      </w:r>
      <w:r>
        <w:rPr>
          <w:i/>
          <w:iCs/>
        </w:rPr>
        <w:t xml:space="preserve">equivalence</w:t>
      </w:r>
      <w:r>
        <w:t xml:space="preserve">, since a fixed rule keyed to one signal’s surface form can under-perform on</w:t>
      </w:r>
      <w:r>
        <w:t xml:space="preserve"> </w:t>
      </w:r>
      <w:r>
        <w:t xml:space="preserve">the other, exactly the non-coherence phenomenon Theorem </w:t>
      </w:r>
      <w:hyperlink w:anchor="thm:antimono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certifies 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(b)</w:t>
      </w:r>
      <w:r>
        <w:t xml:space="preserve"> </w:t>
      </w:r>
      <w:r>
        <w:t xml:space="preserve">Assumption </w:t>
      </w:r>
      <w:hyperlink w:anchor="ass:attain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directly yields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reverse at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, which is Definition </w:t>
      </w:r>
      <w:hyperlink w:anchor="def:dmorder">
        <w:r>
          <w:rPr>
            <w:rStyle w:val="Hyperlink"/>
          </w:rPr>
          <w:t xml:space="preserve">5</w:t>
        </w:r>
      </w:hyperlink>
      <w:r>
        <w:t xml:space="preserve">’s incomparability; the failure of</w:t>
      </w:r>
      <w:r>
        <w:t xml:space="preserve"> </w:t>
      </w:r>
      <w:r>
        <w:t xml:space="preserve">the unconditional converse is witnessed by any fixed rule that violates monotonicity the optimal</w:t>
      </w:r>
      <w:r>
        <w:t xml:space="preserve"> </w:t>
      </w:r>
      <w:r>
        <w:t xml:space="preserve">value obeys. ◻</w:t>
      </w:r>
    </w:p>
    <w:bookmarkEnd w:id="119"/>
    <w:bookmarkStart w:id="120" w:name="proof-of-proposition-propvinfo-monotone"/>
    <w:p>
      <w:pPr>
        <w:pStyle w:val="Heading2"/>
      </w:pPr>
      <w:r>
        <w:t xml:space="preserve">Proof of Proposition </w:t>
      </w:r>
      <w:hyperlink w:anchor="prop:vinfo-monotone">
        <w:r>
          <w:rPr>
            <w:rStyle w:val="Hyperlink"/>
          </w:rPr>
          <w:t xml:space="preserve">1</w:t>
        </w:r>
      </w:hyperlink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 garbling 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</m:oMath>
      <w:r>
        <w:t xml:space="preserve">. Any predictor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acting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is realized 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 by the composite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G</m:t>
        </m:r>
      </m:oMath>
      <w:r>
        <w:t xml:space="preserve">, which lies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by the closure hypothesis. Therefore the best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-predictor under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attains at least the</w:t>
      </w:r>
      <w:r>
        <w:t xml:space="preserve"> </w:t>
      </w:r>
      <w:r>
        <w:t xml:space="preserve">predictive accuracy of the best under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so its expected predictive risk is no larger; the</w:t>
      </w:r>
      <w:r>
        <w:t xml:space="preserve"> </w:t>
      </w:r>
      <w:r>
        <w:t xml:space="preserve">risk-reduction relative to the common null signal is thus at least as large under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The</w:t>
      </w:r>
      <w:r>
        <w:t xml:space="preserve"> </w:t>
      </w:r>
      <w:r>
        <w:t xml:space="preserve">scalarity is immediate: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</m:oMath>
      <w:r>
        <w:t xml:space="preserve"> </w:t>
      </w:r>
      <w:r>
        <w:t xml:space="preserve">returns a single real number per source, so it induces a total</w:t>
      </w:r>
      <w:r>
        <w:t xml:space="preserve"> </w:t>
      </w:r>
      <w:r>
        <w:t xml:space="preserve">order and, by 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, cannot rank a Blackwell-incomparable pair correctly</w:t>
      </w:r>
      <w:r>
        <w:t xml:space="preserve"> </w:t>
      </w:r>
      <w:r>
        <w:t xml:space="preserve">for all tasks. ◻</w:t>
      </w:r>
    </w:p>
    <w:bookmarkEnd w:id="120"/>
    <w:bookmarkStart w:id="121" w:name="proof-of-proposition-propcertificate"/>
    <w:p>
      <w:pPr>
        <w:pStyle w:val="Heading2"/>
      </w:pPr>
      <w:r>
        <w:t xml:space="preserve">Proof of Proposition </w:t>
      </w:r>
      <w:hyperlink w:anchor="prop:certificate">
        <w:r>
          <w:rPr>
            <w:rStyle w:val="Hyperlink"/>
          </w:rPr>
          <w:t xml:space="preserve">3</w:t>
        </w:r>
      </w:hyperlink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event that all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Clopper–Pearson intervals contain their true proportions.</w:t>
      </w:r>
      <w:r>
        <w:t xml:space="preserve"> </w:t>
      </w:r>
      <w:r>
        <w:t xml:space="preserve">Each interval fails with probability at most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(exact coverage of</w:t>
      </w:r>
      <w:r>
        <w:t xml:space="preserve"> </w:t>
      </w:r>
      <w:r>
        <w:t xml:space="preserve">Clopper–Pearson </w:t>
      </w:r>
      <w:r>
        <w:t xml:space="preserve">(</w:t>
      </w:r>
      <w:hyperlink w:anchor="ref-clopperpearson1934">
        <w:r>
          <w:rPr>
            <w:rStyle w:val="Hyperlink"/>
          </w:rPr>
          <w:t xml:space="preserve">Clopper and Pearson 1934</w:t>
        </w:r>
      </w:hyperlink>
      <w:r>
        <w:t xml:space="preserve">)</w:t>
      </w:r>
      <w:r>
        <w:t xml:space="preserve">), so by the union bound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E</m:t>
            </m:r>
          </m:e>
          <m:sup>
            <m:r>
              <m:t>c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α</m:t>
        </m:r>
        <m:r>
          <m:rPr>
            <m:sty m:val="p"/>
          </m:rPr>
          <m:t>=</m:t>
        </m:r>
        <m:r>
          <m:t>η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On</w:t>
      </w:r>
      <w:r>
        <w:t xml:space="preserve"> </w:t>
      </w:r>
      <m:oMath>
        <m:r>
          <m:t>E</m:t>
        </m:r>
      </m:oMath>
      <w:r>
        <w:t xml:space="preserve">,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have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≤</m:t>
        </m:r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; taking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on both</w:t>
      </w:r>
      <w:r>
        <w:t xml:space="preserve"> </w:t>
      </w:r>
      <w:r>
        <w:t xml:space="preserve">sides,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T</m:t>
            </m:r>
          </m:sub>
        </m:sSub>
        <m:r>
          <m:rPr>
            <m:sty m:val="p"/>
          </m:rPr>
          <m:t>[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≥</m:t>
        </m:r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 Thus on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(probability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) the</w:t>
      </w:r>
      <w:r>
        <w:t xml:space="preserve"> </w:t>
      </w:r>
      <w:r>
        <w:t xml:space="preserve">true sup is at least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 which is the claimed lower confidence bound; if it is positive,</w:t>
      </w:r>
      <w:r>
        <w:t xml:space="preserve"> </w:t>
      </w:r>
      <w:r>
        <w:t xml:space="preserve">the true sup is positive, certifying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The reverse direction uses</w:t>
      </w:r>
      <w:r>
        <w:t xml:space="preserve"> </w:t>
      </w:r>
      <m:oMath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which are endpoints of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intervals already</w:t>
      </w:r>
      <w:r>
        <w:t xml:space="preserve"> </w:t>
      </w:r>
      <w:r>
        <w:t xml:space="preserve">included in</w:t>
      </w:r>
      <w:r>
        <w:t xml:space="preserve"> </w:t>
      </w:r>
      <m:oMath>
        <m:r>
          <m:t>E</m:t>
        </m:r>
      </m:oMath>
      <w:r>
        <w:t xml:space="preserve">; therefore both one-sided certificates are valid on the single event</w:t>
      </w:r>
      <w:r>
        <w:t xml:space="preserve"> </w:t>
      </w:r>
      <m:oMath>
        <m:r>
          <m:t>E</m:t>
        </m:r>
      </m:oMath>
      <w:r>
        <w:t xml:space="preserve">, and their</w:t>
      </w:r>
      <w:r>
        <w:t xml:space="preserve"> </w:t>
      </w:r>
      <w:r>
        <w:t xml:space="preserve">conjunction holds 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without a further Bonferroni factor. ◻</w:t>
      </w:r>
    </w:p>
    <w:bookmarkEnd w:id="121"/>
    <w:bookmarkStart w:id="122" w:name="proof-of-proposition-propinterference"/>
    <w:p>
      <w:pPr>
        <w:pStyle w:val="Heading2"/>
      </w:pPr>
      <w:r>
        <w:t xml:space="preserve">Proof of Proposition </w:t>
      </w:r>
      <w:hyperlink w:anchor="prop:interference">
        <w:r>
          <w:rPr>
            <w:rStyle w:val="Hyperlink"/>
          </w:rPr>
          <w:t xml:space="preserve">4</w:t>
        </w:r>
      </w:hyperlink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The four arms are independent Bernoulli samples (separate completions), so on the intersection of</w:t>
      </w:r>
      <w:r>
        <w:t xml:space="preserve"> </w:t>
      </w:r>
      <w:r>
        <w:t xml:space="preserve">the four Clopper–Pearson events, probability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4</m:t>
        </m:r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by the union</w:t>
      </w:r>
      <w:r>
        <w:t xml:space="preserve"> </w:t>
      </w:r>
      <w:r>
        <w:t xml:space="preserve">bound, each true proportion lies in its interval. Substituting the coverage-respecting endpoint for</w:t>
      </w:r>
      <w:r>
        <w:t xml:space="preserve"> </w:t>
      </w:r>
      <w:r>
        <w:t xml:space="preserve">each term of</w:t>
      </w:r>
      <w:r>
        <w:t xml:space="preserve"> </w:t>
      </w:r>
      <w:hyperlink w:anchor="eq:interference">
        <w:r>
          <w:rPr>
            <w:rStyle w:val="Hyperlink"/>
          </w:rPr>
          <w:t xml:space="preserve">[eq:interference]</w:t>
        </w:r>
      </w:hyperlink>
      <w:r>
        <w:t xml:space="preserve"> </w:t>
      </w:r>
      <w:r>
        <w:t xml:space="preserve">(upper endpoints for the positively-signed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rPr>
                <m:nor/>
                <m:scr m:val="monospace"/>
                <m:sty m:val="p"/>
              </m:rPr>
              <m:t>none</m:t>
            </m:r>
          </m:sub>
        </m:sSub>
      </m:oMath>
      <w:r>
        <w:t xml:space="preserve">, lower endpoints for the negatively-signed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) gives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Ψ</m:t>
                </m:r>
              </m:e>
            </m:ba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 </w:t>
      </w:r>
      <w:r>
        <w:t xml:space="preserve">on that event. For a post-hoc selected cell, replacing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and union-bounding over the</w:t>
      </w:r>
      <w:r>
        <w:t xml:space="preserve"> </w:t>
      </w:r>
      <m:oMath>
        <m:r>
          <m:t>4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endpoints preserves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simultaneous coverage. ◻</w:t>
      </w:r>
    </w:p>
    <w:bookmarkEnd w:id="122"/>
    <w:bookmarkStart w:id="123" w:name="proof-of-theorem-thmantimono"/>
    <w:p>
      <w:pPr>
        <w:pStyle w:val="Heading2"/>
      </w:pPr>
      <w:r>
        <w:t xml:space="preserve">Proof of Theorem </w:t>
      </w:r>
      <w:hyperlink w:anchor="thm:antimono">
        <w:r>
          <w:rPr>
            <w:rStyle w:val="Hyperlink"/>
          </w:rPr>
          <w:t xml:space="preserve">3</w:t>
        </w:r>
      </w:hyperlink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deletion of the extra coordinate (a deterministic garbling,</w:t>
      </w:r>
      <w:r>
        <w:t xml:space="preserve"> </w:t>
      </w:r>
      <w:r>
        <w:t xml:space="preserve">Lemma </w:t>
      </w:r>
      <w:hyperlink w:anchor="lem:noref">
        <w:r>
          <w:rPr>
            <w:rStyle w:val="Hyperlink"/>
          </w:rPr>
          <w:t xml:space="preserve">1</w:t>
        </w:r>
      </w:hyperlink>
      <w:r>
        <w:t xml:space="preserve">(a)). By Theorem </w:t>
      </w:r>
      <w:hyperlink w:anchor="thm:blackwell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any rule whose value respects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weakly improves under the dominating experiment. The hypothesized strict decrease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contradicts monotonicity, so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not Blackwell-coherent. A monotone-submodular scalar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assigns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ϕ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(monotonicity), hence orders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above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cannot reproduce</w:t>
      </w:r>
      <w:r>
        <w:t xml:space="preserve"> </w:t>
      </w:r>
      <w:r>
        <w:t xml:space="preserve">the realized reversal. ◻</w:t>
      </w:r>
    </w:p>
    <w:bookmarkEnd w:id="123"/>
    <w:bookmarkStart w:id="125" w:name="why-a-naive-dkw-bound-fails"/>
    <w:p>
      <w:pPr>
        <w:pStyle w:val="Heading2"/>
      </w:pPr>
      <w:r>
        <w:t xml:space="preserve">Why a naive DKW bound fails</w:t>
      </w:r>
    </w:p>
    <w:bookmarkStart w:id="124" w:name="rem:dkw"/>
    <w:p>
      <w:pPr>
        <w:pStyle w:val="FirstParagraph"/>
      </w:pPr>
      <w:r>
        <w:rPr>
          <w:i/>
          <w:iCs/>
        </w:rPr>
        <w:t xml:space="preserve">Remark 6</w:t>
      </w:r>
      <w:r>
        <w:t xml:space="preserve"> </w:t>
      </w:r>
      <w:r>
        <w:t xml:space="preserve">(Why a naive DKW bound fails).</w:t>
      </w:r>
      <w:r>
        <w:t xml:space="preserve"> </w:t>
      </w:r>
      <w:r>
        <w:t xml:space="preserve"> </w:t>
      </w:r>
      <w:r>
        <w:t xml:space="preserve">The Dvoretzky–Kiefer–Wolfowitz inequality </w:t>
      </w:r>
      <w:r>
        <w:t xml:space="preserve">(</w:t>
      </w:r>
      <w:hyperlink w:anchor="ref-dvoretzky1956">
        <w:r>
          <w:rPr>
            <w:rStyle w:val="Hyperlink"/>
          </w:rPr>
          <w:t xml:space="preserve">Dvoretzky et al. 1956</w:t>
        </w:r>
      </w:hyperlink>
      <w:r>
        <w:t xml:space="preserve">)</w:t>
      </w:r>
      <w:r>
        <w:t xml:space="preserve"> </w:t>
      </w:r>
      <w:r>
        <w:t xml:space="preserve">bounds the sup-deviation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empirical CDF from</w:t>
      </w:r>
      <w:r>
        <w:t xml:space="preserve"> </w:t>
      </w:r>
      <w:r>
        <w:rPr>
          <w:i/>
          <w:iCs/>
        </w:rPr>
        <w:t xml:space="preserve">its own</w:t>
      </w:r>
      <w:r>
        <w:t xml:space="preserve"> </w:t>
      </w:r>
      <w:r>
        <w:t xml:space="preserve">population CDF over a single i.i.d. sample. Our object</w:t>
      </w:r>
      <w:r>
        <w:t xml:space="preserve"> </w:t>
      </w:r>
      <w:r>
        <w:t xml:space="preserve">is different in two ways that DKW does not handle: it is a</w:t>
      </w:r>
      <w:r>
        <w:t xml:space="preserve"> </w:t>
      </w:r>
      <m:oMath>
        <m:r>
          <m:rPr>
            <m:sty m:val="p"/>
          </m:rPr>
          <m:t>max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rPr>
          <w:i/>
          <w:iCs/>
        </w:rPr>
        <w:t xml:space="preserve">differences of</w:t>
      </w:r>
      <w:r>
        <w:rPr>
          <w:i/>
          <w:iCs/>
        </w:rPr>
        <w:t xml:space="preserve"> </w:t>
      </w:r>
      <w:r>
        <w:rPr>
          <w:i/>
          <w:iCs/>
        </w:rPr>
        <w:t xml:space="preserve">two binomial means across distinct cells</w:t>
      </w:r>
      <w:r>
        <w:t xml:space="preserve">, and the</w:t>
      </w:r>
      <w:r>
        <w:t xml:space="preserve"> </w:t>
      </w:r>
      <m:oMath>
        <m:r>
          <m:rPr>
            <m:sty m:val="p"/>
          </m:rPr>
          <m:t>max</m:t>
        </m:r>
      </m:oMath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argmax-gap cell. A</w:t>
      </w:r>
      <w:r>
        <w:t xml:space="preserve"> </w:t>
      </w:r>
      <w:r>
        <w:t xml:space="preserve">single-sample sup inequality neither spans distinct cells nor pays for the selection, so its nominal</w:t>
      </w:r>
      <w:r>
        <w:t xml:space="preserve"> </w:t>
      </w:r>
      <w:r>
        <w:t xml:space="preserve">level under-covers a supremum over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comparisons; the Type-I error grows with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. The</w:t>
      </w:r>
      <w:r>
        <w:t xml:space="preserve"> </w:t>
      </w:r>
      <w:r>
        <w:t xml:space="preserve">multiplicity must be paid explicitly via the union bound (Proposition </w:t>
      </w:r>
      <w:hyperlink w:anchor="prop:certificate">
        <w:r>
          <w:rPr>
            <w:rStyle w:val="Hyperlink"/>
          </w:rPr>
          <w:t xml:space="preserve">3</w:t>
        </w:r>
      </w:hyperlink>
      <w:r>
        <w:t xml:space="preserve">), not</w:t>
      </w:r>
      <w:r>
        <w:t xml:space="preserve"> </w:t>
      </w:r>
      <w:r>
        <w:t xml:space="preserve">absorbed into a single-sample DKW envelope.</w:t>
      </w:r>
    </w:p>
    <w:bookmarkEnd w:id="124"/>
    <w:bookmarkEnd w:id="125"/>
    <w:bookmarkStart w:id="127" w:name="relation-to-llm-evaluation-statistics"/>
    <w:p>
      <w:pPr>
        <w:pStyle w:val="Heading2"/>
      </w:pPr>
      <w:r>
        <w:t xml:space="preserve">Relation to LLM-evaluation statistics</w:t>
      </w:r>
    </w:p>
    <w:bookmarkStart w:id="126" w:name="rem:evalstats"/>
    <w:p>
      <w:pPr>
        <w:pStyle w:val="FirstParagraph"/>
      </w:pPr>
      <w:r>
        <w:rPr>
          <w:i/>
          <w:iCs/>
        </w:rPr>
        <w:t xml:space="preserve">Remark 7</w:t>
      </w:r>
      <w:r>
        <w:t xml:space="preserve"> </w:t>
      </w:r>
      <w:r>
        <w:t xml:space="preserve">(Relation to LLM-evaluation statistics).</w:t>
      </w:r>
      <w:r>
        <w:t xml:space="preserve"> </w:t>
      </w:r>
      <w:r>
        <w:t xml:space="preserve"> </w:t>
      </w:r>
      <w:r>
        <w:t xml:space="preserve">The certificate sits in a small but growing statistical-methodology literature for black-box</w:t>
      </w:r>
      <w:r>
        <w:t xml:space="preserve"> </w:t>
      </w:r>
      <w:r>
        <w:t xml:space="preserve">model evaluation: paired-difference designs and clustered standard errors for</w:t>
      </w:r>
      <w:r>
        <w:t xml:space="preserve"> </w:t>
      </w:r>
      <w:r>
        <w:t xml:space="preserve">evals </w:t>
      </w:r>
      <w:r>
        <w:t xml:space="preserve">(</w:t>
      </w:r>
      <w:hyperlink w:anchor="ref-miller2024errorbars">
        <w:r>
          <w:rPr>
            <w:rStyle w:val="Hyperlink"/>
          </w:rPr>
          <w:t xml:space="preserve">Miller 2024</w:t>
        </w:r>
      </w:hyperlink>
      <w:r>
        <w:t xml:space="preserve">)</w:t>
      </w:r>
      <w:r>
        <w:t xml:space="preserve">, two-sample tests certifying behavioral differences between</w:t>
      </w:r>
      <w:r>
        <w:t xml:space="preserve"> </w:t>
      </w:r>
      <w:r>
        <w:t xml:space="preserve">API-served models </w:t>
      </w:r>
      <w:r>
        <w:t xml:space="preserve">(</w:t>
      </w:r>
      <w:hyperlink w:anchor="ref-gao2024modelequality">
        <w:r>
          <w:rPr>
            <w:rStyle w:val="Hyperlink"/>
          </w:rPr>
          <w:t xml:space="preserve">Gao et al. 2025</w:t>
        </w:r>
      </w:hyperlink>
      <w:r>
        <w:t xml:space="preserve">)</w:t>
      </w:r>
      <w:r>
        <w:t xml:space="preserve">, and the recommendation to prefer exact</w:t>
      </w:r>
      <w:r>
        <w:t xml:space="preserve"> </w:t>
      </w:r>
      <w:r>
        <w:t xml:space="preserve">frequentist intervals over CLT approximations when per-cell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below a few</w:t>
      </w:r>
      <w:r>
        <w:t xml:space="preserve"> </w:t>
      </w:r>
      <w:r>
        <w:t xml:space="preserve">hundred </w:t>
      </w:r>
      <w:r>
        <w:t xml:space="preserve">(</w:t>
      </w:r>
      <w:hyperlink w:anchor="ref-bowyer2025clt">
        <w:r>
          <w:rPr>
            <w:rStyle w:val="Hyperlink"/>
          </w:rPr>
          <w:t xml:space="preserve">Bowyer et al. 2025</w:t>
        </w:r>
      </w:hyperlink>
      <w:r>
        <w:t xml:space="preserve">)</w:t>
      </w:r>
      <w:r>
        <w:t xml:space="preserve">, which is precisely our regime (</w:t>
      </w:r>
      <m:oMath>
        <m:r>
          <m:t>n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20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]</m:t>
        </m:r>
      </m:oMath>
      <w:r>
        <w:t xml:space="preserve"> </w:t>
      </w:r>
      <w:r>
        <w:t xml:space="preserve">per cell) and</w:t>
      </w:r>
      <w:r>
        <w:t xml:space="preserve"> </w:t>
      </w:r>
      <w:r>
        <w:t xml:space="preserve">precisely what the exact Clopper–Pearson construction provides.</w:t>
      </w:r>
    </w:p>
    <w:bookmarkEnd w:id="126"/>
    <w:bookmarkEnd w:id="127"/>
    <w:bookmarkStart w:id="128" w:name="subsec:power"/>
    <w:p>
      <w:pPr>
        <w:pStyle w:val="Heading2"/>
      </w:pPr>
      <w:r>
        <w:t xml:space="preserve">Power and the role of</w:t>
      </w:r>
      <w:r>
        <w:t xml:space="preserve"> </w:t>
      </w:r>
      <m:oMath>
        <m:r>
          <m:t>n</m:t>
        </m:r>
      </m:oMath>
    </w:p>
    <w:p>
      <w:pPr>
        <w:pStyle w:val="FirstParagraph"/>
      </w:pPr>
      <w:r>
        <w:t xml:space="preserve">The asymmetric sample sizes in 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(Opus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certifies incomparability but</w:t>
      </w:r>
      <w:r>
        <w:t xml:space="preserve"> </w:t>
      </w:r>
      <w:r>
        <w:t xml:space="preserve">not interference) are principled, not ad hoc. For a stark cell with empirical proportion at an</w:t>
      </w:r>
      <w:r>
        <w:t xml:space="preserve"> </w:t>
      </w:r>
      <w:r>
        <w:t xml:space="preserve">endpoint (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), the Clopper–Pearson interval collapses to a one-sided bound that</w:t>
      </w:r>
      <w:r>
        <w:t xml:space="preserve"> </w:t>
      </w:r>
      <w:r>
        <w:t xml:space="preserve">clears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small</w:t>
      </w:r>
      <w:r>
        <w:t xml:space="preserve"> </w:t>
      </w:r>
      <m:oMath>
        <m:r>
          <m:t>n</m:t>
        </m:r>
      </m:oMath>
      <w:r>
        <w:t xml:space="preserve">: the incomparability certificate</w:t>
      </w:r>
      <w:r>
        <w:t xml:space="preserve"> </w:t>
      </w:r>
      <w:hyperlink w:anchor="eq:LD">
        <w:r>
          <w:rPr>
            <w:rStyle w:val="Hyperlink"/>
          </w:rPr>
          <w:t xml:space="preserve">[eq:LD]</w:t>
        </w:r>
      </w:hyperlink>
      <w:r>
        <w:t xml:space="preserve"> </w:t>
      </w:r>
      <w:r>
        <w:t xml:space="preserve">is carried by such stark</w:t>
      </w:r>
      <w:r>
        <w:t xml:space="preserve"> </w:t>
      </w:r>
      <w:r>
        <w:t xml:space="preserve">cells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≈</m:t>
        </m:r>
        <m:r>
          <m:t>100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and vice versa),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suffices. The interference</w:t>
      </w:r>
      <w:r>
        <w:t xml:space="preserve"> </w:t>
      </w:r>
      <w:r>
        <w:t xml:space="preserve">certificate</w:t>
      </w:r>
      <w:r>
        <w:t xml:space="preserve"> </w:t>
      </w:r>
      <w:hyperlink w:anchor="eq:psiupper">
        <w:r>
          <w:rPr>
            <w:rStyle w:val="Hyperlink"/>
          </w:rPr>
          <w:t xml:space="preserve">[eq:psiupper]</w:t>
        </w:r>
      </w:hyperlink>
      <w:r>
        <w:t xml:space="preserve"> </w:t>
      </w:r>
      <w:r>
        <w:t xml:space="preserve">mixes a possibly-intermediate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 and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arm; with non-endpoint proportions the intervals are wide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is underpowered. The</w:t>
      </w:r>
      <w:r>
        <w:t xml:space="preserve"> </w:t>
      </w:r>
      <w:r>
        <w:t xml:space="preserve">two certificates therefore have genuinely different effective-</w:t>
      </w:r>
      <m:oMath>
        <m:r>
          <m:t>n</m:t>
        </m:r>
      </m:oMath>
      <w:r>
        <w:t xml:space="preserve"> </w:t>
      </w:r>
      <w:r>
        <w:t xml:space="preserve">requirements, which is why the</w:t>
      </w:r>
      <w:r>
        <w:t xml:space="preserve"> </w:t>
      </w:r>
      <w:r>
        <w:t xml:space="preserve">consolidated record marks Opus incomparability as certified and Opus interference as reproduced but</w:t>
      </w:r>
      <w:r>
        <w:t xml:space="preserve"> </w:t>
      </w:r>
      <w:r>
        <w:t xml:space="preserve">not certified.</w:t>
      </w:r>
    </w:p>
    <w:bookmarkEnd w:id="128"/>
    <w:bookmarkEnd w:id="129"/>
    <w:bookmarkStart w:id="137" w:name="app:record"/>
    <w:p>
      <w:pPr>
        <w:pStyle w:val="Heading1"/>
      </w:pPr>
      <w:r>
        <w:t xml:space="preserve">Extended experimental record</w:t>
      </w:r>
    </w:p>
    <w:bookmarkStart w:id="130" w:name="tab:percell"/>
    <w:p>
      <w:pPr>
        <w:pStyle w:val="TableCaption"/>
      </w:pPr>
      <w:r>
        <w:t xml:space="preserve">Per-cell PASS rates (</w:t>
      </w:r>
      <m:oMath>
        <m:r>
          <m:rPr>
            <m:sty m:val="p"/>
          </m:rPr>
          <m:t>%</m:t>
        </m:r>
      </m:oMath>
      <w:r>
        <w:t xml:space="preserve">) for the carrying cells, by arm. Anthropic rows agentic, others</w:t>
      </w:r>
      <w:r>
        <w:t xml:space="preserve"> </w:t>
      </w:r>
      <w:r>
        <w:t xml:space="preserve">single-shot.</w:t>
      </w:r>
      <w:r>
        <w:t xml:space="preserve"> </w:t>
      </w:r>
      <w:r>
        <w:t xml:space="preserve">“–”</w:t>
      </w:r>
      <w:r>
        <w:t xml:space="preserve"> </w:t>
      </w:r>
      <w:r>
        <w:t xml:space="preserve">marks an arm not in that run. Hardened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(Haiku) lowered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 from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while leaving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ell PASS rates (\%) for the carrying cells, by arm. Anthropic rows agentic, others single-shot. “–” marks an arm not in that run. Hardened api_argorder (Haiku) lowered the none baseline from 40\% to 1\% while leaving W_1 at 100\%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v</m:t>
                  </m:r>
                </m:sup>
              </m:sSub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  <w:r>
              <w:t xml:space="preserve"> </w:t>
            </w:r>
            <w:r>
              <w:t xml:space="preserve">(hard.)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enc_amount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trap_store_wire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trap_store_wire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trap_store_wire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enc_amount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trap_store_wire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trap_store_wire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trap_store_wire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</w:tbl>
    <w:bookmarkEnd w:id="130"/>
    <w:bookmarkStart w:id="136" w:name="generality-and-controls-full-protocols"/>
    <w:p>
      <w:pPr>
        <w:pStyle w:val="Heading2"/>
      </w:pPr>
      <w:r>
        <w:t xml:space="preserve">Generality and controls: full protocols</w:t>
      </w:r>
    </w:p>
    <w:p>
      <w:pPr>
        <w:pStyle w:val="FirstParagraph"/>
      </w:pPr>
      <w:r>
        <w:t xml:space="preserve">Five follow-up experiments address four threat axes directly: source-pair</w:t>
      </w:r>
      <w:r>
        <w:t xml:space="preserve"> </w:t>
      </w:r>
      <w:r>
        <w:t xml:space="preserve">generality, the agentic-harness confound, the context-length confound, and whether the</w:t>
      </w:r>
      <w:r>
        <w:t xml:space="preserve"> </w:t>
      </w:r>
      <w:r>
        <w:t xml:space="preserve">anti-monotonicity collapse is curable by cheap prompting.</w:t>
      </w:r>
    </w:p>
    <w:bookmarkStart w:id="131" w:name="Xfd2ce319a26faa67e0eadf0fee657d728019446"/>
    <w:p>
      <w:pPr>
        <w:pStyle w:val="Heading4"/>
      </w:pPr>
      <w:r>
        <w:t xml:space="preserve">A second incomparable pair, different domain.</w:t>
      </w:r>
    </w:p>
    <w:p>
      <w:pPr>
        <w:pStyle w:val="FirstParagraph"/>
      </w:pPr>
      <w:r>
        <w:t xml:space="preserve">We repeated the protocol with a second hand-built pair on a private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 </w:t>
      </w:r>
      <w:r>
        <w:t xml:space="preserve">module: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the</w:t>
      </w:r>
      <w:r>
        <w:t xml:space="preserve"> </w:t>
      </w:r>
      <w:r>
        <w:rPr>
          <w:rStyle w:val="VerbatimChar"/>
        </w:rPr>
        <w:t xml:space="preserve">cache.put(key, value, *, ttl)</w:t>
      </w:r>
      <w:r>
        <w:t xml:space="preserve"> </w:t>
      </w:r>
      <w:r>
        <w:t xml:space="preserve">call contract (argument order, required keyword-only</w:t>
      </w:r>
      <w:r>
        <w:t xml:space="preserve"> </w:t>
      </w:r>
      <w:r>
        <w:rPr>
          <w:rStyle w:val="VerbatimChar"/>
        </w:rPr>
        <w:t xml:space="preserve">ttl</w:t>
      </w:r>
      <w:r>
        <w:t xml:space="preserve">, a True/False</w:t>
      </w:r>
      <w:r>
        <w:t xml:space="preserve"> </w:t>
      </w:r>
      <w:r>
        <w:t xml:space="preserve">“newly inserted”</w:t>
      </w:r>
      <w:r>
        <w:t xml:space="preserve"> </w:t>
      </w:r>
      <w:r>
        <w:t xml:space="preserve">flag, a</w:t>
      </w:r>
      <w:r>
        <w:t xml:space="preserve"> </w:t>
      </w:r>
      <w:r>
        <w:rPr>
          <w:rStyle w:val="VerbatimChar"/>
        </w:rPr>
        <w:t xml:space="preserve">CacheError</w:t>
      </w:r>
      <w:r>
        <w:t xml:space="preserve"> </w:t>
      </w:r>
      <w:r>
        <w:t xml:space="preserve">type), versus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a</w:t>
      </w:r>
      <w:r>
        <w:t xml:space="preserve"> </w:t>
      </w:r>
      <w:r>
        <w:t xml:space="preserve">key-normalization invariant (a fixed</w:t>
      </w:r>
      <w:r>
        <w:t xml:space="preserve"> </w:t>
      </w:r>
      <w:r>
        <w:rPr>
          <w:rStyle w:val="VerbatimChar"/>
        </w:rPr>
        <w:t xml:space="preserve">kx7-</w:t>
      </w:r>
      <w:r>
        <w:t xml:space="preserve"> </w:t>
      </w:r>
      <w:r>
        <w:t xml:space="preserve">namespace prefix and an underscore rule). On Haiku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pair is again certified incomparable 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0.774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0.496</m:t>
        </m:r>
      </m:oMath>
      <w:r>
        <w:t xml:space="preserve">, both directions clear</w:t>
      </w:r>
      <w:r>
        <w:t xml:space="preserve"> </w:t>
      </w:r>
      <w:r>
        <w:t xml:space="preserve">of zero) with a clean double crossover (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solves the contract and trap cells,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solves</w:t>
      </w:r>
      <w:r>
        <w:t xml:space="preserve"> </w:t>
      </w:r>
      <w:r>
        <w:t xml:space="preserve">key-normalization, all none-baselines floor 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), and the dominance control again certifies</w:t>
      </w:r>
      <w:r>
        <w:t xml:space="preserve"> </w:t>
      </w:r>
      <w:r>
        <w:t xml:space="preserve">one-directionally. Anti-monotonicity reproduces in direction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(the superset collapses the</w:t>
      </w:r>
      <w:r>
        <w:t xml:space="preserve"> </w:t>
      </w:r>
      <w:r>
        <w:t xml:space="preserve">contract cell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28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0.53</m:t>
        </m:r>
      </m:oMath>
      <w:r>
        <w:t xml:space="preserve">); re-running the four arms of the contract cell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shows the collapse is stable (</w:t>
      </w:r>
      <m:oMath>
        <m:r>
          <m:t>80</m:t>
        </m:r>
        <m:r>
          <m:rPr>
            <m:sty m:val="p"/>
          </m:rPr>
          <m:t>%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29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0.51</m:t>
        </m:r>
      </m:oMath>
      <w:r>
        <w:t xml:space="preserve">) with Clopper–Pearson upper</w:t>
      </w:r>
      <w:r>
        <w:t xml:space="preserve"> </w:t>
      </w:r>
      <w:r>
        <w:t xml:space="preserve">bound</w:t>
      </w:r>
      <w:r>
        <w:t xml:space="preserve"> </w:t>
      </w:r>
      <m:oMath>
        <m:r>
          <m:rPr>
            <m:sty m:val="p"/>
          </m:rPr>
          <m:t>−</m:t>
        </m:r>
        <m:r>
          <m:t>0.21</m:t>
        </m:r>
      </m:oMath>
      <w:r>
        <w:t xml:space="preserve">, which certifies</w:t>
      </w:r>
      <w:r>
        <w:t xml:space="preserve"> </w:t>
      </w:r>
      <w:r>
        <w:rPr>
          <w:i/>
          <w:iCs/>
        </w:rPr>
        <w:t xml:space="preserve">strictly negative</w:t>
      </w:r>
      <w:r>
        <w:t xml:space="preserve"> </w:t>
      </w:r>
      <w:r>
        <w:t xml:space="preserve">interference 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) but</w:t>
      </w:r>
      <w:r>
        <w:t xml:space="preserve"> </w:t>
      </w:r>
      <w:r>
        <w:t xml:space="preserve">does not clear the pre-registered magnitude margin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: the binding constraint is the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ceiling itself (</w:t>
      </w:r>
      <m:oMath>
        <m:r>
          <m:t>80</m:t>
        </m:r>
        <m:r>
          <m:rPr>
            <m:sty m:val="p"/>
          </m:rPr>
          <m:t>%</m:t>
        </m:r>
      </m:oMath>
      <w:r>
        <w:t xml:space="preserve">, versus pair-1’s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sty m:val="p"/>
          </m:rPr>
          <m:t>%</m:t>
        </m:r>
      </m:oMath>
      <w:r>
        <w:t xml:space="preserve">), which keeps the four-term bound wide</w:t>
      </w:r>
      <w:r>
        <w:t xml:space="preserve"> </w:t>
      </w:r>
      <w:r>
        <w:t xml:space="preserve">regardless of</w:t>
      </w:r>
      <w:r>
        <w:t xml:space="preserve"> </w:t>
      </w:r>
      <m:oMath>
        <m:r>
          <m:t>n</m:t>
        </m:r>
      </m:oMath>
      <w:r>
        <w:t xml:space="preserve">. We report pair-2 interference as a certified sign, not a certified magnitude.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run also strengthens the dominance control to a fully certified one-directional dominance</w:t>
      </w:r>
      <w:r>
        <w:t xml:space="preserve"> </w:t>
      </w:r>
      <w:r>
        <w:t xml:space="preserve">(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0.000</m:t>
        </m:r>
      </m:oMath>
      <w:r>
        <w:t xml:space="preserve"> </w:t>
      </w:r>
      <w:r>
        <w:t xml:space="preserve">with a certified strict win). The relevance trap for this pair was a</w:t>
      </w:r>
      <w:r>
        <w:t xml:space="preserve"> </w:t>
      </w:r>
      <w:r>
        <w:t xml:space="preserve">null, its prompt vocabulary leaned toward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φ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0.39</m:t>
        </m:r>
        <m:r>
          <m:rPr>
            <m:sty m:val="p"/>
          </m:rPr>
          <m:t>&gt;</m:t>
        </m:r>
        <m:r>
          <m:t>φ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), so</w:t>
      </w:r>
      <w:r>
        <w:t xml:space="preserve"> </w:t>
      </w:r>
      <w:r>
        <w:t xml:space="preserve">relevance</w:t>
      </w:r>
      <w:r>
        <w:t xml:space="preserve"> </w:t>
      </w:r>
      <w:r>
        <w:rPr>
          <w:i/>
          <w:iCs/>
        </w:rPr>
        <w:t xml:space="preserve">agreed</w:t>
      </w:r>
      <w:r>
        <w:t xml:space="preserve"> </w:t>
      </w:r>
      <w:r>
        <w:t xml:space="preserve">with PASS, so the strong mis-rank remains a pair-1 result. The contribution of</w:t>
      </w:r>
      <w:r>
        <w:t xml:space="preserve"> </w:t>
      </w:r>
      <w:r>
        <w:t xml:space="preserve">the second pair is therefore</w:t>
      </w:r>
      <w:r>
        <w:t xml:space="preserve"> </w:t>
      </w:r>
      <w:r>
        <w:rPr>
          <w:i/>
          <w:iCs/>
        </w:rPr>
        <w:t xml:space="preserve">generality of the incomparability and dominance results to a new</w:t>
      </w:r>
      <w:r>
        <w:rPr>
          <w:i/>
          <w:iCs/>
        </w:rPr>
        <w:t xml:space="preserve"> </w:t>
      </w:r>
      <w:r>
        <w:rPr>
          <w:i/>
          <w:iCs/>
        </w:rPr>
        <w:t xml:space="preserve">domain</w:t>
      </w:r>
      <w:r>
        <w:t xml:space="preserve">, not a second mis-rank.</w:t>
      </w:r>
    </w:p>
    <w:bookmarkEnd w:id="131"/>
    <w:bookmarkStart w:id="132" w:name="single-shot-breaks-the-harness-confound."/>
    <w:p>
      <w:pPr>
        <w:pStyle w:val="Heading4"/>
      </w:pPr>
      <w:r>
        <w:t xml:space="preserve">Single-shot breaks the harness confound.</w:t>
      </w:r>
    </w:p>
    <w:p>
      <w:pPr>
        <w:pStyle w:val="FirstParagraph"/>
      </w:pPr>
      <w:r>
        <w:t xml:space="preserve">To separate vendor from harness, we ran an Anthropic model (Haiku) in</w:t>
      </w:r>
      <w:r>
        <w:t xml:space="preserve"> </w:t>
      </w:r>
      <w:r>
        <w:rPr>
          <w:i/>
          <w:iCs/>
        </w:rPr>
        <w:t xml:space="preserve">single-shot completion</w:t>
      </w:r>
      <w:r>
        <w:t xml:space="preserve"> </w:t>
      </w:r>
      <w:r>
        <w:t xml:space="preserve">mode, one turn, no tools, code extracted from the returned text, the same regime as the non-Anthropic</w:t>
      </w:r>
      <w:r>
        <w:t xml:space="preserve"> </w:t>
      </w:r>
      <w:r>
        <w:t xml:space="preserve">models.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core results survive the non-agentic harness: incomparability is certified</w:t>
      </w:r>
      <w:r>
        <w:t xml:space="preserve"> </w:t>
      </w:r>
      <w:r>
        <w:t xml:space="preserve">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0.762</m:t>
        </m:r>
      </m:oMath>
      <w:r>
        <w:t xml:space="preserve"> </w:t>
      </w:r>
      <w:r>
        <w:t xml:space="preserve">both directions), the relevance mis-rank reproduces (trap PASS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vs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), the dominance control certifies, and anti-monotonicity is certified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0.93</m:t>
        </m:r>
      </m:oMath>
      <w:r>
        <w:t xml:space="preserve">, upper bound</w:t>
      </w:r>
      <w:r>
        <w:t xml:space="preserve"> </w:t>
      </w:r>
      <m:oMath>
        <m:r>
          <m:rPr>
            <m:sty m:val="p"/>
          </m:rPr>
          <m:t>−</m:t>
        </m:r>
        <m:r>
          <m:t>0.56</m:t>
        </m:r>
      </m:oMath>
      <w:r>
        <w:t xml:space="preserve">). The one regime-dependent quantity is</w:t>
      </w:r>
      <w:r>
        <w:t xml:space="preserve"> </w:t>
      </w:r>
      <w:r>
        <w:t xml:space="preserve">absolute execution reliability: single-shot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rescue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is</w:t>
      </w:r>
      <w:r>
        <w:t xml:space="preserve"> </w:t>
      </w:r>
      <m:oMath>
        <m:r>
          <m:t>52</m:t>
        </m:r>
        <m:r>
          <m:rPr>
            <m:sty m:val="p"/>
          </m:rPr>
          <m:t>%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 </w:t>
      </w:r>
      <w:r>
        <w:t xml:space="preserve">agentic (no retries to self-correct), so that cell’s interference does not certify single-shot</w:t>
      </w:r>
      <w:r>
        <w:t xml:space="preserve"> </w:t>
      </w:r>
      <w:r>
        <w:t xml:space="preserve">while its order-theoretic claims do. The order-theoretic findings, certified incomparability, relevance</w:t>
      </w:r>
      <w:r>
        <w:t xml:space="preserve"> </w:t>
      </w:r>
      <w:r>
        <w:t xml:space="preserve">mis-rank, dominance, and at least one certified interference cell, are therefore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artifacts of</w:t>
      </w:r>
      <w:r>
        <w:t xml:space="preserve"> </w:t>
      </w:r>
      <w:r>
        <w:t xml:space="preserve">the agentic harness.</w:t>
      </w:r>
    </w:p>
    <w:bookmarkEnd w:id="132"/>
    <w:bookmarkStart w:id="133" w:name="a-length-matched-padding-control."/>
    <w:p>
      <w:pPr>
        <w:pStyle w:val="Heading4"/>
      </w:pPr>
      <w:r>
        <w:t xml:space="preserve">A length-matched padding control.</w:t>
      </w:r>
    </w:p>
    <w:p>
      <w:pPr>
        <w:pStyle w:val="FirstParagraph"/>
      </w:pPr>
      <w:r>
        <w:t xml:space="preserve">Anti-monotonicity compares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against the strictly longer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and added input length alone</w:t>
      </w:r>
      <w:r>
        <w:t xml:space="preserve"> </w:t>
      </w:r>
      <w:r>
        <w:t xml:space="preserve">is known to degrade performance </w:t>
      </w:r>
      <w:r>
        <w:t xml:space="preserve">(</w:t>
      </w:r>
      <w:hyperlink w:anchor="ref-contexthurts2025">
        <w:r>
          <w:rPr>
            <w:rStyle w:val="Hyperlink"/>
          </w:rPr>
          <w:t xml:space="preserve">Du et al. 2025</w:t>
        </w:r>
      </w:hyperlink>
      <w:r>
        <w:t xml:space="preserve">)</w:t>
      </w:r>
      <w:r>
        <w:t xml:space="preserve">, so the collapse could in principle be a</w:t>
      </w:r>
      <w:r>
        <w:t xml:space="preserve"> </w:t>
      </w:r>
      <w:r>
        <w:t xml:space="preserve">token-count effect rather than a signal effect. To isolate this we added a padding arm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: filler text in the same</w:t>
      </w:r>
      <w:r>
        <w:t xml:space="preserve"> </w:t>
      </w:r>
      <w:r>
        <w:t xml:space="preserve">“team context (private)”</w:t>
      </w:r>
      <w:r>
        <w:t xml:space="preserve"> </w:t>
      </w:r>
      <w:r>
        <w:t xml:space="preserve">register as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placed in</w:t>
      </w:r>
      <w:r>
        <w:t xml:space="preserve"> </w:t>
      </w:r>
      <w:r>
        <w:t xml:space="preserve">the same position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occupies in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(padding first,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last), character-matched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within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characters, but carrying no coordinate any verifier checks (office-logistics</w:t>
      </w:r>
      <w:r>
        <w:t xml:space="preserve"> </w:t>
      </w:r>
      <w:r>
        <w:t xml:space="preserve">content). On single-shot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on the two collapse cells, padding is free while the</w:t>
      </w:r>
      <w:r>
        <w:t xml:space="preserve"> </w:t>
      </w:r>
      <w:r>
        <w:t xml:space="preserve">equal-length dominated signal is catastrophic: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;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m:oMath>
        <m:r>
          <m:t>65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; and the same-run interference certificate clears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0.82</m:t>
        </m:r>
      </m:oMath>
      <w:r>
        <w:t xml:space="preserve">, upper bound</w:t>
      </w:r>
      <w:r>
        <w:t xml:space="preserve"> </w:t>
      </w:r>
      <m:oMath>
        <m:r>
          <m:rPr>
            <m:sty m:val="p"/>
          </m:rPr>
          <m:t>−</m:t>
        </m:r>
        <m:r>
          <m:t>0.41</m:t>
        </m:r>
      </m:oMath>
      <w:r>
        <w:t xml:space="preserve">). The anti-monotonicity harm is therefore</w:t>
      </w:r>
      <w:r>
        <w:t xml:space="preserve"> </w:t>
      </w:r>
      <w:r>
        <w:t xml:space="preserve">attributable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content interacting with the fixed rule, not to added tokens. One</w:t>
      </w:r>
      <w:r>
        <w:t xml:space="preserve"> </w:t>
      </w:r>
      <w:r>
        <w:t xml:space="preserve">residual axis is not isolated by this control: the padding is off-topic for the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on-topic, so</w:t>
      </w:r>
      <w:r>
        <w:t xml:space="preserve"> </w:t>
      </w:r>
      <w:r>
        <w:t xml:space="preserve">“topical but verifier-irrelevant”</w:t>
      </w:r>
      <w:r>
        <w:t xml:space="preserve"> </w:t>
      </w:r>
      <w:r>
        <w:t xml:space="preserve">text remains a smaller,</w:t>
      </w:r>
      <w:r>
        <w:t xml:space="preserve"> </w:t>
      </w:r>
      <w:r>
        <w:t xml:space="preserve">untested middle case.</w:t>
      </w:r>
    </w:p>
    <w:bookmarkEnd w:id="133"/>
    <w:bookmarkStart w:id="134" w:name="Xd508a319e40f775fe4906e106ed6a92e07fd05b"/>
    <w:p>
      <w:pPr>
        <w:pStyle w:val="Heading4"/>
      </w:pPr>
      <w:r>
        <w:t xml:space="preserve">A routing-instruction ablation: the cure presupposes the diagnosis.</w:t>
      </w:r>
    </w:p>
    <w:p>
      <w:pPr>
        <w:pStyle w:val="FirstParagraph"/>
      </w:pPr>
      <w:r>
        <w:t xml:space="preserve">If the collapse reflects convention confusion, an explicit routing note might prevent it, and if a</w:t>
      </w:r>
      <w:r>
        <w:t xml:space="preserve"> </w:t>
      </w:r>
      <w:r>
        <w:t xml:space="preserve">one-line prompt fully cured the harm, its practical significance would shrink. We measured this</w:t>
      </w:r>
      <w:r>
        <w:t xml:space="preserve"> </w:t>
      </w:r>
      <w:r>
        <w:t xml:space="preserve">directly: the arm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</m:sup>
        </m:sSubSup>
      </m:oMath>
      <w:r>
        <w:t xml:space="preserve"> </w:t>
      </w:r>
      <w:r>
        <w:t xml:space="preserve">appends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 single routing sentence stating</w:t>
      </w:r>
      <w:r>
        <w:t xml:space="preserve"> </w:t>
      </w:r>
      <w:r>
        <w:t xml:space="preserve">which convention serves which task family (</w:t>
      </w:r>
      <w:r>
        <w:t xml:space="preserve">“for tasks that call the ledger API use only the API</w:t>
      </w:r>
      <w:r>
        <w:t xml:space="preserve"> </w:t>
      </w:r>
      <w:r>
        <w:t xml:space="preserve">call contract; the wire-encoding invariant applies only to encode/decode tasks”</w:t>
      </w:r>
      <w:r>
        <w:t xml:space="preserve">). On single-shot</w:t>
      </w:r>
      <w:r>
        <w:t xml:space="preserve"> </w:t>
      </w:r>
      <w:r>
        <w:t xml:space="preserve">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instruction recovers most, but not all, of the collapse: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alone: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), and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m:oMath>
        <m:r>
          <m:t>22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68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alone:</w:t>
      </w:r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); both recoveries over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are large (non-overlapping</w:t>
      </w:r>
      <w:r>
        <w:t xml:space="preserve"> </w:t>
      </w:r>
      <w:r>
        <w:t xml:space="preserve">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intervals), while the residual gap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 the carrying cell (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100</m:t>
        </m:r>
        <m:r>
          <m:rPr>
            <m:sty m:val="p"/>
          </m:rPr>
          <m:t>%</m:t>
        </m:r>
      </m:oMath>
      <w:r>
        <w:t xml:space="preserve">, intervals</w:t>
      </w:r>
      <w:r>
        <w:t xml:space="preserve"> </w:t>
      </w:r>
      <m:oMath>
        <m:r>
          <m:rPr>
            <m:sty m:val="p"/>
          </m:rPr>
          <m:t>[</m:t>
        </m:r>
        <m:r>
          <m:t>0.62</m:t>
        </m:r>
        <m:r>
          <m:rPr>
            <m:sty m:val="p"/>
          </m:rPr>
          <m:t>,</m:t>
        </m:r>
        <m:r>
          <m:t>0.92</m:t>
        </m:r>
        <m:r>
          <m:rPr>
            <m:sty m:val="p"/>
          </m:rPr>
          <m:t>]</m:t>
        </m:r>
      </m:oMath>
      <w:r>
        <w:t xml:space="preserve"> </w:t>
      </w:r>
      <w:r>
        <w:t xml:space="preserve">vs. </w:t>
      </w:r>
      <m:oMath>
        <m:r>
          <m:rPr>
            <m:sty m:val="p"/>
          </m:rPr>
          <m:t>[</m:t>
        </m:r>
        <m:r>
          <m:t>0.90</m:t>
        </m:r>
        <m:r>
          <m:rPr>
            <m:sty m:val="p"/>
          </m:rPr>
          <m:t>,</m:t>
        </m:r>
        <m:r>
          <m:t>1.00</m:t>
        </m:r>
        <m:r>
          <m:rPr>
            <m:sty m:val="p"/>
          </m:rPr>
          <m:t>]</m:t>
        </m:r>
      </m:oMath>
      <w:r>
        <w:t xml:space="preserve">) is directional but not separated at</w:t>
      </w:r>
      <w:r>
        <w:t xml:space="preserve"> </w:t>
      </w:r>
      <w:r>
        <w:t xml:space="preserve">this</w:t>
      </w:r>
      <w:r>
        <w:t xml:space="preserve"> </w:t>
      </w:r>
      <m:oMath>
        <m:r>
          <m:t>n</m:t>
        </m:r>
      </m:oMath>
      <w:r>
        <w:t xml:space="preserve">. We pre-commit to the two readings jointly. First, the harm is substantially mediated by</w:t>
      </w:r>
      <w:r>
        <w:t xml:space="preserve"> </w:t>
      </w:r>
      <w:r>
        <w:t xml:space="preserve">convention interference that explicit routing knowledge prevents, so pipelines that can attach</w:t>
      </w:r>
      <w:r>
        <w:t xml:space="preserve"> </w:t>
      </w:r>
      <w:r>
        <w:t xml:space="preserve">per-task routing labels have a cheap mitigation. Second, and decisively for the paper’s thesis:</w:t>
      </w:r>
      <w:r>
        <w:t xml:space="preserve"> </w:t>
      </w:r>
      <w:r>
        <w:rPr>
          <w:i/>
          <w:iCs/>
        </w:rPr>
        <w:t xml:space="preserve">writing the routing sentence requires already knowing which source is decisive for which</w:t>
      </w:r>
      <w:r>
        <w:rPr>
          <w:i/>
          <w:iCs/>
        </w:rPr>
        <w:t xml:space="preserve"> </w:t>
      </w:r>
      <w:r>
        <w:rPr>
          <w:i/>
          <w:iCs/>
        </w:rPr>
        <w:t xml:space="preserve">task family</w:t>
      </w:r>
      <w:r>
        <w:t xml:space="preserve">, which is precisely the coordinate structure the partial order formalizes and</w:t>
      </w:r>
      <w:r>
        <w:t xml:space="preserve"> </w:t>
      </w:r>
      <w:r>
        <w:t xml:space="preserve">the deficiency certificate measures; the cure is an injection of selection-time coordinate knowledge</w:t>
      </w:r>
      <w:r>
        <w:t xml:space="preserve"> </w:t>
      </w:r>
      <w:r>
        <w:t xml:space="preserve">into the prompt, not a scalar score, and no query-independent scalar can supply it</w:t>
      </w:r>
      <w:r>
        <w:t xml:space="preserve"> </w:t>
      </w:r>
      <w:r>
        <w:t xml:space="preserve">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). Formally,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the routing note is a</w:t>
      </w:r>
      <w:r>
        <w:t xml:space="preserve"> </w:t>
      </w:r>
      <w:r>
        <w:rPr>
          <w:i/>
          <w:iCs/>
        </w:rPr>
        <w:t xml:space="preserve">different, more Blackwell-coherent rule</w:t>
      </w:r>
      <w:r>
        <w:t xml:space="preserve">; the certified falsification of</w:t>
      </w:r>
      <w:r>
        <w:t xml:space="preserve"> </w:t>
      </w:r>
      <w:r>
        <w:t xml:space="preserve">Theorem </w:t>
      </w:r>
      <w:hyperlink w:anchor="thm:antimono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concerns the base rule and is unaffected, and even under the</w:t>
      </w:r>
      <w:r>
        <w:t xml:space="preserve"> </w:t>
      </w:r>
      <w:r>
        <w:t xml:space="preserve">instructed rule, keeping the dominated signal is at best equal and directionally worse than</w:t>
      </w:r>
      <w:r>
        <w:t xml:space="preserve"> </w:t>
      </w:r>
      <w:r>
        <w:t xml:space="preserve">dropping it, so the selection-level conclusion, keep the non-dominated set rather than forcing</w:t>
      </w:r>
      <w:r>
        <w:t xml:space="preserve"> </w:t>
      </w:r>
      <w:r>
        <w:t xml:space="preserve">the superset, survives the ablation intact.</w:t>
      </w:r>
    </w:p>
    <w:bookmarkEnd w:id="134"/>
    <w:bookmarkStart w:id="135" w:name="X9488de75bf9879d7a0599574b61e9ffd4996347"/>
    <w:p>
      <w:pPr>
        <w:pStyle w:val="Heading4"/>
      </w:pPr>
      <w:r>
        <w:t xml:space="preserve">A structured-context ablation: segmentation is not the bottleneck.</w:t>
      </w:r>
    </w:p>
    <w:p>
      <w:pPr>
        <w:pStyle w:val="FirstParagraph"/>
      </w:pPr>
      <w:r>
        <w:t xml:space="preserve">To separate</w:t>
      </w:r>
      <w:r>
        <w:t xml:space="preserve"> </w:t>
      </w:r>
      <w:r>
        <w:t xml:space="preserve">“the model cannot segment the two conventions”</w:t>
      </w:r>
      <w:r>
        <w:t xml:space="preserve"> </w:t>
      </w:r>
      <w:r>
        <w:t xml:space="preserve">from</w:t>
      </w:r>
      <w:r>
        <w:t xml:space="preserve"> </w:t>
      </w:r>
      <w:r>
        <w:t xml:space="preserve">“the model cannot route them</w:t>
      </w:r>
      <w:r>
        <w:t xml:space="preserve"> </w:t>
      </w:r>
      <w:r>
        <w:t xml:space="preserve">to task families,”</w:t>
      </w:r>
      <w:r>
        <w:t xml:space="preserve"> </w:t>
      </w:r>
      <w:r>
        <w:t xml:space="preserve">the arm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x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sup>
        </m:sSubSup>
      </m:oMath>
      <w:r>
        <w:t xml:space="preserve"> </w:t>
      </w:r>
      <w:r>
        <w:t xml:space="preserve">wraps the same two conventions, in the same</w:t>
      </w:r>
      <w:r>
        <w:t xml:space="preserve"> </w:t>
      </w:r>
      <w:r>
        <w:t xml:space="preserve">order as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in labeled XML sections (</w:t>
      </w:r>
      <w:r>
        <w:rPr>
          <w:rStyle w:val="VerbatimChar"/>
        </w:rPr>
        <w:t xml:space="preserve">&lt;wire_encoding_invariant&gt;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&lt;api_call_contract&gt;</w:t>
      </w:r>
      <w:r>
        <w:t xml:space="preserve">) with no routing statement. On single-shot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cell, structure alone mitigates weakly: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42</m:t>
        </m:r>
        <m:r>
          <m:rPr>
            <m:sty m:val="p"/>
          </m:rPr>
          <m:t>%</m:t>
        </m:r>
      </m:oMath>
      <w:r>
        <w:t xml:space="preserve"> </w:t>
      </w:r>
      <w:r>
        <w:t xml:space="preserve">(vs. 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</m:sup>
        </m:sSubSup>
      </m:oMath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 and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(vs. </w:t>
      </w:r>
      <m:oMath>
        <m:r>
          <m:t>12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68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57</m:t>
        </m:r>
        <m:r>
          <m:rPr>
            <m:sty m:val="p"/>
          </m:rPr>
          <m:t>%</m:t>
        </m:r>
      </m:oMath>
      <w:r>
        <w:t xml:space="preserve">). The structure-only mitigation is separated from the raw superset on the carrying</w:t>
      </w:r>
      <w:r>
        <w:t xml:space="preserve"> </w:t>
      </w:r>
      <w:r>
        <w:t xml:space="preserve">cell (exact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</w:t>
      </w:r>
      <w:r>
        <w:t xml:space="preserve"> </w:t>
      </w:r>
      <m:oMath>
        <m:r>
          <m:rPr>
            <m:sty m:val="p"/>
          </m:rPr>
          <m:t>[</m:t>
        </m:r>
        <m:r>
          <m:t>0.27</m:t>
        </m:r>
        <m:r>
          <m:rPr>
            <m:sty m:val="p"/>
          </m:rPr>
          <m:t>,</m:t>
        </m:r>
        <m:r>
          <m:t>0.59</m:t>
        </m:r>
        <m:r>
          <m:rPr>
            <m:sty m:val="p"/>
          </m:rPr>
          <m:t>]</m:t>
        </m:r>
      </m:oMath>
      <w:r>
        <w:t xml:space="preserve"> </w:t>
      </w:r>
      <w:r>
        <w:t xml:space="preserve">vs. </w:t>
      </w:r>
      <m:oMath>
        <m:r>
          <m:rPr>
            <m:sty m:val="p"/>
          </m:rPr>
          <m:t>[</m:t>
        </m:r>
        <m:r>
          <m:t>0.001</m:t>
        </m:r>
        <m:r>
          <m:rPr>
            <m:sty m:val="p"/>
          </m:rPr>
          <m:t>,</m:t>
        </m:r>
        <m:r>
          <m:t>0.13</m:t>
        </m:r>
        <m:r>
          <m:rPr>
            <m:sty m:val="p"/>
          </m:rPr>
          <m:t>]</m:t>
        </m:r>
      </m:oMath>
      <w:r>
        <w:t xml:space="preserve">) but remains far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alone;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it is not separated from the raw superset. Protocol note: the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x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sup>
        </m:sSubSup>
      </m:oMath>
      <w:r>
        <w:t xml:space="preserve"> </w:t>
      </w:r>
      <w:r>
        <w:t xml:space="preserve">arm was measured in a clean arm-only re-run (its arm in the first run was</w:t>
      </w:r>
      <w:r>
        <w:t xml:space="preserve"> </w:t>
      </w:r>
      <w:r>
        <w:t xml:space="preserve">invalidated by a transport-failure window and scored no completions; the re-run had zero</w:t>
      </w:r>
      <w:r>
        <w:t xml:space="preserve"> </w:t>
      </w:r>
      <w:r>
        <w:t xml:space="preserve">transport errors), so its comparison against same-day baseline arms is across runs rather than</w:t>
      </w:r>
      <w:r>
        <w:t xml:space="preserve"> </w:t>
      </w:r>
      <w:r>
        <w:t xml:space="preserve">within one run. The resulting mitigation hierarchy, raw superset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structure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routing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dropping the dominated signal, locates the failure in convention-to-task routing.</w:t>
      </w:r>
    </w:p>
    <w:bookmarkEnd w:id="135"/>
    <w:bookmarkEnd w:id="136"/>
    <w:bookmarkEnd w:id="137"/>
    <w:bookmarkStart w:id="223" w:name="app:repro"/>
    <w:p>
      <w:pPr>
        <w:pStyle w:val="Heading1"/>
      </w:pPr>
      <w:r>
        <w:t xml:space="preserve">Reproducibility and protocol</w:t>
      </w:r>
    </w:p>
    <w:p>
      <w:pPr>
        <w:pStyle w:val="FirstParagraph"/>
      </w:pPr>
      <w:r>
        <w:t xml:space="preserve">All reported numbers come from real model calls whose outputs are checked by executable verifiers; there</w:t>
      </w:r>
      <w:r>
        <w:t xml:space="preserve"> </w:t>
      </w:r>
      <w:r>
        <w:t xml:space="preserve">are no modeled or aspirational figures. The complete artifact bundle—the measurement harness, the</w:t>
      </w:r>
      <w:r>
        <w:t xml:space="preserve"> </w:t>
      </w:r>
      <w:r>
        <w:t xml:space="preserve">executable verifiers, and every per-model run log and result JSON cited below—is available at</w:t>
      </w:r>
      <w:r>
        <w:t xml:space="preserve"> </w:t>
      </w:r>
      <w:hyperlink r:id="rId71">
        <w:r>
          <w:rPr>
            <w:rStyle w:val="Hyperlink"/>
          </w:rPr>
          <w:t xml:space="preserve">https://github.com/abilous-ti/blackwell-llm-context</w:t>
        </w:r>
      </w:hyperlink>
      <w:r>
        <w:t xml:space="preserve">. The harness (</w:t>
      </w:r>
      <w:r>
        <w:rPr>
          <w:rStyle w:val="VerbatimChar"/>
        </w:rPr>
        <w:t xml:space="preserve">tokenbench/measure_blackwell.py</w:t>
      </w:r>
      <w:r>
        <w:t xml:space="preserve">) is</w:t>
      </w:r>
      <w:r>
        <w:t xml:space="preserve"> </w:t>
      </w:r>
      <w:r>
        <w:t xml:space="preserve">Python-standard-library only (no third-party dependencies; the Clopper–Pearson endpoints use a stdlib</w:t>
      </w:r>
      <w:r>
        <w:t xml:space="preserve"> </w:t>
      </w:r>
      <w:r>
        <w:t xml:space="preserve">regularized incomplete beta), is cross-OS, and implements the surrogate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 the uniform</w:t>
      </w:r>
      <w:r>
        <w:t xml:space="preserve"> </w:t>
      </w:r>
      <w:r>
        <w:t xml:space="preserve">incomparability certificate (</w:t>
      </w:r>
      <w:r>
        <w:rPr>
          <w:rStyle w:val="VerbatimChar"/>
        </w:rPr>
        <w:t xml:space="preserve">certify_incomparable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clopper_pearson</w:t>
      </w:r>
      <w:r>
        <w:t xml:space="preserve">), the dominance</w:t>
      </w:r>
      <w:r>
        <w:t xml:space="preserve"> </w:t>
      </w:r>
      <w:r>
        <w:t xml:space="preserve">control (</w:t>
      </w:r>
      <w:r>
        <w:rPr>
          <w:rStyle w:val="VerbatimChar"/>
        </w:rPr>
        <w:t xml:space="preserve">certify_dominance</w:t>
      </w:r>
      <w:r>
        <w:t xml:space="preserve">), the interference certificate, the sample-size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required_n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required_n_stark</w:t>
      </w:r>
      <w:r>
        <w:t xml:space="preserve">), and the lexical-relevance scalar</w:t>
      </w:r>
      <w:r>
        <w:t xml:space="preserve"> </w:t>
      </w:r>
      <w:r>
        <w:t xml:space="preserve">(</w:t>
      </w:r>
      <w:r>
        <w:rPr>
          <w:rStyle w:val="VerbatimChar"/>
        </w:rPr>
        <w:t xml:space="preserve">lexical_relevance</w:t>
      </w:r>
      <w:r>
        <w:t xml:space="preserve">). It includes launchers for the Anthropic CLI (</w:t>
      </w:r>
      <w:r>
        <w:rPr>
          <w:rStyle w:val="VerbatimChar"/>
        </w:rPr>
        <w:t xml:space="preserve">claude -p</w:t>
      </w:r>
      <w:r>
        <w:t xml:space="preserve">), the</w:t>
      </w:r>
      <w:r>
        <w:t xml:space="preserve"> </w:t>
      </w:r>
      <w:r>
        <w:t xml:space="preserve">Azure Responses API, and OpenAI-compatible chat completions; the launcher auto-detects API style from the</w:t>
      </w:r>
      <w:r>
        <w:t xml:space="preserve"> </w:t>
      </w:r>
      <w:r>
        <w:t xml:space="preserve">endpoint, and all API keys are read from the environment (never written to a file).</w:t>
      </w:r>
    </w:p>
    <w:bookmarkStart w:id="138" w:name="protocol."/>
    <w:p>
      <w:pPr>
        <w:pStyle w:val="Heading4"/>
      </w:pPr>
      <w:r>
        <w:t xml:space="preserve">Protocol.</w:t>
      </w:r>
    </w:p>
    <w:p>
      <w:pPr>
        <w:pStyle w:val="FirstParagraph"/>
      </w:pPr>
      <w:r>
        <w:t xml:space="preserve">The verifier stubs a fake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 that accepts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exact</w:t>
      </w:r>
      <w:r>
        <w:t xml:space="preserve"> </w:t>
      </w:r>
      <w:r>
        <w:t xml:space="preserve">private contract (it rejects wrong positional arg order, a missing</w:t>
      </w:r>
      <w:r>
        <w:t xml:space="preserve"> </w:t>
      </w:r>
      <w:r>
        <w:rPr>
          <w:rStyle w:val="VerbatimChar"/>
        </w:rPr>
        <w:t xml:space="preserve">memo=</w:t>
      </w:r>
      <w:r>
        <w:t xml:space="preserve"> </w:t>
      </w:r>
      <w:r>
        <w:t xml:space="preserve">keyword, and the wrong</w:t>
      </w:r>
      <w:r>
        <w:t xml:space="preserve"> </w:t>
      </w:r>
      <w:r>
        <w:t xml:space="preserve">exception type); return code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PASS. The four certified cells are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(hardened so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arrives via a parameter, forcing the keyword-only fact</w:t>
      </w:r>
      <w:r>
        <w:t xml:space="preserve"> </w:t>
      </w:r>
      <w:r>
        <w:t xml:space="preserve">and dropping its baseline from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;</w:t>
      </w:r>
      <w:r>
        <w:t xml:space="preserve"> </w:t>
      </w:r>
      <w:r>
        <w:t xml:space="preserve">arms are</w:t>
      </w:r>
      <w:r>
        <w:t xml:space="preserve"> </w:t>
      </w:r>
      <m:oMath>
        <m:r>
          <m:rPr>
            <m:sty m:val="p"/>
          </m:rPr>
          <m:t>{</m:t>
        </m:r>
        <m:r>
          <m:rPr>
            <m:nor/>
            <m:sty m:val="p"/>
          </m:rPr>
          <m:t>none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plus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nor/>
                <m:sty m:val="p"/>
              </m:rPr>
              <m:t>rev</m:t>
            </m:r>
          </m:sup>
        </m:sSubSup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​</m:t>
        </m:r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order</w:t>
      </w:r>
      <w:r>
        <w:t xml:space="preserve"> </w:t>
      </w:r>
      <w:r>
        <w:t xml:space="preserve">control and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(length-matched neutral filler</w:t>
      </w:r>
      <w:r>
        <w:t xml:space="preserve"> </w:t>
      </w:r>
      <m:oMath>
        <m:r>
          <m:rPr>
            <m:sty m:val="p"/>
          </m:rPr>
          <m:t>+</m:t>
        </m:r>
        <m:r>
          <m:t>​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 for the padding control.</w:t>
      </w:r>
      <w:r>
        <w:t xml:space="preserve"> </w:t>
      </w:r>
      <w:r>
        <w:t xml:space="preserve">PASS is measured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i.i.d. completions per cell and the certificate uses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. The</w:t>
      </w:r>
      <w:r>
        <w:t xml:space="preserve"> </w:t>
      </w:r>
      <w:r>
        <w:t xml:space="preserve">Anthropic arms run agentically (</w:t>
      </w:r>
      <w:r>
        <w:rPr>
          <w:rStyle w:val="VerbatimChar"/>
        </w:rPr>
        <w:t xml:space="preserve">claude -p</w:t>
      </w:r>
      <w:r>
        <w:t xml:space="preserve">, up to six turns); the non-Anthropic arms run</w:t>
      </w:r>
      <w:r>
        <w:t xml:space="preserve"> </w:t>
      </w:r>
      <w:r>
        <w:t xml:space="preserve">single-shot (one completion + code extraction). We note for transparency that this design</w:t>
      </w:r>
      <w:r>
        <w:t xml:space="preserve"> </w:t>
      </w:r>
      <w:r>
        <w:t xml:space="preserve">choice, agentic for Anthropic, single-shot for the others, is the vendor/harness confound discussed in</w:t>
      </w:r>
      <w:r>
        <w:t xml:space="preserve"> </w:t>
      </w:r>
      <w:r>
        <w:t xml:space="preserve">§</w:t>
      </w:r>
      <w:hyperlink w:anchor="sec:limitations">
        <w:r>
          <w:rPr>
            <w:rStyle w:val="Hyperlink"/>
          </w:rPr>
          <w:t xml:space="preserve">8.5</w:t>
        </w:r>
      </w:hyperlink>
      <w:r>
        <w:t xml:space="preserve">.</w:t>
      </w:r>
    </w:p>
    <w:bookmarkEnd w:id="138"/>
    <w:bookmarkStart w:id="139" w:name="Xf4f8da9e54991239830136bf5d464446457b4e0"/>
    <w:p>
      <w:pPr>
        <w:pStyle w:val="Heading4"/>
      </w:pPr>
      <w:r>
        <w:t xml:space="preserve">Decoding, seeding, retries, and turn budget.</w:t>
      </w:r>
    </w:p>
    <w:p>
      <w:pPr>
        <w:pStyle w:val="FirstParagraph"/>
      </w:pPr>
      <w:r>
        <w:t xml:space="preserve">All runs use the provider’s default</w:t>
      </w:r>
      <w:r>
        <w:t xml:space="preserve"> </w:t>
      </w:r>
      <w:r>
        <w:t xml:space="preserve">decoding configuration: the harness sets no explicit temperature, top-</w:t>
      </w:r>
      <m:oMath>
        <m:r>
          <m:t>p</m:t>
        </m:r>
      </m:oMath>
      <w:r>
        <w:t xml:space="preserve">, or seed for any arm</w:t>
      </w:r>
      <w:r>
        <w:t xml:space="preserve"> </w:t>
      </w:r>
      <w:r>
        <w:t xml:space="preserve">(the Claude CLI and the Azure/OpenAI-compatible launchers are invoked without sampling</w:t>
      </w:r>
      <w:r>
        <w:t xml:space="preserve"> </w:t>
      </w:r>
      <w:r>
        <w:t xml:space="preserve">overrides), so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per cell are independent samples from each provider’s default</w:t>
      </w:r>
      <w:r>
        <w:t xml:space="preserve"> </w:t>
      </w:r>
      <w:r>
        <w:t xml:space="preserve">decoder. Each draw is a fresh process invocation with no state shared across draws; the agentic</w:t>
      </w:r>
      <w:r>
        <w:t xml:space="preserve"> </w:t>
      </w:r>
      <w:r>
        <w:t xml:space="preserve">arm allows up to six turns, the single-shot arms exactly one, with a</w:t>
      </w:r>
      <w:r>
        <w:t xml:space="preserve"> </w:t>
      </w:r>
      <m:oMath>
        <m:r>
          <m:t>200</m:t>
        </m:r>
      </m:oMath>
      <w:r>
        <w:t xml:space="preserve">-second timeout per</w:t>
      </w:r>
      <w:r>
        <w:t xml:space="preserve"> </w:t>
      </w:r>
      <w:r>
        <w:t xml:space="preserve">call. Transport-level failures (empty or zero-token results) are retried up to three times with</w:t>
      </w:r>
      <w:r>
        <w:t xml:space="preserve"> </w:t>
      </w:r>
      <w:r>
        <w:t xml:space="preserve">quadratic backoff; a draw that still fails is scored as a failure, never as a pass. Runs recorded</w:t>
      </w:r>
      <w:r>
        <w:t xml:space="preserve"> </w:t>
      </w:r>
      <w:r>
        <w:t xml:space="preserve">before the padding control predate the retry wrapper and used single attempts, under which a</w:t>
      </w:r>
      <w:r>
        <w:t xml:space="preserve"> </w:t>
      </w:r>
      <w:r>
        <w:t xml:space="preserve">transport failure scores as a failure; the stark</w:t>
      </w:r>
      <w:r>
        <w:t xml:space="preserve"> </w:t>
      </w:r>
      <m:oMath>
        <m:r>
          <m:t>98</m:t>
        </m:r>
      </m:oMath>
      <w:r>
        <w:t xml:space="preserve">–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ceilings in the certified</w:t>
      </w:r>
      <w:r>
        <w:t xml:space="preserve"> </w:t>
      </w:r>
      <w:r>
        <w:t xml:space="preserve">anchors indicate such failures were negligible in those runs.</w:t>
      </w:r>
    </w:p>
    <w:bookmarkEnd w:id="139"/>
    <w:bookmarkStart w:id="140" w:name="artifacts."/>
    <w:p>
      <w:pPr>
        <w:pStyle w:val="Heading4"/>
      </w:pPr>
      <w:r>
        <w:t xml:space="preserve">Artifacts.</w:t>
      </w:r>
    </w:p>
    <w:p>
      <w:pPr>
        <w:pStyle w:val="FirstParagraph"/>
      </w:pPr>
      <w:r>
        <w:t xml:space="preserve">Per-model run logs and result JSONs are in the artifact repository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https://github.com/abilous-ti/blackwell-llm-context</w:t>
        </w:r>
      </w:hyperlink>
      <w:r>
        <w:t xml:space="preserve">) under the pattern</w:t>
      </w:r>
      <w:r>
        <w:t xml:space="preserve"> </w:t>
      </w:r>
      <w:r>
        <w:rPr>
          <w:rStyle w:val="VerbatimChar"/>
        </w:rPr>
        <w:t xml:space="preserve">blackwell_*_n*.{log,json}</w:t>
      </w:r>
      <w:r>
        <w:t xml:space="preserve">, including</w:t>
      </w:r>
      <w:r>
        <w:t xml:space="preserve"> </w:t>
      </w:r>
      <w:r>
        <w:rPr>
          <w:rStyle w:val="VerbatimChar"/>
        </w:rPr>
        <w:t xml:space="preserve">blackwell_n80_run.log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blackwell_n80_results.json</w:t>
      </w:r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Haiku bundled certification,</w:t>
      </w:r>
      <w:r>
        <w:t xml:space="preserve"> </w:t>
      </w:r>
      <m:oMath>
        <m:r>
          <m:t>1600</m:t>
        </m:r>
      </m:oMath>
      <w:r>
        <w:t xml:space="preserve"> </w:t>
      </w:r>
      <w:r>
        <w:t xml:space="preserve">calls),</w:t>
      </w:r>
      <w:r>
        <w:t xml:space="preserve"> </w:t>
      </w:r>
      <w:r>
        <w:rPr>
          <w:rStyle w:val="VerbatimChar"/>
        </w:rPr>
        <w:t xml:space="preserve">blackwell_argorder_n80.{json,log}</w:t>
      </w:r>
      <w:r>
        <w:t xml:space="preserve"> </w:t>
      </w:r>
      <w:r>
        <w:t xml:space="preserve">(the hardened</w:t>
      </w:r>
      <w:r>
        <w:t xml:space="preserve"> </w:t>
      </w:r>
      <w:r>
        <w:t xml:space="preserve">second anti-monotonicity cell),</w:t>
      </w:r>
      <w:r>
        <w:t xml:space="preserve"> </w:t>
      </w:r>
      <w:r>
        <w:rPr>
          <w:rStyle w:val="VerbatimChar"/>
        </w:rPr>
        <w:t xml:space="preserve">blackwell_sonnet_n40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blackwell_opus_n20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blackwell_gpt55_n40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blackwell_deepseek_n40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blackwell_kimi_n40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blackwell_pad_n40b</w:t>
      </w:r>
      <w:r>
        <w:t xml:space="preserve"> </w:t>
      </w:r>
      <w:r>
        <w:t xml:space="preserve">(the length-matched padding control, single-shot,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calls),</w:t>
      </w:r>
      <w:r>
        <w:t xml:space="preserve"> </w:t>
      </w:r>
      <w:r>
        <w:rPr>
          <w:rStyle w:val="VerbatimChar"/>
        </w:rPr>
        <w:t xml:space="preserve">blackwell_pair2_n80</w:t>
      </w:r>
      <w:r>
        <w:t xml:space="preserve"> </w:t>
      </w:r>
      <w:r>
        <w:t xml:space="preserve">(the pair-2 contract cell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,</w:t>
      </w:r>
      <w:r>
        <w:t xml:space="preserve"> </w:t>
      </w:r>
      <m:oMath>
        <m:r>
          <m:t>320</m:t>
        </m:r>
      </m:oMath>
      <w:r>
        <w:t xml:space="preserve"> </w:t>
      </w:r>
      <w:r>
        <w:t xml:space="preserve">calls),</w:t>
      </w:r>
      <w:r>
        <w:t xml:space="preserve"> </w:t>
      </w:r>
      <w:r>
        <w:rPr>
          <w:rStyle w:val="VerbatimChar"/>
        </w:rPr>
        <w:t xml:space="preserve">blackwell_instr_n40</w:t>
      </w:r>
      <w:r>
        <w:t xml:space="preserve"> </w:t>
      </w:r>
      <w:r>
        <w:t xml:space="preserve">(the routing-instruction ablation,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calls), and</w:t>
      </w:r>
      <w:r>
        <w:t xml:space="preserve"> </w:t>
      </w:r>
      <w:r>
        <w:rPr>
          <w:rStyle w:val="VerbatimChar"/>
        </w:rPr>
        <w:t xml:space="preserve">blackwell_xml_n40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blackwell_xml_arm_only</w:t>
      </w:r>
      <w:r>
        <w:t xml:space="preserve"> </w:t>
      </w:r>
      <w:r>
        <w:t xml:space="preserve">(the structured-context</w:t>
      </w:r>
      <w:r>
        <w:t xml:space="preserve"> </w:t>
      </w:r>
      <w:r>
        <w:t xml:space="preserve">ablation; the first run’s XML arm is transport-invalidated and superseded by the arm-only re-run),</w:t>
      </w:r>
      <w:r>
        <w:t xml:space="preserve"> </w:t>
      </w:r>
      <w:r>
        <w:rPr>
          <w:rStyle w:val="VerbatimChar"/>
        </w:rPr>
        <w:t xml:space="preserve">reranker_trap_n30</w:t>
      </w:r>
      <w:r>
        <w:t xml:space="preserve"> </w:t>
      </w:r>
      <w:r>
        <w:t xml:space="preserve">(the LLM listwise reranker probe,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calls;</w:t>
      </w:r>
      <w:r>
        <w:t xml:space="preserve"> </w:t>
      </w:r>
      <w:r>
        <w:t xml:space="preserve">harness</w:t>
      </w:r>
      <w:r>
        <w:t xml:space="preserve"> </w:t>
      </w:r>
      <w:r>
        <w:rPr>
          <w:rStyle w:val="VerbatimChar"/>
        </w:rPr>
        <w:t xml:space="preserve">tokenbench/measure_reranker_trap.py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dense_trap.json</w:t>
      </w:r>
      <w:r>
        <w:t xml:space="preserve"> </w:t>
      </w:r>
      <w:r>
        <w:t xml:space="preserve">(the</w:t>
      </w:r>
      <w:r>
        <w:t xml:space="preserve"> </w:t>
      </w:r>
      <w:r>
        <w:t xml:space="preserve">dense/cross-encoder probe, deterministic local scoring of open-weight checkpoints at zero API</w:t>
      </w:r>
      <w:r>
        <w:t xml:space="preserve"> </w:t>
      </w:r>
      <w:r>
        <w:t xml:space="preserve">cost; harness</w:t>
      </w:r>
      <w:r>
        <w:t xml:space="preserve"> </w:t>
      </w:r>
      <w:r>
        <w:rPr>
          <w:rStyle w:val="VerbatimChar"/>
        </w:rPr>
        <w:t xml:space="preserve">tokenbench/measure_dense_trap.py</w:t>
      </w:r>
      <w:r>
        <w:t xml:space="preserve">). The</w:t>
      </w:r>
      <w:r>
        <w:t xml:space="preserve"> </w:t>
      </w:r>
      <w:r>
        <w:t xml:space="preserve">full experimental record with exact per-cell figures is in</w:t>
      </w:r>
      <w:r>
        <w:t xml:space="preserve"> </w:t>
      </w:r>
      <w:r>
        <w:rPr>
          <w:rStyle w:val="VerbatimChar"/>
        </w:rPr>
        <w:t xml:space="preserve">EXPERIMENT-BLACKWELL.md</w:t>
      </w:r>
      <w:r>
        <w:t xml:space="preserve"> </w:t>
      </w:r>
      <w:r>
        <w:t xml:space="preserve">(§§10–13)</w:t>
      </w:r>
      <w:r>
        <w:t xml:space="preserve"> </w:t>
      </w:r>
      <w:r>
        <w:t xml:space="preserve">and the theory hardening (formalization and proof sketches) in</w:t>
      </w:r>
      <w:r>
        <w:t xml:space="preserve"> </w:t>
      </w:r>
      <w:r>
        <w:rPr>
          <w:rStyle w:val="VerbatimChar"/>
        </w:rPr>
        <w:t xml:space="preserve">BLACKWELL.md</w:t>
      </w:r>
      <w:r>
        <w:t xml:space="preserve"> </w:t>
      </w:r>
      <w:r>
        <w:t xml:space="preserve">(§10).</w:t>
      </w:r>
    </w:p>
    <w:bookmarkEnd w:id="140"/>
    <w:bookmarkStart w:id="141" w:name="compute-and-cost."/>
    <w:p>
      <w:pPr>
        <w:pStyle w:val="Heading4"/>
      </w:pPr>
      <w:r>
        <w:t xml:space="preserve">Compute and cost.</w:t>
      </w:r>
    </w:p>
    <w:p>
      <w:pPr>
        <w:pStyle w:val="FirstParagraph"/>
      </w:pPr>
      <w:r>
        <w:t xml:space="preserve">Total measured spend was approximately $210 on 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-p</w:t>
      </w:r>
      <w:r>
        <w:t xml:space="preserve">): roughly $123 across the Haiku and Sonnet anchors plus the Opus run ($49.84),</w:t>
      </w:r>
      <w:r>
        <w:t xml:space="preserve"> </w:t>
      </w:r>
      <w:r>
        <w:t xml:space="preserve">the order-control and second-cell runs, the padding control ($7.73), the pair-2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run</w:t>
      </w:r>
      <w:r>
        <w:t xml:space="preserve"> </w:t>
      </w:r>
      <w:r>
        <w:t xml:space="preserve">($10.05), the routing-instruction ablation ($7.90), and the structured-context ablation</w:t>
      </w:r>
      <w:r>
        <w:t xml:space="preserve"> </w:t>
      </w:r>
      <w:r>
        <w:t xml:space="preserve">($8.40 across an arm-invalidated first run and a clean arm-only re-run); the dense/cross-encoder</w:t>
      </w:r>
      <w:r>
        <w:t xml:space="preserve"> </w:t>
      </w:r>
      <w:r>
        <w:t xml:space="preserve">probe ran</w:t>
      </w:r>
      <w:r>
        <w:t xml:space="preserve"> </w:t>
      </w:r>
      <w:r>
        <w:t xml:space="preserve">locally on open weights at zero API cost. The non-Anthropic runs (GPT-5.5, DeepSeek, Kimi) used Azure</w:t>
      </w:r>
      <w:r>
        <w:t xml:space="preserve"> </w:t>
      </w:r>
      <w:r>
        <w:t xml:space="preserve">quota; the Azure Responses API returns no cost field, so those rows report a $0 cost artifact while token</w:t>
      </w:r>
      <w:r>
        <w:t xml:space="preserve"> </w:t>
      </w:r>
      <w:r>
        <w:t xml:space="preserve">counts are captured, the $210 figure is the Anthropic spend, not the total cost of all six models.</w:t>
      </w:r>
    </w:p>
    <w:bookmarkEnd w:id="141"/>
    <w:bookmarkStart w:id="222" w:name="reference-verification."/>
    <w:p>
      <w:pPr>
        <w:pStyle w:val="Heading4"/>
      </w:pPr>
      <w:r>
        <w:t xml:space="preserve">Reference verification.</w:t>
      </w:r>
    </w:p>
    <w:p>
      <w:pPr>
        <w:pStyle w:val="FirstParagraph"/>
      </w:pPr>
      <w:r>
        <w:t xml:space="preserve">The bibliography was assembled in part with automated</w:t>
      </w:r>
      <w:r>
        <w:t xml:space="preserve"> </w:t>
      </w:r>
      <w:r>
        <w:t xml:space="preserve">literature search and every entry was subsequently verified against arXiv/DBLP/publisher</w:t>
      </w:r>
      <w:r>
        <w:t xml:space="preserve"> </w:t>
      </w:r>
      <w:r>
        <w:t xml:space="preserve">records; all entries resolve to real papers, and the classics (Blackwell 1953; Le Cam</w:t>
      </w:r>
      <w:r>
        <w:t xml:space="preserve"> </w:t>
      </w:r>
      <w:r>
        <w:t xml:space="preserve">1964/1986; Torgersen 1991; Ethayarajh et al. 2022) were checked against the primary sources.</w:t>
      </w:r>
    </w:p>
    <w:bookmarkStart w:id="221" w:name="refs"/>
    <w:bookmarkStart w:id="143" w:name="ref-akdemir2025"/>
    <w:p>
      <w:pPr>
        <w:pStyle w:val="Bibliography"/>
      </w:pPr>
      <w:r>
        <w:t xml:space="preserve">Akdemir, Deniz. 2025.</w:t>
      </w:r>
      <w:r>
        <w:t xml:space="preserve"> </w:t>
      </w:r>
      <w:r>
        <w:t xml:space="preserve">“</w:t>
      </w:r>
      <w:r>
        <w:t xml:space="preserve">Le Cam</w:t>
      </w:r>
      <w:r>
        <w:t xml:space="preserve"> </w:t>
      </w:r>
      <w:r>
        <w:t xml:space="preserve">Distortion: A Decision-Theoretic Framework for Robust Transfer Learning.”</w:t>
      </w:r>
      <w:r>
        <w:t xml:space="preserve"> </w:t>
      </w:r>
      <w:r>
        <w:rPr>
          <w:i/>
          <w:iCs/>
        </w:rPr>
        <w:t xml:space="preserve">arXiv Preprint arXiv:2512.23617</w:t>
      </w:r>
      <w:r>
        <w:t xml:space="preserve">.</w:t>
      </w:r>
      <w:r>
        <w:t xml:space="preserve"> </w:t>
      </w:r>
      <w:hyperlink r:id="rId142">
        <w:r>
          <w:rPr>
            <w:rStyle w:val="Hyperlink"/>
          </w:rPr>
          <w:t xml:space="preserve">https://arxiv.org/abs/2512.23617</w:t>
        </w:r>
      </w:hyperlink>
      <w:r>
        <w:t xml:space="preserve">.</w:t>
      </w:r>
    </w:p>
    <w:bookmarkEnd w:id="143"/>
    <w:bookmarkStart w:id="145" w:name="ref-blackwell1953"/>
    <w:p>
      <w:pPr>
        <w:pStyle w:val="Bibliography"/>
      </w:pPr>
      <w:r>
        <w:t xml:space="preserve">Blackwell, David. 1953.</w:t>
      </w:r>
      <w:r>
        <w:t xml:space="preserve"> </w:t>
      </w:r>
      <w:r>
        <w:t xml:space="preserve">“Equivalent Comparisons of Experiments.”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24 (2): 265–72.</w:t>
      </w:r>
      <w:r>
        <w:t xml:space="preserve"> </w:t>
      </w:r>
      <w:hyperlink r:id="rId144">
        <w:r>
          <w:rPr>
            <w:rStyle w:val="Hyperlink"/>
          </w:rPr>
          <w:t xml:space="preserve">https://doi.org/10.1214/aoms/1177729032</w:t>
        </w:r>
      </w:hyperlink>
      <w:r>
        <w:t xml:space="preserve">.</w:t>
      </w:r>
    </w:p>
    <w:bookmarkEnd w:id="145"/>
    <w:bookmarkStart w:id="146" w:name="ref-bonferroni1936"/>
    <w:p>
      <w:pPr>
        <w:pStyle w:val="Bibliography"/>
      </w:pPr>
      <w:r>
        <w:t xml:space="preserve">Bonferroni, Carlo Emilio. 1936.</w:t>
      </w:r>
      <w:r>
        <w:t xml:space="preserve"> </w:t>
      </w:r>
      <w:r>
        <w:t xml:space="preserve">“Teoria Statistica Delle Classi e Calcolo Delle Probabilità.”</w:t>
      </w:r>
      <w:r>
        <w:t xml:space="preserve"> </w:t>
      </w:r>
      <w:r>
        <w:rPr>
          <w:i/>
          <w:iCs/>
        </w:rPr>
        <w:t xml:space="preserve">Pubblicazioni Del R. Istituto Superiore Di Scienze Economiche e Commerciali Di Firenze</w:t>
      </w:r>
      <w:r>
        <w:t xml:space="preserve"> </w:t>
      </w:r>
      <w:r>
        <w:t xml:space="preserve">8: 3–62.</w:t>
      </w:r>
    </w:p>
    <w:bookmarkEnd w:id="146"/>
    <w:bookmarkStart w:id="148" w:name="ref-bowyer2025clt"/>
    <w:p>
      <w:pPr>
        <w:pStyle w:val="Bibliography"/>
      </w:pPr>
      <w:r>
        <w:t xml:space="preserve">Bowyer, Sam, Laurence Aitchison, and Desi R. Ivanova. 2025.</w:t>
      </w:r>
      <w:r>
        <w:t xml:space="preserve"> </w:t>
      </w:r>
      <w:r>
        <w:t xml:space="preserve">“Position: Don’t Use the</w:t>
      </w:r>
      <w:r>
        <w:t xml:space="preserve"> </w:t>
      </w:r>
      <w:r>
        <w:t xml:space="preserve">CLT</w:t>
      </w:r>
      <w:r>
        <w:t xml:space="preserve"> </w:t>
      </w:r>
      <w:r>
        <w:t xml:space="preserve">in</w:t>
      </w:r>
      <w:r>
        <w:t xml:space="preserve"> </w:t>
      </w:r>
      <w:r>
        <w:t xml:space="preserve">LLM</w:t>
      </w:r>
      <w:r>
        <w:t xml:space="preserve"> </w:t>
      </w:r>
      <w:r>
        <w:t xml:space="preserve">Evals with Fewer Than a Few Hundred Datapoints.”</w:t>
      </w:r>
      <w:r>
        <w:t xml:space="preserve"> </w:t>
      </w:r>
      <w:r>
        <w:rPr>
          <w:i/>
          <w:iCs/>
        </w:rPr>
        <w:t xml:space="preserve">arXiv Preprint arXiv:2503.01747</w:t>
      </w:r>
      <w:r>
        <w:t xml:space="preserve">.</w:t>
      </w:r>
      <w:r>
        <w:t xml:space="preserve"> </w:t>
      </w:r>
      <w:hyperlink r:id="rId147">
        <w:r>
          <w:rPr>
            <w:rStyle w:val="Hyperlink"/>
          </w:rPr>
          <w:t xml:space="preserve">https://arxiv.org/abs/2503.01747</w:t>
        </w:r>
      </w:hyperlink>
      <w:r>
        <w:t xml:space="preserve">.</w:t>
      </w:r>
    </w:p>
    <w:bookmarkEnd w:id="148"/>
    <w:bookmarkStart w:id="150" w:name="ref-bradley2024garbling"/>
    <w:p>
      <w:pPr>
        <w:pStyle w:val="Bibliography"/>
      </w:pPr>
      <w:r>
        <w:t xml:space="preserve">Bradley, William F. 2024.</w:t>
      </w:r>
      <w:r>
        <w:t xml:space="preserve"> </w:t>
      </w:r>
      <w:r>
        <w:t xml:space="preserve">“Enhancing</w:t>
      </w:r>
      <w:r>
        <w:t xml:space="preserve"> </w:t>
      </w:r>
      <w:r>
        <w:t xml:space="preserve">LLM</w:t>
      </w:r>
      <w:r>
        <w:t xml:space="preserve"> </w:t>
      </w:r>
      <w:r>
        <w:t xml:space="preserve">Evaluations: The Garbling Trick.”</w:t>
      </w:r>
      <w:r>
        <w:t xml:space="preserve"> </w:t>
      </w:r>
      <w:r>
        <w:rPr>
          <w:i/>
          <w:iCs/>
        </w:rPr>
        <w:t xml:space="preserve">arXiv Preprint arXiv:2411.01533</w:t>
      </w:r>
      <w:r>
        <w:t xml:space="preserve">.</w:t>
      </w:r>
      <w:r>
        <w:t xml:space="preserve"> </w:t>
      </w:r>
      <w:hyperlink r:id="rId149">
        <w:r>
          <w:rPr>
            <w:rStyle w:val="Hyperlink"/>
          </w:rPr>
          <w:t xml:space="preserve">https://arxiv.org/abs/2411.01533</w:t>
        </w:r>
      </w:hyperlink>
      <w:r>
        <w:t xml:space="preserve">.</w:t>
      </w:r>
    </w:p>
    <w:bookmarkEnd w:id="150"/>
    <w:bookmarkStart w:id="152" w:name="ref-carbonell1998"/>
    <w:p>
      <w:pPr>
        <w:pStyle w:val="Bibliography"/>
      </w:pPr>
      <w:r>
        <w:t xml:space="preserve">Carbonell, Jaime, and Jade Goldstein. 1998.</w:t>
      </w:r>
      <w:r>
        <w:t xml:space="preserve"> </w:t>
      </w:r>
      <w:r>
        <w:t xml:space="preserve">“The Use of</w:t>
      </w:r>
      <w:r>
        <w:t xml:space="preserve"> </w:t>
      </w:r>
      <w:r>
        <w:t xml:space="preserve">MMR</w:t>
      </w:r>
      <w:r>
        <w:t xml:space="preserve">, Diversity-Based Reranking for Reordering Documents and Producing Summaries.”</w:t>
      </w:r>
      <w:r>
        <w:t xml:space="preserve"> </w:t>
      </w:r>
      <w:r>
        <w:rPr>
          <w:i/>
          <w:iCs/>
        </w:rPr>
        <w:t xml:space="preserve">Proceedings of the 21st Annual International ACM SIGIR Conference on Research and Development in Information Retrieval</w:t>
      </w:r>
      <w:r>
        <w:t xml:space="preserve">, 335–36.</w:t>
      </w:r>
      <w:r>
        <w:t xml:space="preserve"> </w:t>
      </w:r>
      <w:hyperlink r:id="rId151">
        <w:r>
          <w:rPr>
            <w:rStyle w:val="Hyperlink"/>
          </w:rPr>
          <w:t xml:space="preserve">https://doi.org/10.1145/290941.291025</w:t>
        </w:r>
      </w:hyperlink>
      <w:r>
        <w:t xml:space="preserve">.</w:t>
      </w:r>
    </w:p>
    <w:bookmarkEnd w:id="152"/>
    <w:bookmarkStart w:id="154" w:name="ref-conformalip2025"/>
    <w:p>
      <w:pPr>
        <w:pStyle w:val="Bibliography"/>
      </w:pPr>
      <w:r>
        <w:t xml:space="preserve">Chan, Kwan Ho Ryan, Yuyan Ge, Edgar Dobriban, Hamed Hassani, and René Vidal. 2025.</w:t>
      </w:r>
      <w:r>
        <w:t xml:space="preserve"> </w:t>
      </w:r>
      <w:r>
        <w:t xml:space="preserve">“Conformal Information Pursuit for Interactively Guiding Large Language Models.”</w:t>
      </w:r>
      <w:r>
        <w:t xml:space="preserve"> </w:t>
      </w:r>
      <w:r>
        <w:rPr>
          <w:i/>
          <w:iCs/>
        </w:rPr>
        <w:t xml:space="preserve">arXiv Preprint arXiv:2507.03279</w:t>
      </w:r>
      <w:r>
        <w:t xml:space="preserve">.</w:t>
      </w:r>
      <w:r>
        <w:t xml:space="preserve"> </w:t>
      </w:r>
      <w:hyperlink r:id="rId153">
        <w:r>
          <w:rPr>
            <w:rStyle w:val="Hyperlink"/>
          </w:rPr>
          <w:t xml:space="preserve">https://arxiv.org/abs/2507.03279</w:t>
        </w:r>
      </w:hyperlink>
      <w:r>
        <w:t xml:space="preserve">.</w:t>
      </w:r>
    </w:p>
    <w:bookmarkEnd w:id="154"/>
    <w:bookmarkStart w:id="156" w:name="ref-bedllm2026"/>
    <w:p>
      <w:pPr>
        <w:pStyle w:val="Bibliography"/>
      </w:pPr>
      <w:r>
        <w:t xml:space="preserve">Choudhury, Deepro, Sinead Williamson, Adam Goliński, et al. 2025.</w:t>
      </w:r>
      <w:r>
        <w:t xml:space="preserve"> </w:t>
      </w:r>
      <w:r>
        <w:t xml:space="preserve">“</w:t>
      </w:r>
      <w:r>
        <w:t xml:space="preserve">BED-LLM</w:t>
      </w:r>
      <w:r>
        <w:t xml:space="preserve">: Intelligent Information Gathering with</w:t>
      </w:r>
      <w:r>
        <w:t xml:space="preserve"> </w:t>
      </w:r>
      <w:r>
        <w:t xml:space="preserve">LLMs</w:t>
      </w:r>
      <w:r>
        <w:t xml:space="preserve"> </w:t>
      </w:r>
      <w:r>
        <w:t xml:space="preserve">and Bayesian Experimental Design.”</w:t>
      </w:r>
      <w:r>
        <w:t xml:space="preserve"> </w:t>
      </w:r>
      <w:r>
        <w:rPr>
          <w:i/>
          <w:iCs/>
        </w:rPr>
        <w:t xml:space="preserve">arXiv Preprint arXiv:2508.21184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https://arxiv.org/abs/2508.21184</w:t>
        </w:r>
      </w:hyperlink>
      <w:r>
        <w:t xml:space="preserve">.</w:t>
      </w:r>
    </w:p>
    <w:bookmarkEnd w:id="156"/>
    <w:bookmarkStart w:id="158" w:name="ref-clopperpearson1934"/>
    <w:p>
      <w:pPr>
        <w:pStyle w:val="Bibliography"/>
      </w:pPr>
      <w:r>
        <w:t xml:space="preserve">Clopper, C. J., and E. S. Pearson. 1934.</w:t>
      </w:r>
      <w:r>
        <w:t xml:space="preserve"> </w:t>
      </w:r>
      <w:r>
        <w:t xml:space="preserve">“The Use of Confidence or Fiducial Limits Illustrated in the Case of the Binomial.”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26 (4): 404–13.</w:t>
      </w:r>
      <w:r>
        <w:t xml:space="preserve"> </w:t>
      </w:r>
      <w:hyperlink r:id="rId157">
        <w:r>
          <w:rPr>
            <w:rStyle w:val="Hyperlink"/>
          </w:rPr>
          <w:t xml:space="preserve">https://doi.org/10.1093/biomet/26.4.404</w:t>
        </w:r>
      </w:hyperlink>
      <w:r>
        <w:t xml:space="preserve">.</w:t>
      </w:r>
    </w:p>
    <w:bookmarkEnd w:id="158"/>
    <w:bookmarkStart w:id="160" w:name="ref-cuconasu2024noise"/>
    <w:p>
      <w:pPr>
        <w:pStyle w:val="Bibliography"/>
      </w:pPr>
      <w:r>
        <w:t xml:space="preserve">Cuconasu, Florin, Giovanni Trappolini, Federico Siciliano, et al. 2024.</w:t>
      </w:r>
      <w:r>
        <w:t xml:space="preserve"> </w:t>
      </w:r>
      <w:r>
        <w:t xml:space="preserve">“The Power of Noise: Redefining Retrieval for</w:t>
      </w:r>
      <w:r>
        <w:t xml:space="preserve"> </w:t>
      </w:r>
      <w:r>
        <w:t xml:space="preserve">RAG</w:t>
      </w:r>
      <w:r>
        <w:t xml:space="preserve"> </w:t>
      </w:r>
      <w:r>
        <w:t xml:space="preserve">Systems.”</w:t>
      </w:r>
      <w:r>
        <w:t xml:space="preserve"> </w:t>
      </w:r>
      <w:r>
        <w:rPr>
          <w:i/>
          <w:iCs/>
        </w:rPr>
        <w:t xml:space="preserve">Proceedings of the 47th International ACM SIGIR Conference on Research and Development in Information Retrieval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https://arxiv.org/abs/2401.14887</w:t>
        </w:r>
      </w:hyperlink>
      <w:r>
        <w:t xml:space="preserve">.</w:t>
      </w:r>
    </w:p>
    <w:bookmarkEnd w:id="160"/>
    <w:bookmarkStart w:id="162" w:name="ref-contexthurts2025"/>
    <w:p>
      <w:pPr>
        <w:pStyle w:val="Bibliography"/>
      </w:pPr>
      <w:r>
        <w:t xml:space="preserve">Du, Yufeng, Minyang Tian, Srikanth Ronanki, et al. 2025.</w:t>
      </w:r>
      <w:r>
        <w:t xml:space="preserve"> </w:t>
      </w:r>
      <w:r>
        <w:t xml:space="preserve">“Context Length Alone Hurts</w:t>
      </w:r>
      <w:r>
        <w:t xml:space="preserve"> </w:t>
      </w:r>
      <w:r>
        <w:t xml:space="preserve">LLM</w:t>
      </w:r>
      <w:r>
        <w:t xml:space="preserve"> </w:t>
      </w:r>
      <w:r>
        <w:t xml:space="preserve">Performance Despite Perfect Retrieval.”</w:t>
      </w:r>
      <w:r>
        <w:t xml:space="preserve"> </w:t>
      </w:r>
      <w:r>
        <w:rPr>
          <w:i/>
          <w:iCs/>
        </w:rPr>
        <w:t xml:space="preserve">arXiv Preprint arXiv:2510.05381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https://arxiv.org/abs/2510.05381</w:t>
        </w:r>
      </w:hyperlink>
      <w:r>
        <w:t xml:space="preserve">.</w:t>
      </w:r>
    </w:p>
    <w:bookmarkEnd w:id="162"/>
    <w:bookmarkStart w:id="164" w:name="ref-dvoretzky1956"/>
    <w:p>
      <w:pPr>
        <w:pStyle w:val="Bibliography"/>
      </w:pPr>
      <w:r>
        <w:t xml:space="preserve">Dvoretzky, A., J. Kiefer, and J. Wolfowitz. 1956.</w:t>
      </w:r>
      <w:r>
        <w:t xml:space="preserve"> </w:t>
      </w:r>
      <w:r>
        <w:t xml:space="preserve">“Asymptotic Minimax Character of the Sample Distribution Function and of the Classical Multinomial Estimator.”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27 (3): 642–69.</w:t>
      </w:r>
      <w:r>
        <w:t xml:space="preserve"> </w:t>
      </w:r>
      <w:hyperlink r:id="rId163">
        <w:r>
          <w:rPr>
            <w:rStyle w:val="Hyperlink"/>
          </w:rPr>
          <w:t xml:space="preserve">https://doi.org/10.1214/aoms/1177728174</w:t>
        </w:r>
      </w:hyperlink>
      <w:r>
        <w:t xml:space="preserve">.</w:t>
      </w:r>
    </w:p>
    <w:bookmarkEnd w:id="164"/>
    <w:bookmarkStart w:id="165" w:name="ref-ethayarajh2022"/>
    <w:p>
      <w:pPr>
        <w:pStyle w:val="Bibliography"/>
      </w:pPr>
      <w:r>
        <w:t xml:space="preserve">Ethayarajh, Kawin, Yejin Choi, and Swabha Swayamdipta. 2022.</w:t>
      </w:r>
      <w:r>
        <w:t xml:space="preserve"> </w:t>
      </w:r>
      <w:r>
        <w:t xml:space="preserve">“Understanding Dataset Difficulty with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Information.”</w:t>
      </w:r>
      <w:r>
        <w:t xml:space="preserve"> </w:t>
      </w:r>
      <w:r>
        <w:rPr>
          <w:i/>
          <w:iCs/>
        </w:rPr>
        <w:t xml:space="preserve">Proceedings of the 39th International Conference on Machine Learning (ICML)</w:t>
      </w:r>
      <w:r>
        <w:t xml:space="preserve">, PMLR, vol. 162: 5988–6008.</w:t>
      </w:r>
    </w:p>
    <w:bookmarkEnd w:id="165"/>
    <w:bookmarkStart w:id="167" w:name="ref-fosse2025"/>
    <w:p>
      <w:pPr>
        <w:pStyle w:val="Bibliography"/>
      </w:pPr>
      <w:r>
        <w:t xml:space="preserve">Fosse, Loïc, Frederic Bechet, Benoit Favre, et al. 2025.</w:t>
      </w:r>
      <w:r>
        <w:t xml:space="preserve"> </w:t>
      </w:r>
      <w:r>
        <w:t xml:space="preserve">“Statistical Deficiency for Task Inclusion Estimation.”</w:t>
      </w:r>
      <w:r>
        <w:t xml:space="preserve"> </w:t>
      </w:r>
      <w:r>
        <w:rPr>
          <w:i/>
          <w:iCs/>
        </w:rPr>
        <w:t xml:space="preserve">Proceedings of the 63rd Annual Meeting of the Association for Computational Linguistics (ACL), Volume 1: Long Papers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https://arxiv.org/abs/2503.05491</w:t>
        </w:r>
      </w:hyperlink>
      <w:r>
        <w:t xml:space="preserve">.</w:t>
      </w:r>
    </w:p>
    <w:bookmarkEnd w:id="167"/>
    <w:bookmarkStart w:id="169" w:name="ref-fuhr2008"/>
    <w:p>
      <w:pPr>
        <w:pStyle w:val="Bibliography"/>
      </w:pPr>
      <w:r>
        <w:t xml:space="preserve">Fuhr, Norbert. 2008.</w:t>
      </w:r>
      <w:r>
        <w:t xml:space="preserve"> </w:t>
      </w:r>
      <w:r>
        <w:t xml:space="preserve">“A Probability Ranking Principle for Interactive Information Retrieval.”</w:t>
      </w:r>
      <w:r>
        <w:t xml:space="preserve"> </w:t>
      </w:r>
      <w:r>
        <w:rPr>
          <w:i/>
          <w:iCs/>
        </w:rPr>
        <w:t xml:space="preserve">Information Retrieval</w:t>
      </w:r>
      <w:r>
        <w:t xml:space="preserve"> </w:t>
      </w:r>
      <w:r>
        <w:t xml:space="preserve">11 (3): 251–65.</w:t>
      </w:r>
      <w:r>
        <w:t xml:space="preserve"> </w:t>
      </w:r>
      <w:hyperlink r:id="rId168">
        <w:r>
          <w:rPr>
            <w:rStyle w:val="Hyperlink"/>
          </w:rPr>
          <w:t xml:space="preserve">https://doi.org/10.1007/s10791-008-9045-0</w:t>
        </w:r>
      </w:hyperlink>
      <w:r>
        <w:t xml:space="preserve">.</w:t>
      </w:r>
    </w:p>
    <w:bookmarkEnd w:id="169"/>
    <w:bookmarkStart w:id="171" w:name="ref-gao2024modelequality"/>
    <w:p>
      <w:pPr>
        <w:pStyle w:val="Bibliography"/>
      </w:pPr>
      <w:r>
        <w:t xml:space="preserve">Gao, Irena, Percy Liang, and Carlos Guestrin. 2025.</w:t>
      </w:r>
      <w:r>
        <w:t xml:space="preserve"> </w:t>
      </w:r>
      <w:r>
        <w:t xml:space="preserve">“Model Equality Testing: Which Model Is This</w:t>
      </w:r>
      <w:r>
        <w:t xml:space="preserve"> </w:t>
      </w:r>
      <w:r>
        <w:t xml:space="preserve">API</w:t>
      </w:r>
      <w:r>
        <w:t xml:space="preserve"> </w:t>
      </w:r>
      <w:r>
        <w:t xml:space="preserve">Serving?”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https://arxiv.org/abs/2410.20247</w:t>
        </w:r>
      </w:hyperlink>
      <w:r>
        <w:t xml:space="preserve">.</w:t>
      </w:r>
    </w:p>
    <w:bookmarkEnd w:id="171"/>
    <w:bookmarkStart w:id="173" w:name="ref-hong2025contextrot"/>
    <w:p>
      <w:pPr>
        <w:pStyle w:val="Bibliography"/>
      </w:pPr>
      <w:r>
        <w:t xml:space="preserve">Hong, Kelly, Anton Troynikov, and Jeff Huber. 2025.</w:t>
      </w:r>
      <w:r>
        <w:t xml:space="preserve"> </w:t>
      </w:r>
      <w:r>
        <w:rPr>
          <w:i/>
          <w:iCs/>
        </w:rPr>
        <w:t xml:space="preserve">Context Rot: How Increasing Input Tokens Impacts</w:t>
      </w:r>
      <w:r>
        <w:rPr>
          <w:i/>
          <w:iCs/>
        </w:rPr>
        <w:t xml:space="preserve"> </w:t>
      </w:r>
      <w:r>
        <w:rPr>
          <w:i/>
          <w:iCs/>
        </w:rPr>
        <w:t xml:space="preserve">LLM</w:t>
      </w:r>
      <w:r>
        <w:rPr>
          <w:i/>
          <w:iCs/>
        </w:rPr>
        <w:t xml:space="preserve"> </w:t>
      </w:r>
      <w:r>
        <w:rPr>
          <w:i/>
          <w:iCs/>
        </w:rPr>
        <w:t xml:space="preserve">Performance</w:t>
      </w:r>
      <w:r>
        <w:t xml:space="preserve">. Technical Report. Chroma.</w:t>
      </w:r>
      <w:r>
        <w:t xml:space="preserve"> </w:t>
      </w:r>
      <w:hyperlink r:id="rId172">
        <w:r>
          <w:rPr>
            <w:rStyle w:val="Hyperlink"/>
          </w:rPr>
          <w:t xml:space="preserve">https://www.trychroma.com/research/context-rot</w:t>
        </w:r>
      </w:hyperlink>
      <w:r>
        <w:t xml:space="preserve">.</w:t>
      </w:r>
    </w:p>
    <w:bookmarkEnd w:id="173"/>
    <w:bookmarkStart w:id="175" w:name="ref-huang2025gammacover"/>
    <w:p>
      <w:pPr>
        <w:pStyle w:val="Bibliography"/>
      </w:pPr>
      <w:r>
        <w:t xml:space="preserve">Huang, Hai. 2025.</w:t>
      </w:r>
      <w:r>
        <w:t xml:space="preserve"> </w:t>
      </w:r>
      <w:r>
        <w:t xml:space="preserve">“Directed Information</w:t>
      </w:r>
      <w:r>
        <w:t xml:space="preserve"> </w:t>
      </w:r>
      <m:oMath>
        <m:r>
          <m:t>γ</m:t>
        </m:r>
      </m:oMath>
      <w:r>
        <w:t xml:space="preserve">-Covering: An Information-Theoretic Framework for Context Engineering.”</w:t>
      </w:r>
      <w:r>
        <w:t xml:space="preserve"> </w:t>
      </w:r>
      <w:r>
        <w:rPr>
          <w:i/>
          <w:iCs/>
        </w:rPr>
        <w:t xml:space="preserve">arXiv Preprint arXiv:2510.00079</w:t>
      </w:r>
      <w:r>
        <w:t xml:space="preserve">.</w:t>
      </w:r>
      <w:r>
        <w:t xml:space="preserve"> </w:t>
      </w:r>
      <w:hyperlink r:id="rId174">
        <w:r>
          <w:rPr>
            <w:rStyle w:val="Hyperlink"/>
          </w:rPr>
          <w:t xml:space="preserve">https://arxiv.org/abs/2510.00079</w:t>
        </w:r>
      </w:hyperlink>
      <w:r>
        <w:t xml:space="preserve">.</w:t>
      </w:r>
    </w:p>
    <w:bookmarkEnd w:id="175"/>
    <w:bookmarkStart w:id="177" w:name="ref-jin2024longrag"/>
    <w:p>
      <w:pPr>
        <w:pStyle w:val="Bibliography"/>
      </w:pPr>
      <w:r>
        <w:t xml:space="preserve">Jin, Bowen, Jinsung Yoon, Jiawei Han, and Sercan O. Arik. 2024.</w:t>
      </w:r>
      <w:r>
        <w:t xml:space="preserve"> </w:t>
      </w:r>
      <w:r>
        <w:t xml:space="preserve">“Long-Context</w:t>
      </w:r>
      <w:r>
        <w:t xml:space="preserve"> </w:t>
      </w:r>
      <w:r>
        <w:t xml:space="preserve">LLMs</w:t>
      </w:r>
      <w:r>
        <w:t xml:space="preserve"> </w:t>
      </w:r>
      <w:r>
        <w:t xml:space="preserve">Meet</w:t>
      </w:r>
      <w:r>
        <w:t xml:space="preserve"> </w:t>
      </w:r>
      <w:r>
        <w:t xml:space="preserve">RAG</w:t>
      </w:r>
      <w:r>
        <w:t xml:space="preserve">: Overcoming Challenges for Long Inputs in</w:t>
      </w:r>
      <w:r>
        <w:t xml:space="preserve"> </w:t>
      </w:r>
      <w:r>
        <w:t xml:space="preserve">RAG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arXiv:2410.05983</w:t>
      </w:r>
      <w:r>
        <w:t xml:space="preserve">.</w:t>
      </w:r>
      <w:r>
        <w:t xml:space="preserve"> </w:t>
      </w:r>
      <w:hyperlink r:id="rId176">
        <w:r>
          <w:rPr>
            <w:rStyle w:val="Hyperlink"/>
          </w:rPr>
          <w:t xml:space="preserve">https://arxiv.org/abs/2410.05983</w:t>
        </w:r>
      </w:hyperlink>
      <w:r>
        <w:t xml:space="preserve">.</w:t>
      </w:r>
    </w:p>
    <w:bookmarkEnd w:id="177"/>
    <w:bookmarkStart w:id="179" w:name="ref-sufficientcontext2024"/>
    <w:p>
      <w:pPr>
        <w:pStyle w:val="Bibliography"/>
      </w:pPr>
      <w:r>
        <w:t xml:space="preserve">Joren, Hailey, Jianyi Zhang, Chun-Sung Ferng, Da-Cheng Juan, Ankur Taly, and Cyrus Rashtchian. 2024.</w:t>
      </w:r>
      <w:r>
        <w:t xml:space="preserve"> </w:t>
      </w:r>
      <w:r>
        <w:t xml:space="preserve">“Sufficient Context: A New Lens on Retrieval Augmented Generation Systems.”</w:t>
      </w:r>
      <w:r>
        <w:t xml:space="preserve"> </w:t>
      </w:r>
      <w:r>
        <w:rPr>
          <w:i/>
          <w:iCs/>
        </w:rPr>
        <w:t xml:space="preserve">arXiv Preprint arXiv:2411.06037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https://arxiv.org/abs/2411.06037</w:t>
        </w:r>
      </w:hyperlink>
      <w:r>
        <w:t xml:space="preserve">.</w:t>
      </w:r>
    </w:p>
    <w:bookmarkEnd w:id="179"/>
    <w:bookmarkStart w:id="181" w:name="ref-lecam1964"/>
    <w:p>
      <w:pPr>
        <w:pStyle w:val="Bibliography"/>
      </w:pPr>
      <w:r>
        <w:t xml:space="preserve">Le Cam, Lucien. 1964.</w:t>
      </w:r>
      <w:r>
        <w:t xml:space="preserve"> </w:t>
      </w:r>
      <w:r>
        <w:t xml:space="preserve">“Sufficiency and Approximate Sufficiency.”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35 (4): 1419–55.</w:t>
      </w:r>
      <w:r>
        <w:t xml:space="preserve"> </w:t>
      </w:r>
      <w:hyperlink r:id="rId180">
        <w:r>
          <w:rPr>
            <w:rStyle w:val="Hyperlink"/>
          </w:rPr>
          <w:t xml:space="preserve">https://doi.org/10.1214/aoms/1177700372</w:t>
        </w:r>
      </w:hyperlink>
      <w:r>
        <w:t xml:space="preserve">.</w:t>
      </w:r>
    </w:p>
    <w:bookmarkEnd w:id="181"/>
    <w:bookmarkStart w:id="183" w:name="ref-lecam1986"/>
    <w:p>
      <w:pPr>
        <w:pStyle w:val="Bibliography"/>
      </w:pPr>
      <w:r>
        <w:t xml:space="preserve">Le Cam, Lucien. 1986.</w:t>
      </w:r>
      <w:r>
        <w:t xml:space="preserve"> </w:t>
      </w:r>
      <w:r>
        <w:rPr>
          <w:i/>
          <w:iCs/>
        </w:rPr>
        <w:t xml:space="preserve">Asymptotic Methods in Statistical Decision Theory</w:t>
      </w:r>
      <w:r>
        <w:t xml:space="preserve">. Springer Series in Statistics. Springer.</w:t>
      </w:r>
      <w:r>
        <w:t xml:space="preserve"> </w:t>
      </w:r>
      <w:hyperlink r:id="rId182">
        <w:r>
          <w:rPr>
            <w:rStyle w:val="Hyperlink"/>
          </w:rPr>
          <w:t xml:space="preserve">https://doi.org/10.1007/978-1-4612-4946-7</w:t>
        </w:r>
      </w:hyperlink>
      <w:r>
        <w:t xml:space="preserve">.</w:t>
      </w:r>
    </w:p>
    <w:bookmarkEnd w:id="183"/>
    <w:bookmarkStart w:id="185" w:name="ref-relevanceutility2025"/>
    <w:p>
      <w:pPr>
        <w:pStyle w:val="Bibliography"/>
      </w:pPr>
      <w:r>
        <w:t xml:space="preserve">LeVine, Will, and Bijan Varjavand. 2025.</w:t>
      </w:r>
      <w:r>
        <w:t xml:space="preserve"> </w:t>
      </w:r>
      <w:r>
        <w:t xml:space="preserve">“Relevance Isn’t All You Need: Scaling</w:t>
      </w:r>
      <w:r>
        <w:t xml:space="preserve"> </w:t>
      </w:r>
      <w:r>
        <w:t xml:space="preserve">RAG</w:t>
      </w:r>
      <w:r>
        <w:t xml:space="preserve"> </w:t>
      </w:r>
      <w:r>
        <w:t xml:space="preserve">Systems with Inference-Time Compute via Multi-Criteria Reranking.”</w:t>
      </w:r>
      <w:r>
        <w:t xml:space="preserve"> </w:t>
      </w:r>
      <w:r>
        <w:rPr>
          <w:i/>
          <w:iCs/>
        </w:rPr>
        <w:t xml:space="preserve">arXiv Preprint arXiv:2504.07104</w:t>
      </w:r>
      <w:r>
        <w:t xml:space="preserve">.</w:t>
      </w:r>
      <w:r>
        <w:t xml:space="preserve"> </w:t>
      </w:r>
      <w:hyperlink r:id="rId184">
        <w:r>
          <w:rPr>
            <w:rStyle w:val="Hyperlink"/>
          </w:rPr>
          <w:t xml:space="preserve">https://arxiv.org/abs/2504.07104</w:t>
        </w:r>
      </w:hyperlink>
      <w:r>
        <w:t xml:space="preserve">.</w:t>
      </w:r>
    </w:p>
    <w:bookmarkEnd w:id="185"/>
    <w:bookmarkStart w:id="187" w:name="ref-levy2025moredocs"/>
    <w:p>
      <w:pPr>
        <w:pStyle w:val="Bibliography"/>
      </w:pPr>
      <w:r>
        <w:t xml:space="preserve">Levy, Shahar, Nir Mazor, Lihi Shalmon, Michael Hassid, and Gabriel Stanovsky. 2025.</w:t>
      </w:r>
      <w:r>
        <w:t xml:space="preserve"> </w:t>
      </w:r>
      <w:r>
        <w:t xml:space="preserve">“More Documents, Same Length: Isolating the Challenge of Multiple Documents in</w:t>
      </w:r>
      <w:r>
        <w:t xml:space="preserve"> </w:t>
      </w:r>
      <w:r>
        <w:t xml:space="preserve">RAG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arXiv:2503.04388</w:t>
      </w:r>
      <w:r>
        <w:t xml:space="preserve">.</w:t>
      </w:r>
      <w:r>
        <w:t xml:space="preserve"> </w:t>
      </w:r>
      <w:hyperlink r:id="rId186">
        <w:r>
          <w:rPr>
            <w:rStyle w:val="Hyperlink"/>
          </w:rPr>
          <w:t xml:space="preserve">https://arxiv.org/abs/2503.04388</w:t>
        </w:r>
      </w:hyperlink>
      <w:r>
        <w:t xml:space="preserve">.</w:t>
      </w:r>
    </w:p>
    <w:bookmarkEnd w:id="187"/>
    <w:bookmarkStart w:id="189" w:name="ref-longcontextdegrade2026"/>
    <w:p>
      <w:pPr>
        <w:pStyle w:val="Bibliography"/>
      </w:pPr>
      <w:r>
        <w:t xml:space="preserve">Liu, Ming. 2026.</w:t>
      </w:r>
      <w:r>
        <w:t xml:space="preserve"> </w:t>
      </w:r>
      <w:r>
        <w:t xml:space="preserve">“More Is Not Always Better: Cross-Component Interference in</w:t>
      </w:r>
      <w:r>
        <w:t xml:space="preserve"> </w:t>
      </w:r>
      <w:r>
        <w:t xml:space="preserve">LLM</w:t>
      </w:r>
      <w:r>
        <w:t xml:space="preserve"> </w:t>
      </w:r>
      <w:r>
        <w:t xml:space="preserve">Agent Scaffolding.”</w:t>
      </w:r>
      <w:r>
        <w:t xml:space="preserve"> </w:t>
      </w:r>
      <w:r>
        <w:rPr>
          <w:i/>
          <w:iCs/>
        </w:rPr>
        <w:t xml:space="preserve">arXiv Preprint arXiv:2605.05716</w:t>
      </w:r>
      <w:r>
        <w:t xml:space="preserve">.</w:t>
      </w:r>
      <w:r>
        <w:t xml:space="preserve"> </w:t>
      </w:r>
      <w:hyperlink r:id="rId188">
        <w:r>
          <w:rPr>
            <w:rStyle w:val="Hyperlink"/>
          </w:rPr>
          <w:t xml:space="preserve">https://arxiv.org/abs/2605.05716</w:t>
        </w:r>
      </w:hyperlink>
      <w:r>
        <w:t xml:space="preserve">.</w:t>
      </w:r>
    </w:p>
    <w:bookmarkEnd w:id="189"/>
    <w:bookmarkStart w:id="191" w:name="ref-liu2024lost"/>
    <w:p>
      <w:pPr>
        <w:pStyle w:val="Bibliography"/>
      </w:pPr>
      <w:r>
        <w:t xml:space="preserve">Liu, Nelson F., Kevin Lin, John Hewitt, et al. 2024.</w:t>
      </w:r>
      <w:r>
        <w:t xml:space="preserve"> </w:t>
      </w:r>
      <w:r>
        <w:t xml:space="preserve">“Lost in the Middle: How Language Models Use Long Contexts.”</w:t>
      </w:r>
      <w:r>
        <w:t xml:space="preserve"> </w:t>
      </w:r>
      <w:r>
        <w:rPr>
          <w:i/>
          <w:iCs/>
        </w:rPr>
        <w:t xml:space="preserve">Transactions of the Association for Computational Linguistics</w:t>
      </w:r>
      <w:r>
        <w:t xml:space="preserve"> </w:t>
      </w:r>
      <w:r>
        <w:t xml:space="preserve">12: 157–73.</w:t>
      </w:r>
      <w:r>
        <w:t xml:space="preserve"> </w:t>
      </w:r>
      <w:hyperlink r:id="rId190">
        <w:r>
          <w:rPr>
            <w:rStyle w:val="Hyperlink"/>
          </w:rPr>
          <w:t xml:space="preserve">https://arxiv.org/abs/2307.03172</w:t>
        </w:r>
      </w:hyperlink>
      <w:r>
        <w:t xml:space="preserve">.</w:t>
      </w:r>
    </w:p>
    <w:bookmarkEnd w:id="191"/>
    <w:bookmarkStart w:id="193" w:name="ref-miller2024errorbars"/>
    <w:p>
      <w:pPr>
        <w:pStyle w:val="Bibliography"/>
      </w:pPr>
      <w:r>
        <w:t xml:space="preserve">Miller, Evan. 2024.</w:t>
      </w:r>
      <w:r>
        <w:t xml:space="preserve"> </w:t>
      </w:r>
      <w:r>
        <w:t xml:space="preserve">“Adding Error Bars to Evals: A Statistical Approach to Language Model Evaluations.”</w:t>
      </w:r>
      <w:r>
        <w:t xml:space="preserve"> </w:t>
      </w:r>
      <w:r>
        <w:rPr>
          <w:i/>
          <w:iCs/>
        </w:rPr>
        <w:t xml:space="preserve">arXiv Preprint arXiv:2411.00640</w:t>
      </w:r>
      <w:r>
        <w:t xml:space="preserve">.</w:t>
      </w:r>
      <w:r>
        <w:t xml:space="preserve"> </w:t>
      </w:r>
      <w:hyperlink r:id="rId192">
        <w:r>
          <w:rPr>
            <w:rStyle w:val="Hyperlink"/>
          </w:rPr>
          <w:t xml:space="preserve">https://arxiv.org/abs/2411.00640</w:t>
        </w:r>
      </w:hyperlink>
      <w:r>
        <w:t xml:space="preserve">.</w:t>
      </w:r>
    </w:p>
    <w:bookmarkEnd w:id="193"/>
    <w:bookmarkStart w:id="195" w:name="ref-blackwellrep2026"/>
    <w:p>
      <w:pPr>
        <w:pStyle w:val="Bibliography"/>
      </w:pPr>
      <w:r>
        <w:t xml:space="preserve">Paxton, Napoleon. 2026.</w:t>
      </w:r>
      <w:r>
        <w:t xml:space="preserve"> </w:t>
      </w:r>
      <w:r>
        <w:t xml:space="preserve">“The Theorems of Dr. David Blackwell and Their Contributions to Artificial Intelligence.”</w:t>
      </w:r>
      <w:r>
        <w:t xml:space="preserve"> </w:t>
      </w:r>
      <w:r>
        <w:rPr>
          <w:i/>
          <w:iCs/>
        </w:rPr>
        <w:t xml:space="preserve">arXiv Preprint arXiv:2604.06621</w:t>
      </w:r>
      <w:r>
        <w:t xml:space="preserve">.</w:t>
      </w:r>
      <w:r>
        <w:t xml:space="preserve"> </w:t>
      </w:r>
      <w:hyperlink r:id="rId194">
        <w:r>
          <w:rPr>
            <w:rStyle w:val="Hyperlink"/>
          </w:rPr>
          <w:t xml:space="preserve">https://arxiv.org/abs/2604.06621</w:t>
        </w:r>
      </w:hyperlink>
      <w:r>
        <w:t xml:space="preserve">.</w:t>
      </w:r>
    </w:p>
    <w:bookmarkEnd w:id="195"/>
    <w:bookmarkStart w:id="197" w:name="ref-sureRAG2026"/>
    <w:p>
      <w:pPr>
        <w:pStyle w:val="Bibliography"/>
      </w:pPr>
      <w:r>
        <w:t xml:space="preserve">Qiu, Jingxi, Zeyu Han, and Cheng Huang. 2026.</w:t>
      </w:r>
      <w:r>
        <w:t xml:space="preserve"> </w:t>
      </w:r>
      <w:r>
        <w:t xml:space="preserve">“</w:t>
      </w:r>
      <w:r>
        <w:t xml:space="preserve">SURE-RAG</w:t>
      </w:r>
      <w:r>
        <w:t xml:space="preserve">: Sufficiency and Uncertainty-Aware Evidence Verification for Selective Retrieval-Augmented Generation.”</w:t>
      </w:r>
      <w:r>
        <w:t xml:space="preserve"> </w:t>
      </w:r>
      <w:r>
        <w:rPr>
          <w:i/>
          <w:iCs/>
        </w:rPr>
        <w:t xml:space="preserve">arXiv Preprint arXiv:2605.03534</w:t>
      </w:r>
      <w:r>
        <w:t xml:space="preserve">.</w:t>
      </w:r>
      <w:r>
        <w:t xml:space="preserve"> </w:t>
      </w:r>
      <w:hyperlink r:id="rId196">
        <w:r>
          <w:rPr>
            <w:rStyle w:val="Hyperlink"/>
          </w:rPr>
          <w:t xml:space="preserve">https://arxiv.org/abs/2605.03534</w:t>
        </w:r>
      </w:hyperlink>
      <w:r>
        <w:t xml:space="preserve">.</w:t>
      </w:r>
    </w:p>
    <w:bookmarkEnd w:id="197"/>
    <w:bookmarkStart w:id="199" w:name="ref-robertson1977"/>
    <w:p>
      <w:pPr>
        <w:pStyle w:val="Bibliography"/>
      </w:pPr>
      <w:r>
        <w:t xml:space="preserve">Robertson, Stephen E. 1977.</w:t>
      </w:r>
      <w:r>
        <w:t xml:space="preserve"> </w:t>
      </w:r>
      <w:r>
        <w:t xml:space="preserve">“The Probability Ranking Principle in</w:t>
      </w:r>
      <w:r>
        <w:t xml:space="preserve"> </w:t>
      </w:r>
      <w:r>
        <w:t xml:space="preserve">IR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Documentation</w:t>
      </w:r>
      <w:r>
        <w:t xml:space="preserve"> </w:t>
      </w:r>
      <w:r>
        <w:t xml:space="preserve">33 (4): 294–304.</w:t>
      </w:r>
      <w:r>
        <w:t xml:space="preserve"> </w:t>
      </w:r>
      <w:hyperlink r:id="rId198">
        <w:r>
          <w:rPr>
            <w:rStyle w:val="Hyperlink"/>
          </w:rPr>
          <w:t xml:space="preserve">https://doi.org/10.1108/eb026647</w:t>
        </w:r>
      </w:hyperlink>
      <w:r>
        <w:t xml:space="preserve">.</w:t>
      </w:r>
    </w:p>
    <w:bookmarkEnd w:id="199"/>
    <w:bookmarkStart w:id="201" w:name="ref-vanrooyen2014"/>
    <w:p>
      <w:pPr>
        <w:pStyle w:val="Bibliography"/>
      </w:pPr>
      <w:r>
        <w:t xml:space="preserve">Rooyen, Brendan van, and Robert C. Williamson. 2014.</w:t>
      </w:r>
      <w:r>
        <w:t xml:space="preserve"> </w:t>
      </w:r>
      <w:r>
        <w:t xml:space="preserve">“</w:t>
      </w:r>
      <w:r>
        <w:t xml:space="preserve">Le Cam</w:t>
      </w:r>
      <w:r>
        <w:t xml:space="preserve"> </w:t>
      </w:r>
      <w:r>
        <w:t xml:space="preserve">Meets</w:t>
      </w:r>
      <w:r>
        <w:t xml:space="preserve"> </w:t>
      </w:r>
      <w:r>
        <w:t xml:space="preserve">LeCun</w:t>
      </w:r>
      <w:r>
        <w:t xml:space="preserve">: Deficiency and Generic Feature Learning.”</w:t>
      </w:r>
      <w:r>
        <w:t xml:space="preserve"> </w:t>
      </w:r>
      <w:r>
        <w:rPr>
          <w:i/>
          <w:iCs/>
        </w:rPr>
        <w:t xml:space="preserve">arXiv Preprint arXiv:1402.4884</w:t>
      </w:r>
      <w:r>
        <w:t xml:space="preserve">.</w:t>
      </w:r>
      <w:r>
        <w:t xml:space="preserve"> </w:t>
      </w:r>
      <w:hyperlink r:id="rId200">
        <w:r>
          <w:rPr>
            <w:rStyle w:val="Hyperlink"/>
          </w:rPr>
          <w:t xml:space="preserve">https://arxiv.org/abs/1402.4884</w:t>
        </w:r>
      </w:hyperlink>
      <w:r>
        <w:t xml:space="preserve">.</w:t>
      </w:r>
    </w:p>
    <w:bookmarkEnd w:id="201"/>
    <w:bookmarkStart w:id="203" w:name="ref-shi2023distracted"/>
    <w:p>
      <w:pPr>
        <w:pStyle w:val="Bibliography"/>
      </w:pPr>
      <w:r>
        <w:t xml:space="preserve">Shi, Freda, Xinyun Chen, Kanishka Misra, et al. 2023.</w:t>
      </w:r>
      <w:r>
        <w:t xml:space="preserve"> </w:t>
      </w:r>
      <w:r>
        <w:t xml:space="preserve">“Large Language Models Can Be Easily Distracted by Irrelevant Context.”</w:t>
      </w:r>
      <w:r>
        <w:t xml:space="preserve"> </w:t>
      </w:r>
      <w:r>
        <w:rPr>
          <w:i/>
          <w:iCs/>
        </w:rPr>
        <w:t xml:space="preserve">Proceedings of the 40th International Conference on Machine Learning (ICML)</w:t>
      </w:r>
      <w:r>
        <w:t xml:space="preserve">.</w:t>
      </w:r>
      <w:r>
        <w:t xml:space="preserve"> </w:t>
      </w:r>
      <w:hyperlink r:id="rId202">
        <w:r>
          <w:rPr>
            <w:rStyle w:val="Hyperlink"/>
          </w:rPr>
          <w:t xml:space="preserve">https://arxiv.org/abs/2302.00093</w:t>
        </w:r>
      </w:hyperlink>
      <w:r>
        <w:t xml:space="preserve">.</w:t>
      </w:r>
    </w:p>
    <w:bookmarkEnd w:id="203"/>
    <w:bookmarkStart w:id="205" w:name="ref-sun2023rankgpt"/>
    <w:p>
      <w:pPr>
        <w:pStyle w:val="Bibliography"/>
      </w:pPr>
      <w:r>
        <w:t xml:space="preserve">Sun, Weiwei, Lingyong Yan, Xinyu Ma, et al. 2023.</w:t>
      </w:r>
      <w:r>
        <w:t xml:space="preserve"> </w:t>
      </w:r>
      <w:r>
        <w:t xml:space="preserve">“Is</w:t>
      </w:r>
      <w:r>
        <w:t xml:space="preserve"> </w:t>
      </w:r>
      <w:r>
        <w:t xml:space="preserve">ChatGPT</w:t>
      </w:r>
      <w:r>
        <w:t xml:space="preserve"> </w:t>
      </w:r>
      <w:r>
        <w:t xml:space="preserve">Good at Search?</w:t>
      </w:r>
      <w:r>
        <w:t xml:space="preserve"> </w:t>
      </w:r>
      <w:r>
        <w:t xml:space="preserve">Investigating</w:t>
      </w:r>
      <w:r>
        <w:t xml:space="preserve"> </w:t>
      </w:r>
      <w:r>
        <w:t xml:space="preserve">Large Language Models as Re-Ranking Agents.”</w:t>
      </w:r>
      <w:r>
        <w:t xml:space="preserve"> </w:t>
      </w:r>
      <w:r>
        <w:rPr>
          <w:i/>
          <w:iCs/>
        </w:rPr>
        <w:t xml:space="preserve">Proceedings of the 2023 Conference on Empirical Methods in Natural Language Processing (EMNLP)</w:t>
      </w:r>
      <w:r>
        <w:t xml:space="preserve">.</w:t>
      </w:r>
      <w:r>
        <w:t xml:space="preserve"> </w:t>
      </w:r>
      <w:hyperlink r:id="rId204">
        <w:r>
          <w:rPr>
            <w:rStyle w:val="Hyperlink"/>
          </w:rPr>
          <w:t xml:space="preserve">https://arxiv.org/abs/2304.09542</w:t>
        </w:r>
      </w:hyperlink>
      <w:r>
        <w:t xml:space="preserve">.</w:t>
      </w:r>
    </w:p>
    <w:bookmarkEnd w:id="205"/>
    <w:bookmarkStart w:id="207" w:name="ref-torgersen1991"/>
    <w:p>
      <w:pPr>
        <w:pStyle w:val="Bibliography"/>
      </w:pPr>
      <w:r>
        <w:t xml:space="preserve">Torgersen, Erik N. 1991.</w:t>
      </w:r>
      <w:r>
        <w:t xml:space="preserve"> </w:t>
      </w:r>
      <w:r>
        <w:rPr>
          <w:i/>
          <w:iCs/>
        </w:rPr>
        <w:t xml:space="preserve">Comparison of Statistical Experiments</w:t>
      </w:r>
      <w:r>
        <w:t xml:space="preserve">. Vol. 36. Encyclopedia of Mathematics and Its Applications. Cambridge University Press.</w:t>
      </w:r>
      <w:r>
        <w:t xml:space="preserve"> </w:t>
      </w:r>
      <w:hyperlink r:id="rId206">
        <w:r>
          <w:rPr>
            <w:rStyle w:val="Hyperlink"/>
          </w:rPr>
          <w:t xml:space="preserve">https://doi.org/10.1017/CBO9780511666353</w:t>
        </w:r>
      </w:hyperlink>
      <w:r>
        <w:t xml:space="preserve">.</w:t>
      </w:r>
    </w:p>
    <w:bookmarkEnd w:id="207"/>
    <w:bookmarkStart w:id="209" w:name="ref-inficl2024"/>
    <w:p>
      <w:pPr>
        <w:pStyle w:val="Bibliography"/>
      </w:pPr>
      <w:r>
        <w:t xml:space="preserve">Vinay, M. S., Minh-Hao Van, and Xintao Wu. 2024.</w:t>
      </w:r>
      <w:r>
        <w:t xml:space="preserve"> </w:t>
      </w:r>
      <w:r>
        <w:t xml:space="preserve">“In-Context Learning Demonstration Selection via Influence Analysis.”</w:t>
      </w:r>
      <w:r>
        <w:t xml:space="preserve"> </w:t>
      </w:r>
      <w:r>
        <w:rPr>
          <w:i/>
          <w:iCs/>
        </w:rPr>
        <w:t xml:space="preserve">arXiv Preprint arXiv:2402.11750</w:t>
      </w:r>
      <w:r>
        <w:t xml:space="preserve">.</w:t>
      </w:r>
      <w:r>
        <w:t xml:space="preserve"> </w:t>
      </w:r>
      <w:hyperlink r:id="rId208">
        <w:r>
          <w:rPr>
            <w:rStyle w:val="Hyperlink"/>
          </w:rPr>
          <w:t xml:space="preserve">https://arxiv.org/abs/2402.11750</w:t>
        </w:r>
      </w:hyperlink>
      <w:r>
        <w:t xml:space="preserve">.</w:t>
      </w:r>
    </w:p>
    <w:bookmarkEnd w:id="209"/>
    <w:bookmarkStart w:id="211" w:name="ref-demoshapley2024"/>
    <w:p>
      <w:pPr>
        <w:pStyle w:val="Bibliography"/>
      </w:pPr>
      <w:r>
        <w:t xml:space="preserve">Xie, Shan, Man Luo, Chadly Daniel Stern, Mengnan Du, and Lu Cheng. 2024.</w:t>
      </w:r>
      <w:r>
        <w:t xml:space="preserve"> </w:t>
      </w:r>
      <w:r>
        <w:t xml:space="preserve">“</w:t>
      </w:r>
      <w:r>
        <w:t xml:space="preserve">DemoShapley</w:t>
      </w:r>
      <w:r>
        <w:t xml:space="preserve">: Valuation of Demonstrations for in-Context Learning.”</w:t>
      </w:r>
      <w:r>
        <w:t xml:space="preserve"> </w:t>
      </w:r>
      <w:r>
        <w:rPr>
          <w:i/>
          <w:iCs/>
        </w:rPr>
        <w:t xml:space="preserve">arXiv Preprint arXiv:2410.07523</w:t>
      </w:r>
      <w:r>
        <w:t xml:space="preserve">.</w:t>
      </w:r>
      <w:r>
        <w:t xml:space="preserve"> </w:t>
      </w:r>
      <w:hyperlink r:id="rId210">
        <w:r>
          <w:rPr>
            <w:rStyle w:val="Hyperlink"/>
          </w:rPr>
          <w:t xml:space="preserve">https://arxiv.org/abs/2410.07523</w:t>
        </w:r>
      </w:hyperlink>
      <w:r>
        <w:t xml:space="preserve">.</w:t>
      </w:r>
    </w:p>
    <w:bookmarkEnd w:id="211"/>
    <w:bookmarkStart w:id="213" w:name="ref-ye2023ceil"/>
    <w:p>
      <w:pPr>
        <w:pStyle w:val="Bibliography"/>
      </w:pPr>
      <w:r>
        <w:t xml:space="preserve">Ye, Jiacheng, Zhiyong Wu, Jiangtao Feng, Tao Yu, and Lingpeng Kong. 2023.</w:t>
      </w:r>
      <w:r>
        <w:t xml:space="preserve"> </w:t>
      </w:r>
      <w:r>
        <w:t xml:space="preserve">“Compositional Exemplars for in-Context Learning.”</w:t>
      </w:r>
      <w:r>
        <w:t xml:space="preserve"> </w:t>
      </w:r>
      <w:r>
        <w:rPr>
          <w:i/>
          <w:iCs/>
        </w:rPr>
        <w:t xml:space="preserve">Proceedings of the 40th International Conference on Machine Learning (ICML)</w:t>
      </w:r>
      <w:r>
        <w:t xml:space="preserve">.</w:t>
      </w:r>
      <w:r>
        <w:t xml:space="preserve"> </w:t>
      </w:r>
      <w:hyperlink r:id="rId212">
        <w:r>
          <w:rPr>
            <w:rStyle w:val="Hyperlink"/>
          </w:rPr>
          <w:t xml:space="preserve">https://arxiv.org/abs/2302.05698</w:t>
        </w:r>
      </w:hyperlink>
      <w:r>
        <w:t xml:space="preserve">.</w:t>
      </w:r>
    </w:p>
    <w:bookmarkEnd w:id="213"/>
    <w:bookmarkStart w:id="215" w:name="ref-rankrag2024"/>
    <w:p>
      <w:pPr>
        <w:pStyle w:val="Bibliography"/>
      </w:pPr>
      <w:r>
        <w:t xml:space="preserve">Yu, Yue, Wei Ping, Zihan Liu, et al. 2024.</w:t>
      </w:r>
      <w:r>
        <w:t xml:space="preserve"> </w:t>
      </w:r>
      <w:r>
        <w:t xml:space="preserve">“</w:t>
      </w:r>
      <w:r>
        <w:t xml:space="preserve">RankRAG</w:t>
      </w:r>
      <w:r>
        <w:t xml:space="preserve">: Unifying Context Ranking with Retrieval-Augmented Generation in</w:t>
      </w:r>
      <w:r>
        <w:t xml:space="preserve"> </w:t>
      </w:r>
      <w:r>
        <w:t xml:space="preserve">LLMs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arXiv:2407.02485</w:t>
      </w:r>
      <w:r>
        <w:t xml:space="preserve">.</w:t>
      </w:r>
      <w:r>
        <w:t xml:space="preserve"> </w:t>
      </w:r>
      <w:hyperlink r:id="rId214">
        <w:r>
          <w:rPr>
            <w:rStyle w:val="Hyperlink"/>
          </w:rPr>
          <w:t xml:space="preserve">https://arxiv.org/abs/2407.02485</w:t>
        </w:r>
      </w:hyperlink>
      <w:r>
        <w:t xml:space="preserve">.</w:t>
      </w:r>
    </w:p>
    <w:bookmarkEnd w:id="215"/>
    <w:bookmarkStart w:id="217" w:name="ref-cale2025"/>
    <w:p>
      <w:pPr>
        <w:pStyle w:val="Bibliography"/>
      </w:pPr>
      <w:r>
        <w:t xml:space="preserve">Yuan, Xiaowei, Zhao Yang, Ziyang Huang, et al. 2025.</w:t>
      </w:r>
      <w:r>
        <w:t xml:space="preserve"> </w:t>
      </w:r>
      <w:r>
        <w:t xml:space="preserve">“Exploiting Contextual Knowledge in</w:t>
      </w:r>
      <w:r>
        <w:t xml:space="preserve"> </w:t>
      </w:r>
      <w:r>
        <w:t xml:space="preserve">LLMs</w:t>
      </w:r>
      <w:r>
        <w:t xml:space="preserve"> </w:t>
      </w:r>
      <w:r>
        <w:t xml:space="preserve">Through</w:t>
      </w:r>
      <w:r>
        <w:t xml:space="preserve"> </w:t>
      </w:r>
      <w:r>
        <w:t xml:space="preserve">V</w:t>
      </w:r>
      <w:r>
        <w:t xml:space="preserve">-Usable Information Based Layer Enhancement.”</w:t>
      </w:r>
      <w:r>
        <w:t xml:space="preserve"> </w:t>
      </w:r>
      <w:r>
        <w:rPr>
          <w:i/>
          <w:iCs/>
        </w:rPr>
        <w:t xml:space="preserve">arXiv Preprint arXiv:2504.15630</w:t>
      </w:r>
      <w:r>
        <w:t xml:space="preserve">.</w:t>
      </w:r>
      <w:r>
        <w:t xml:space="preserve"> </w:t>
      </w:r>
      <w:hyperlink r:id="rId216">
        <w:r>
          <w:rPr>
            <w:rStyle w:val="Hyperlink"/>
          </w:rPr>
          <w:t xml:space="preserve">https://arxiv.org/abs/2504.15630</w:t>
        </w:r>
      </w:hyperlink>
      <w:r>
        <w:t xml:space="preserve">.</w:t>
      </w:r>
    </w:p>
    <w:bookmarkEnd w:id="217"/>
    <w:bookmarkStart w:id="218" w:name="ref-paretoprompts2025"/>
    <w:p>
      <w:pPr>
        <w:pStyle w:val="Bibliography"/>
      </w:pPr>
      <w:r>
        <w:t xml:space="preserve">Zhao, Guang, Byung-Jun Yoon, Gilchan Park, Shantenu Jha, Shinjae Yoo, and Xiaoning Qian. 2025.</w:t>
      </w:r>
      <w:r>
        <w:t xml:space="preserve"> </w:t>
      </w:r>
      <w:r>
        <w:t xml:space="preserve">“Pareto Prompt Optimization.”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218"/>
    <w:bookmarkStart w:id="220" w:name="ref-zheng2024pmi"/>
    <w:p>
      <w:pPr>
        <w:pStyle w:val="Bibliography"/>
      </w:pPr>
      <w:r>
        <w:t xml:space="preserve">Zheng, Shuran, Xuan Qi, Rui Ray Chen, Yongchan Kwon, and James Zou. 2024.</w:t>
      </w:r>
      <w:r>
        <w:t xml:space="preserve"> </w:t>
      </w:r>
      <w:r>
        <w:t xml:space="preserve">“Proper Dataset Valuation by Pointwise Mutual Information.”</w:t>
      </w:r>
      <w:r>
        <w:t xml:space="preserve"> </w:t>
      </w:r>
      <w:r>
        <w:rPr>
          <w:i/>
          <w:iCs/>
        </w:rPr>
        <w:t xml:space="preserve">arXiv Preprint arXiv:2405.18253</w:t>
      </w:r>
      <w:r>
        <w:t xml:space="preserve">.</w:t>
      </w:r>
      <w:r>
        <w:t xml:space="preserve"> </w:t>
      </w:r>
      <w:hyperlink r:id="rId219">
        <w:r>
          <w:rPr>
            <w:rStyle w:val="Hyperlink"/>
          </w:rPr>
          <w:t xml:space="preserve">https://arxiv.org/abs/2405.18253</w:t>
        </w:r>
      </w:hyperlink>
      <w:r>
        <w:t xml:space="preserve">.</w:t>
      </w:r>
    </w:p>
    <w:bookmarkEnd w:id="220"/>
    <w:bookmarkEnd w:id="221"/>
    <w:bookmarkEnd w:id="222"/>
    <w:bookmarkEnd w:id="2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0" Target="https://arxiv.org/abs/1402.4884" TargetMode="External" /><Relationship Type="http://schemas.openxmlformats.org/officeDocument/2006/relationships/hyperlink" Id="rId202" Target="https://arxiv.org/abs/2302.00093" TargetMode="External" /><Relationship Type="http://schemas.openxmlformats.org/officeDocument/2006/relationships/hyperlink" Id="rId212" Target="https://arxiv.org/abs/2302.05698" TargetMode="External" /><Relationship Type="http://schemas.openxmlformats.org/officeDocument/2006/relationships/hyperlink" Id="rId204" Target="https://arxiv.org/abs/2304.09542" TargetMode="External" /><Relationship Type="http://schemas.openxmlformats.org/officeDocument/2006/relationships/hyperlink" Id="rId190" Target="https://arxiv.org/abs/2307.03172" TargetMode="External" /><Relationship Type="http://schemas.openxmlformats.org/officeDocument/2006/relationships/hyperlink" Id="rId159" Target="https://arxiv.org/abs/2401.14887" TargetMode="External" /><Relationship Type="http://schemas.openxmlformats.org/officeDocument/2006/relationships/hyperlink" Id="rId208" Target="https://arxiv.org/abs/2402.11750" TargetMode="External" /><Relationship Type="http://schemas.openxmlformats.org/officeDocument/2006/relationships/hyperlink" Id="rId219" Target="https://arxiv.org/abs/2405.18253" TargetMode="External" /><Relationship Type="http://schemas.openxmlformats.org/officeDocument/2006/relationships/hyperlink" Id="rId214" Target="https://arxiv.org/abs/2407.02485" TargetMode="External" /><Relationship Type="http://schemas.openxmlformats.org/officeDocument/2006/relationships/hyperlink" Id="rId176" Target="https://arxiv.org/abs/2410.05983" TargetMode="External" /><Relationship Type="http://schemas.openxmlformats.org/officeDocument/2006/relationships/hyperlink" Id="rId210" Target="https://arxiv.org/abs/2410.07523" TargetMode="External" /><Relationship Type="http://schemas.openxmlformats.org/officeDocument/2006/relationships/hyperlink" Id="rId170" Target="https://arxiv.org/abs/2410.20247" TargetMode="External" /><Relationship Type="http://schemas.openxmlformats.org/officeDocument/2006/relationships/hyperlink" Id="rId192" Target="https://arxiv.org/abs/2411.00640" TargetMode="External" /><Relationship Type="http://schemas.openxmlformats.org/officeDocument/2006/relationships/hyperlink" Id="rId149" Target="https://arxiv.org/abs/2411.01533" TargetMode="External" /><Relationship Type="http://schemas.openxmlformats.org/officeDocument/2006/relationships/hyperlink" Id="rId178" Target="https://arxiv.org/abs/2411.06037" TargetMode="External" /><Relationship Type="http://schemas.openxmlformats.org/officeDocument/2006/relationships/hyperlink" Id="rId147" Target="https://arxiv.org/abs/2503.01747" TargetMode="External" /><Relationship Type="http://schemas.openxmlformats.org/officeDocument/2006/relationships/hyperlink" Id="rId186" Target="https://arxiv.org/abs/2503.04388" TargetMode="External" /><Relationship Type="http://schemas.openxmlformats.org/officeDocument/2006/relationships/hyperlink" Id="rId166" Target="https://arxiv.org/abs/2503.05491" TargetMode="External" /><Relationship Type="http://schemas.openxmlformats.org/officeDocument/2006/relationships/hyperlink" Id="rId184" Target="https://arxiv.org/abs/2504.07104" TargetMode="External" /><Relationship Type="http://schemas.openxmlformats.org/officeDocument/2006/relationships/hyperlink" Id="rId216" Target="https://arxiv.org/abs/2504.15630" TargetMode="External" /><Relationship Type="http://schemas.openxmlformats.org/officeDocument/2006/relationships/hyperlink" Id="rId153" Target="https://arxiv.org/abs/2507.03279" TargetMode="External" /><Relationship Type="http://schemas.openxmlformats.org/officeDocument/2006/relationships/hyperlink" Id="rId155" Target="https://arxiv.org/abs/2508.21184" TargetMode="External" /><Relationship Type="http://schemas.openxmlformats.org/officeDocument/2006/relationships/hyperlink" Id="rId174" Target="https://arxiv.org/abs/2510.00079" TargetMode="External" /><Relationship Type="http://schemas.openxmlformats.org/officeDocument/2006/relationships/hyperlink" Id="rId161" Target="https://arxiv.org/abs/2510.05381" TargetMode="External" /><Relationship Type="http://schemas.openxmlformats.org/officeDocument/2006/relationships/hyperlink" Id="rId142" Target="https://arxiv.org/abs/2512.23617" TargetMode="External" /><Relationship Type="http://schemas.openxmlformats.org/officeDocument/2006/relationships/hyperlink" Id="rId194" Target="https://arxiv.org/abs/2604.06621" TargetMode="External" /><Relationship Type="http://schemas.openxmlformats.org/officeDocument/2006/relationships/hyperlink" Id="rId196" Target="https://arxiv.org/abs/2605.03534" TargetMode="External" /><Relationship Type="http://schemas.openxmlformats.org/officeDocument/2006/relationships/hyperlink" Id="rId188" Target="https://arxiv.org/abs/2605.05716" TargetMode="External" /><Relationship Type="http://schemas.openxmlformats.org/officeDocument/2006/relationships/hyperlink" Id="rId182" Target="https://doi.org/10.1007/978-1-4612-4946-7" TargetMode="External" /><Relationship Type="http://schemas.openxmlformats.org/officeDocument/2006/relationships/hyperlink" Id="rId168" Target="https://doi.org/10.1007/s10791-008-9045-0" TargetMode="External" /><Relationship Type="http://schemas.openxmlformats.org/officeDocument/2006/relationships/hyperlink" Id="rId206" Target="https://doi.org/10.1017/CBO9780511666353" TargetMode="External" /><Relationship Type="http://schemas.openxmlformats.org/officeDocument/2006/relationships/hyperlink" Id="rId157" Target="https://doi.org/10.1093/biomet/26.4.404" TargetMode="External" /><Relationship Type="http://schemas.openxmlformats.org/officeDocument/2006/relationships/hyperlink" Id="rId198" Target="https://doi.org/10.1108/eb026647" TargetMode="External" /><Relationship Type="http://schemas.openxmlformats.org/officeDocument/2006/relationships/hyperlink" Id="rId151" Target="https://doi.org/10.1145/290941.291025" TargetMode="External" /><Relationship Type="http://schemas.openxmlformats.org/officeDocument/2006/relationships/hyperlink" Id="rId180" Target="https://doi.org/10.1214/aoms/1177700372" TargetMode="External" /><Relationship Type="http://schemas.openxmlformats.org/officeDocument/2006/relationships/hyperlink" Id="rId163" Target="https://doi.org/10.1214/aoms/1177728174" TargetMode="External" /><Relationship Type="http://schemas.openxmlformats.org/officeDocument/2006/relationships/hyperlink" Id="rId144" Target="https://doi.org/10.1214/aoms/1177729032" TargetMode="External" /><Relationship Type="http://schemas.openxmlformats.org/officeDocument/2006/relationships/hyperlink" Id="rId71" Target="https://github.com/abilous-ti/blackwell-llm-context" TargetMode="External" /><Relationship Type="http://schemas.openxmlformats.org/officeDocument/2006/relationships/hyperlink" Id="rId172" Target="https://www.trychroma.com/research/context-r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0" Target="https://arxiv.org/abs/1402.4884" TargetMode="External" /><Relationship Type="http://schemas.openxmlformats.org/officeDocument/2006/relationships/hyperlink" Id="rId202" Target="https://arxiv.org/abs/2302.00093" TargetMode="External" /><Relationship Type="http://schemas.openxmlformats.org/officeDocument/2006/relationships/hyperlink" Id="rId212" Target="https://arxiv.org/abs/2302.05698" TargetMode="External" /><Relationship Type="http://schemas.openxmlformats.org/officeDocument/2006/relationships/hyperlink" Id="rId204" Target="https://arxiv.org/abs/2304.09542" TargetMode="External" /><Relationship Type="http://schemas.openxmlformats.org/officeDocument/2006/relationships/hyperlink" Id="rId190" Target="https://arxiv.org/abs/2307.03172" TargetMode="External" /><Relationship Type="http://schemas.openxmlformats.org/officeDocument/2006/relationships/hyperlink" Id="rId159" Target="https://arxiv.org/abs/2401.14887" TargetMode="External" /><Relationship Type="http://schemas.openxmlformats.org/officeDocument/2006/relationships/hyperlink" Id="rId208" Target="https://arxiv.org/abs/2402.11750" TargetMode="External" /><Relationship Type="http://schemas.openxmlformats.org/officeDocument/2006/relationships/hyperlink" Id="rId219" Target="https://arxiv.org/abs/2405.18253" TargetMode="External" /><Relationship Type="http://schemas.openxmlformats.org/officeDocument/2006/relationships/hyperlink" Id="rId214" Target="https://arxiv.org/abs/2407.02485" TargetMode="External" /><Relationship Type="http://schemas.openxmlformats.org/officeDocument/2006/relationships/hyperlink" Id="rId176" Target="https://arxiv.org/abs/2410.05983" TargetMode="External" /><Relationship Type="http://schemas.openxmlformats.org/officeDocument/2006/relationships/hyperlink" Id="rId210" Target="https://arxiv.org/abs/2410.07523" TargetMode="External" /><Relationship Type="http://schemas.openxmlformats.org/officeDocument/2006/relationships/hyperlink" Id="rId170" Target="https://arxiv.org/abs/2410.20247" TargetMode="External" /><Relationship Type="http://schemas.openxmlformats.org/officeDocument/2006/relationships/hyperlink" Id="rId192" Target="https://arxiv.org/abs/2411.00640" TargetMode="External" /><Relationship Type="http://schemas.openxmlformats.org/officeDocument/2006/relationships/hyperlink" Id="rId149" Target="https://arxiv.org/abs/2411.01533" TargetMode="External" /><Relationship Type="http://schemas.openxmlformats.org/officeDocument/2006/relationships/hyperlink" Id="rId178" Target="https://arxiv.org/abs/2411.06037" TargetMode="External" /><Relationship Type="http://schemas.openxmlformats.org/officeDocument/2006/relationships/hyperlink" Id="rId147" Target="https://arxiv.org/abs/2503.01747" TargetMode="External" /><Relationship Type="http://schemas.openxmlformats.org/officeDocument/2006/relationships/hyperlink" Id="rId186" Target="https://arxiv.org/abs/2503.04388" TargetMode="External" /><Relationship Type="http://schemas.openxmlformats.org/officeDocument/2006/relationships/hyperlink" Id="rId166" Target="https://arxiv.org/abs/2503.05491" TargetMode="External" /><Relationship Type="http://schemas.openxmlformats.org/officeDocument/2006/relationships/hyperlink" Id="rId184" Target="https://arxiv.org/abs/2504.07104" TargetMode="External" /><Relationship Type="http://schemas.openxmlformats.org/officeDocument/2006/relationships/hyperlink" Id="rId216" Target="https://arxiv.org/abs/2504.15630" TargetMode="External" /><Relationship Type="http://schemas.openxmlformats.org/officeDocument/2006/relationships/hyperlink" Id="rId153" Target="https://arxiv.org/abs/2507.03279" TargetMode="External" /><Relationship Type="http://schemas.openxmlformats.org/officeDocument/2006/relationships/hyperlink" Id="rId155" Target="https://arxiv.org/abs/2508.21184" TargetMode="External" /><Relationship Type="http://schemas.openxmlformats.org/officeDocument/2006/relationships/hyperlink" Id="rId174" Target="https://arxiv.org/abs/2510.00079" TargetMode="External" /><Relationship Type="http://schemas.openxmlformats.org/officeDocument/2006/relationships/hyperlink" Id="rId161" Target="https://arxiv.org/abs/2510.05381" TargetMode="External" /><Relationship Type="http://schemas.openxmlformats.org/officeDocument/2006/relationships/hyperlink" Id="rId142" Target="https://arxiv.org/abs/2512.23617" TargetMode="External" /><Relationship Type="http://schemas.openxmlformats.org/officeDocument/2006/relationships/hyperlink" Id="rId194" Target="https://arxiv.org/abs/2604.06621" TargetMode="External" /><Relationship Type="http://schemas.openxmlformats.org/officeDocument/2006/relationships/hyperlink" Id="rId196" Target="https://arxiv.org/abs/2605.03534" TargetMode="External" /><Relationship Type="http://schemas.openxmlformats.org/officeDocument/2006/relationships/hyperlink" Id="rId188" Target="https://arxiv.org/abs/2605.05716" TargetMode="External" /><Relationship Type="http://schemas.openxmlformats.org/officeDocument/2006/relationships/hyperlink" Id="rId182" Target="https://doi.org/10.1007/978-1-4612-4946-7" TargetMode="External" /><Relationship Type="http://schemas.openxmlformats.org/officeDocument/2006/relationships/hyperlink" Id="rId168" Target="https://doi.org/10.1007/s10791-008-9045-0" TargetMode="External" /><Relationship Type="http://schemas.openxmlformats.org/officeDocument/2006/relationships/hyperlink" Id="rId206" Target="https://doi.org/10.1017/CBO9780511666353" TargetMode="External" /><Relationship Type="http://schemas.openxmlformats.org/officeDocument/2006/relationships/hyperlink" Id="rId157" Target="https://doi.org/10.1093/biomet/26.4.404" TargetMode="External" /><Relationship Type="http://schemas.openxmlformats.org/officeDocument/2006/relationships/hyperlink" Id="rId198" Target="https://doi.org/10.1108/eb026647" TargetMode="External" /><Relationship Type="http://schemas.openxmlformats.org/officeDocument/2006/relationships/hyperlink" Id="rId151" Target="https://doi.org/10.1145/290941.291025" TargetMode="External" /><Relationship Type="http://schemas.openxmlformats.org/officeDocument/2006/relationships/hyperlink" Id="rId180" Target="https://doi.org/10.1214/aoms/1177700372" TargetMode="External" /><Relationship Type="http://schemas.openxmlformats.org/officeDocument/2006/relationships/hyperlink" Id="rId163" Target="https://doi.org/10.1214/aoms/1177728174" TargetMode="External" /><Relationship Type="http://schemas.openxmlformats.org/officeDocument/2006/relationships/hyperlink" Id="rId144" Target="https://doi.org/10.1214/aoms/1177729032" TargetMode="External" /><Relationship Type="http://schemas.openxmlformats.org/officeDocument/2006/relationships/hyperlink" Id="rId71" Target="https://github.com/abilous-ti/blackwell-llm-context" TargetMode="External" /><Relationship Type="http://schemas.openxmlformats.org/officeDocument/2006/relationships/hyperlink" Id="rId172" Target="https://www.trychroma.com/research/context-r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Context Selection Is a Partial Order: A Blackwell Framework and Certified LLM Evidence</dc:title>
  <dc:creator>Andriy Bilous Department of Information Systems and Networks Lviv Polytechnic National University, Lviv, Ukraine ORCID: 0009-0006-5467-7932 andriy.bilous@uitware.com; Oleksandr Reminnyi Department of Computerized Automatic Systems Lviv Polytechnic National University, Lviv, Ukraine ORCID: 0009-0005-5119-3695</dc:creator>
  <cp:keywords/>
  <dcterms:created xsi:type="dcterms:W3CDTF">2026-07-07T19:36:28Z</dcterms:created>
  <dcterms:modified xsi:type="dcterms:W3CDTF">2026-07-07T19:36:28Z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Context selection for language models is almost universally posed as a scalar ranking problem: score each candidate source, take the top-k. We argue this collapses a partial order. Modeling each context source as a statistical experiment on the task’s latent requirement, we transport Blackwell’s comparison of experiments (Blackwell 1953) to context selection: when two sources are Blackwell-incomparable, no query-independent scalar can rank them correctly across all tasks, a formal account of the field’s “relevance-does-not-transfer” folklore. To make the order measurable on real models behind executable verifiers, we define a decision-restricted value-deficiency surrogate and equip it with a distribution-free finite-sample certificate. On six language models across four vendors we certify (\geq 90\% confidence, both directions) that two private context sources are empirically incomparable. Representative lexical, dense bi-encoder, and cross-encoder rankers all prefer the wrong source on a confound-controlled trap, while an LLM listwise reranker that reads the decisive content escapes, the topicality boundary the theory predicts. We also show that supplying a strict superset of a sufficient source collapses certified pass rates from 100\% to as low as 0\%, with order, length-padding, and routing-instruction controls attributing the harm to the added signal, not position or length. The conclusion is methodological: context selection is a partial-order problem, and the right operational object is a certified deficiency surrogate, not a scalar. The constructive selection rule this implies is developed in a companion paper; scaling certified selection to corpus retrieval is the central problem we leave open.</vt:lpwstr>
  </property>
  <property fmtid="{D5CDD505-2E9C-101B-9397-08002B2CF9AE}" pid="3" name="bibliography">
    <vt:lpwstr>blackwell-paper.bib</vt:lpwstr>
  </property>
  <property fmtid="{D5CDD505-2E9C-101B-9397-08002B2CF9AE}" pid="4" name="date">
    <vt:lpwstr/>
  </property>
  <property fmtid="{D5CDD505-2E9C-101B-9397-08002B2CF9AE}" pid="5" name="link-citations">
    <vt:lpwstr>True</vt:lpwstr>
  </property>
</Properties>
</file>