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uthor"/>
      </w:pPr>
      <w:r>
        <w:t xml:space="preserve">Oleksandr Reminnyi</w:t>
      </w:r>
      <w:r>
        <w:br/>
      </w:r>
      <w:r>
        <w:t xml:space="preserve">Department of Computerized Automatic Systems</w:t>
      </w:r>
      <w:r>
        <w:br/>
      </w:r>
      <w:r>
        <w:t xml:space="preserve">Lviv Polytechnic National University, Lviv, Ukraine</w:t>
      </w:r>
      <w:r>
        <w:br/>
      </w:r>
      <w:r>
        <w:t xml:space="preserve">ORCID: 0009-0005-5119-3695</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tool.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w:t>
      </w:r>
      <w:hyperlink w:anchor="sec:formalization">
        <w:r>
          <w:rPr>
            <w:rStyle w:val="Hyperlink"/>
          </w:rPr>
          <w:t xml:space="preserve">3</w:t>
        </w:r>
      </w:hyperlink>
      <w:r>
        <w:t xml:space="preserve">).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w:t>
      </w:r>
      <w:hyperlink w:anchor="sec:related">
        <w:r>
          <w:rPr>
            <w:rStyle w:val="Hyperlink"/>
          </w:rPr>
          <w:t xml:space="preserve">2</w:t>
        </w:r>
      </w:hyperlink>
      <w:r>
        <w:t xml:space="preserve">).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w:t>
      </w:r>
      <w:hyperlink w:anchor="sec:order">
        <w:r>
          <w:rPr>
            <w:rStyle w:val="Hyperlink"/>
          </w:rPr>
          <w:t xml:space="preserve">4</w:t>
        </w:r>
      </w:hyperlink>
      <w:r>
        <w:t xml:space="preserve">); and we call our</w:t>
      </w:r>
      <w:r>
        <w:t xml:space="preserve"> </w:t>
      </w:r>
      <w:r>
        <w:t xml:space="preserve">estimator a</w:t>
      </w:r>
      <w:r>
        <w:t xml:space="preserve"> </w:t>
      </w:r>
      <w:r>
        <w:rPr>
          <w:i/>
          <w:iCs/>
        </w:rPr>
        <w:t xml:space="preserve">value-deficiency surrogate</w:t>
      </w:r>
      <w:r>
        <w:t xml:space="preserve">, not a Le Cam deficiency (§</w:t>
      </w:r>
      <w:hyperlink w:anchor="sec:estimator">
        <w:r>
          <w:rPr>
            <w:rStyle w:val="Hyperlink"/>
          </w:rPr>
          <w:t xml:space="preserve">6</w:t>
        </w:r>
      </w:hyperlink>
      <w:r>
        <w:t xml:space="preserve">).</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w:t>
      </w:r>
      <w:hyperlink w:anchor="lem:noref">
        <w:r>
          <w:rPr>
            <w:rStyle w:val="Hyperlink"/>
          </w:rPr>
          <w:t xml:space="preserve">1</w:t>
        </w:r>
      </w:hyperlink>
      <w:r>
        <w:t xml:space="preserve">).</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w:t>
      </w:r>
      <w:hyperlink w:anchor="sec:experiments">
        <w:r>
          <w:rPr>
            <w:rStyle w:val="Hyperlink"/>
          </w:rPr>
          <w:t xml:space="preserve">7</w:t>
        </w:r>
      </w:hyperlink>
      <w:r>
        <w:t xml:space="preserve">),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w:t>
      </w:r>
      <w:hyperlink w:anchor="sec:results-misrank">
        <w:r>
          <w:rPr>
            <w:rStyle w:val="Hyperlink"/>
          </w:rPr>
          <w:t xml:space="preserve">7.4.2</w:t>
        </w:r>
      </w:hyperlink>
      <w:r>
        <w:t xml:space="preserve">).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w:t>
      </w:r>
      <w:hyperlink w:anchor="prop:trap-constrained">
        <w:r>
          <w:rPr>
            <w:rStyle w:val="Hyperlink"/>
          </w:rPr>
          <w:t xml:space="preserve">2</w:t>
        </w:r>
      </w:hyperlink>
      <w:r>
        <w:t xml:space="preserve"> </w:t>
      </w:r>
      <w:r>
        <w:t xml:space="preserve">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w:t>
      </w:r>
      <w:hyperlink w:anchor="sec:results-antimono">
        <w:r>
          <w:rPr>
            <w:rStyle w:val="Hyperlink"/>
          </w:rPr>
          <w:t xml:space="preserve">7.4.3</w:t>
        </w:r>
      </w:hyperlink>
      <w:r>
        <w:t xml:space="preserve">).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w:t>
      </w:r>
      <w:hyperlink w:anchor="sec:results-moat">
        <w:r>
          <w:rPr>
            <w:rStyle w:val="Hyperlink"/>
          </w:rPr>
          <w:t xml:space="preserve">7.4.4</w:t>
        </w:r>
      </w:hyperlink>
      <w:r>
        <w:t xml:space="preserve">),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w:t>
      </w:r>
      <w:hyperlink w:anchor="sec:order">
        <w:r>
          <w:rPr>
            <w:rStyle w:val="Hyperlink"/>
          </w:rPr>
          <w:t xml:space="preserve">4</w:t>
        </w:r>
      </w:hyperlink>
      <w:r>
        <w:t xml:space="preserve">, §</w:t>
      </w:r>
      <w:hyperlink w:anchor="sec:incomparability">
        <w:r>
          <w:rPr>
            <w:rStyle w:val="Hyperlink"/>
          </w:rPr>
          <w:t xml:space="preserve">5</w:t>
        </w:r>
      </w:hyperlink>
      <w:r>
        <w:t xml:space="preserve">).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w:t>
      </w:r>
      <w:hyperlink w:anchor="thm:incomparable">
        <w:r>
          <w:rPr>
            <w:rStyle w:val="Hyperlink"/>
          </w:rPr>
          <w:t xml:space="preserve">2</w:t>
        </w:r>
      </w:hyperlink>
      <w:r>
        <w:t xml:space="preserve">), with the query-conditioned topical case isolated separately</w:t>
      </w:r>
      <w:r>
        <w:t xml:space="preserve"> </w:t>
      </w:r>
      <w:r>
        <w:t xml:space="preserve">(Proposition </w:t>
      </w:r>
      <w:hyperlink w:anchor="prop:trap-constrained">
        <w:r>
          <w:rPr>
            <w:rStyle w:val="Hyperlink"/>
          </w:rPr>
          <w:t xml:space="preserve">2</w:t>
        </w:r>
      </w:hyperlink>
      <w:r>
        <w:t xml:space="preserve">). Information retrieval has long argued that no single</w:t>
      </w:r>
      <w:r>
        <w:t xml:space="preserve"> </w:t>
      </w:r>
      <w:r>
        <w:t xml:space="preserve">fixed document score is optimal once documents interact (§</w:t>
      </w:r>
      <w:hyperlink w:anchor="sec:related-ir">
        <w:r>
          <w:rPr>
            <w:rStyle w:val="Hyperlink"/>
          </w:rPr>
          <w:t xml:space="preserve">[sec:related-ir]</w:t>
        </w:r>
      </w:hyperlink>
      <w:r>
        <w:t xml:space="preserve">);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w:t>
      </w:r>
      <w:hyperlink w:anchor="sec:estimator">
        <w:r>
          <w:rPr>
            <w:rStyle w:val="Hyperlink"/>
          </w:rPr>
          <w:t xml:space="preserve">6</w:t>
        </w:r>
      </w:hyperlink>
      <w:r>
        <w:t xml:space="preserve">).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w:t>
      </w:r>
      <w:hyperlink w:anchor="sec:experiments">
        <w:r>
          <w:rPr>
            <w:rStyle w:val="Hyperlink"/>
          </w:rPr>
          <w:t xml:space="preserve">7</w:t>
        </w:r>
      </w:hyperlink>
      <w:r>
        <w:t xml:space="preserve">).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w:t>
      </w:r>
      <w:hyperlink w:anchor="sec:limitations">
        <w:r>
          <w:rPr>
            <w:rStyle w:val="Hyperlink"/>
          </w:rPr>
          <w:t xml:space="preserve">8.5</w:t>
        </w:r>
      </w:hyperlink>
      <w:r>
        <w:t xml:space="preserve">.</w:t>
      </w:r>
    </w:p>
    <w:bookmarkEnd w:id="14"/>
    <w:bookmarkStart w:id="15" w:name="roadmap."/>
    <w:p>
      <w:pPr>
        <w:pStyle w:val="Heading4"/>
      </w:pPr>
      <w:r>
        <w:t xml:space="preserve">Roadmap.</w:t>
      </w:r>
    </w:p>
    <w:p>
      <w:pPr>
        <w:pStyle w:val="FirstParagraph"/>
      </w:pPr>
      <w:r>
        <w:t xml:space="preserve">§</w:t>
      </w:r>
      <w:hyperlink w:anchor="sec:related">
        <w:r>
          <w:rPr>
            <w:rStyle w:val="Hyperlink"/>
          </w:rPr>
          <w:t xml:space="preserve">2</w:t>
        </w:r>
      </w:hyperlink>
      <w:r>
        <w:t xml:space="preserve"> </w:t>
      </w:r>
      <w:r>
        <w:t xml:space="preserve">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w:t>
      </w:r>
      <w:hyperlink w:anchor="sec:formalization">
        <w:r>
          <w:rPr>
            <w:rStyle w:val="Hyperlink"/>
          </w:rPr>
          <w:t xml:space="preserve">3</w:t>
        </w:r>
      </w:hyperlink>
      <w:r>
        <w:t xml:space="preserve"> </w:t>
      </w:r>
      <w:r>
        <w:t xml:space="preserve">gives the latent-coordinate experiment</w:t>
      </w:r>
      <w:r>
        <w:t xml:space="preserve"> </w:t>
      </w:r>
      <w:r>
        <w:t xml:space="preserve">model and defines</w:t>
      </w:r>
      <w:r>
        <w:t xml:space="preserve"> </w:t>
      </w:r>
      <m:oMath>
        <m:r>
          <m:t>θ</m:t>
        </m:r>
      </m:oMath>
      <w:r>
        <w:t xml:space="preserve">. §</w:t>
      </w:r>
      <w:hyperlink w:anchor="sec:order">
        <w:r>
          <w:rPr>
            <w:rStyle w:val="Hyperlink"/>
          </w:rPr>
          <w:t xml:space="preserve">4</w:t>
        </w:r>
      </w:hyperlink>
      <w:r>
        <w:t xml:space="preserve"> </w:t>
      </w:r>
      <w:r>
        <w:t xml:space="preserve">develops the partial order, the</w:t>
      </w:r>
      <w:r>
        <w:t xml:space="preserve"> </w:t>
      </w:r>
      <m:oMath>
        <m:sSub>
          <m:e>
            <m:r>
              <m:t>δ</m:t>
            </m:r>
          </m:e>
          <m:sub>
            <m:r>
              <m:t>M</m:t>
            </m:r>
          </m:sub>
        </m:sSub>
      </m:oMath>
      <w:r>
        <w:t xml:space="preserve">-restricted order, the non-refinement construction, and the bridging lemma, and §</w:t>
      </w:r>
      <w:hyperlink w:anchor="sec:incomparability">
        <w:r>
          <w:rPr>
            <w:rStyle w:val="Hyperlink"/>
          </w:rPr>
          <w:t xml:space="preserve">5</w:t>
        </w:r>
      </w:hyperlink>
      <w:r>
        <w:t xml:space="preserve"> </w:t>
      </w:r>
      <w:r>
        <w:t xml:space="preserve">proves</w:t>
      </w:r>
      <w:r>
        <w:t xml:space="preserve"> </w:t>
      </w:r>
      <w:r>
        <w:t xml:space="preserve">the source-level incomparability statement and isolates the query-conditioned</w:t>
      </w:r>
      <w:r>
        <w:t xml:space="preserve"> </w:t>
      </w:r>
      <w:r>
        <w:t xml:space="preserve">case (C1). §</w:t>
      </w:r>
      <w:hyperlink w:anchor="sec:estimator">
        <w:r>
          <w:rPr>
            <w:rStyle w:val="Hyperlink"/>
          </w:rPr>
          <w:t xml:space="preserve">6</w:t>
        </w:r>
      </w:hyperlink>
      <w:r>
        <w:t xml:space="preserve"> </w:t>
      </w:r>
      <w:r>
        <w:t xml:space="preserve">defines the surrogate, the uniform verification,</w:t>
      </w:r>
      <w:r>
        <w:t xml:space="preserve"> </w:t>
      </w:r>
      <w:r>
        <w:t xml:space="preserve">and the interference verification, and relates the surrogate to the true Le Cam</w:t>
      </w:r>
      <w:r>
        <w:t xml:space="preserve"> </w:t>
      </w:r>
      <w:r>
        <w:t xml:space="preserve">deficiency (C2). §</w:t>
      </w:r>
      <w:hyperlink w:anchor="sec:experiments">
        <w:r>
          <w:rPr>
            <w:rStyle w:val="Hyperlink"/>
          </w:rPr>
          <w:t xml:space="preserve">7</w:t>
        </w:r>
      </w:hyperlink>
      <w:r>
        <w:t xml:space="preserve"> </w:t>
      </w:r>
      <w:r>
        <w:t xml:space="preserve">reports the six-model program with full</w:t>
      </w:r>
      <w:r>
        <w:t xml:space="preserve"> </w:t>
      </w:r>
      <w:r>
        <w:t xml:space="preserve">per-cell tables (C3). §</w:t>
      </w:r>
      <w:hyperlink w:anchor="sec:limitations">
        <w:r>
          <w:rPr>
            <w:rStyle w:val="Hyperlink"/>
          </w:rPr>
          <w:t xml:space="preserve">8.5</w:t>
        </w:r>
      </w:hyperlink>
      <w:r>
        <w:t xml:space="preserve"> </w:t>
      </w:r>
      <w:r>
        <w:t xml:space="preserve">states threats to validity and</w:t>
      </w:r>
      <w:r>
        <w:t xml:space="preserve"> </w:t>
      </w:r>
      <w:r>
        <w:t xml:space="preserve">scope, and §</w:t>
      </w:r>
      <w:hyperlink w:anchor="sec:conclusion">
        <w:r>
          <w:rPr>
            <w:rStyle w:val="Hyperlink"/>
          </w:rPr>
          <w:t xml:space="preserve">9</w:t>
        </w:r>
      </w:hyperlink>
      <w:r>
        <w:t xml:space="preserve"> </w:t>
      </w:r>
      <w:r>
        <w:t xml:space="preserve">concludes. Proofs of the two central impossibility results</w:t>
      </w:r>
      <w:r>
        <w:t xml:space="preserve"> </w:t>
      </w:r>
      <w:r>
        <w:t xml:space="preserve">(Theorem </w:t>
      </w:r>
      <w:hyperlink w:anchor="thm:incomparable">
        <w:r>
          <w:rPr>
            <w:rStyle w:val="Hyperlink"/>
          </w:rPr>
          <w:t xml:space="preserve">2</w:t>
        </w:r>
      </w:hyperlink>
      <w:r>
        <w:t xml:space="preserve">, Proposition </w:t>
      </w:r>
      <w:hyperlink w:anchor="prop:trap-constrained">
        <w:r>
          <w:rPr>
            <w:rStyle w:val="Hyperlink"/>
          </w:rPr>
          <w:t xml:space="preserve">2</w:t>
        </w:r>
      </w:hyperlink>
      <w:r>
        <w:t xml:space="preserve">) accompany their</w:t>
      </w:r>
      <w:r>
        <w:t xml:space="preserve"> </w:t>
      </w:r>
      <w:r>
        <w:t xml:space="preserve">statements; the remaining proofs and technical material are deferred to</w:t>
      </w:r>
      <w:r>
        <w:t xml:space="preserve"> </w:t>
      </w:r>
      <w:r>
        <w:t xml:space="preserve">Appendix </w:t>
      </w:r>
      <w:hyperlink w:anchor="app:proofs">
        <w:r>
          <w:rPr>
            <w:rStyle w:val="Hyperlink"/>
          </w:rPr>
          <w:t xml:space="preserve">10</w:t>
        </w:r>
      </w:hyperlink>
      <w:r>
        <w:t xml:space="preserve">, the extended experimental record to Appendix </w:t>
      </w:r>
      <w:hyperlink w:anchor="app:record">
        <w:r>
          <w:rPr>
            <w:rStyle w:val="Hyperlink"/>
          </w:rPr>
          <w:t xml:space="preserve">11</w:t>
        </w:r>
      </w:hyperlink>
      <w:r>
        <w:t xml:space="preserve">, and</w:t>
      </w:r>
      <w:r>
        <w:t xml:space="preserve"> </w:t>
      </w:r>
      <w:r>
        <w:t xml:space="preserve">protocol and artifact details to Appendix </w:t>
      </w:r>
      <w:hyperlink w:anchor="app:repro">
        <w:r>
          <w:rPr>
            <w:rStyle w:val="Hyperlink"/>
          </w:rPr>
          <w:t xml:space="preserve">12</w:t>
        </w:r>
      </w:hyperlink>
      <w:r>
        <w:t xml:space="preserve">.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w:t>
      </w:r>
      <w:hyperlink w:anchor="sec:order">
        <w:r>
          <w:rPr>
            <w:rStyle w:val="Hyperlink"/>
          </w:rPr>
          <w:t xml:space="preserve">4</w:t>
        </w:r>
      </w:hyperlink>
      <w:r>
        <w:t xml:space="preserve">).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w:t>
      </w:r>
      <w:hyperlink w:anchor="sec:incomparability">
        <w:r>
          <w:rPr>
            <w:rStyle w:val="Hyperlink"/>
          </w:rPr>
          <w:t xml:space="preserve">5</w:t>
        </w:r>
      </w:hyperlink>
      <w:r>
        <w:t xml:space="preserve">),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w:t>
      </w:r>
      <w:hyperlink w:anchor="sec:related-ir">
        <w:r>
          <w:rPr>
            <w:rStyle w:val="Hyperlink"/>
          </w:rPr>
          <w:t xml:space="preserve">[sec:related-ir]</w:t>
        </w:r>
      </w:hyperlink>
      <w:r>
        <w:t xml:space="preserve">).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w:t>
      </w:r>
      <w:hyperlink w:anchor="sec:estimator">
        <w:r>
          <w:rPr>
            <w:rStyle w:val="Hyperlink"/>
          </w:rPr>
          <w:t xml:space="preserve">6</w:t>
        </w:r>
      </w:hyperlink>
      <w:r>
        <w:t xml:space="preserve">).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w:t>
      </w:r>
      <w:hyperlink w:anchor="thm:incomparable">
        <w:r>
          <w:rPr>
            <w:rStyle w:val="Hyperlink"/>
          </w:rPr>
          <w:t xml:space="preserve">2</w:t>
        </w:r>
      </w:hyperlink>
      <w:r>
        <w:t xml:space="preserve"> </w:t>
      </w:r>
      <w:r>
        <w:t xml:space="preserve">for query-independent scores,</w:t>
      </w:r>
      <w:r>
        <w:t xml:space="preserve"> </w:t>
      </w:r>
      <w:r>
        <w:t xml:space="preserve">Proposition </w:t>
      </w:r>
      <w:hyperlink w:anchor="prop:trap-constrained">
        <w:r>
          <w:rPr>
            <w:rStyle w:val="Hyperlink"/>
          </w:rPr>
          <w:t xml:space="preserve">2</w:t>
        </w:r>
      </w:hyperlink>
      <w:r>
        <w:t xml:space="preserve"> </w:t>
      </w:r>
      <w:r>
        <w:t xml:space="preserve">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w:t>
      </w:r>
      <w:hyperlink w:anchor="prop:vinfo-monotone">
        <w:r>
          <w:rPr>
            <w:rStyle w:val="Hyperlink"/>
          </w:rPr>
          <w:t xml:space="preserve">1</w:t>
        </w:r>
      </w:hyperlink>
      <w:r>
        <w:t xml:space="preserve">,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Closest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 by</w:t>
      </w:r>
      <w:r>
        <w:t xml:space="preserve"> </w:t>
      </w:r>
      <w:r>
        <w:t xml:space="preserve">Blackwell informativeness and show a pointwise-mutual-information</w:t>
      </w:r>
      <w:r>
        <w:t xml:space="preserve"> </w:t>
      </w:r>
      <w:r>
        <w:rPr>
          <w:i/>
          <w:iCs/>
        </w:rPr>
        <w:t xml:space="preserve">scalar</w:t>
      </w:r>
      <w:r>
        <w:t xml:space="preserve"> </w:t>
      </w:r>
      <w:r>
        <w:t xml:space="preserve">is faithful in</w:t>
      </w:r>
      <w:r>
        <w:t xml:space="preserve"> </w:t>
      </w:r>
      <w:r>
        <w:t xml:space="preserve">their Bayes-optimal, white-box regime, an instructive contrast with ours, where the order is</w:t>
      </w:r>
      <w:r>
        <w:t xml:space="preserve"> </w:t>
      </w:r>
      <w:r>
        <w:t xml:space="preserve">genuinely partial for a fixed rule and no query-independent scalar can be faithful</w:t>
      </w:r>
      <w:r>
        <w:t xml:space="preserve"> </w:t>
      </w:r>
      <w:r>
        <w:t xml:space="preserve">(Theorem </w:t>
      </w:r>
      <w:hyperlink w:anchor="thm:incomparable">
        <w:r>
          <w:rPr>
            <w:rStyle w:val="Hyperlink"/>
          </w:rPr>
          <w:t xml:space="preserve">2</w:t>
        </w:r>
      </w:hyperlink>
      <w:r>
        <w:t xml:space="preserve">); they provide no incomparability statement or finite-sample</w:t>
      </w:r>
      <w:r>
        <w:t xml:space="preserve"> </w:t>
      </w:r>
      <w:r>
        <w:t xml:space="preserve">verification. Garbling has been used to harden LLM evaluations </w:t>
      </w:r>
      <w:r>
        <w:t xml:space="preserve">(</w:t>
      </w:r>
      <w:hyperlink w:anchor="ref-bradley2024garbling">
        <w:r>
          <w:rPr>
            <w:rStyle w:val="Hyperlink"/>
          </w:rPr>
          <w:t xml:space="preserve">Bradley 2024</w:t>
        </w:r>
      </w:hyperlink>
      <w:r>
        <w:t xml:space="preserve">)</w:t>
      </w:r>
      <w:r>
        <w:t xml:space="preserve">;</w:t>
      </w:r>
      <w:r>
        <w:t xml:space="preserve"> </w:t>
      </w:r>
      <w:r>
        <w:t xml:space="preserve">statistical deficiency 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 appears in transfer learning, without an incomparability statement,</w:t>
      </w:r>
      <w:r>
        <w:t xml:space="preserve"> </w:t>
      </w:r>
      <w:r>
        <w:t xml:space="preserve">formal partial order, or distribution-free verification, and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and comparison-of-experiments ideas touch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Blackwell’s theorems have been surveyed for</w:t>
      </w:r>
      <w:r>
        <w:t xml:space="preserve"> </w:t>
      </w:r>
      <w:r>
        <w:t xml:space="preserve">AI </w:t>
      </w:r>
      <w:r>
        <w:t xml:space="preserve">(</w:t>
      </w:r>
      <w:hyperlink w:anchor="ref-blackwellrep2026">
        <w:r>
          <w:rPr>
            <w:rStyle w:val="Hyperlink"/>
          </w:rPr>
          <w:t xml:space="preserve">Paxton 2026</w:t>
        </w:r>
      </w:hyperlink>
      <w:r>
        <w:t xml:space="preserve">)</w:t>
      </w:r>
      <w:r>
        <w:t xml:space="preserve">, but to our knowledge no prior work states a Blackwell partial order</w:t>
      </w:r>
      <w:r>
        <w:t xml:space="preserve"> </w:t>
      </w:r>
      <w:r>
        <w:t xml:space="preserve">over context sources, derives the no-scalar-ranks consequence for language models, or supplies a</w:t>
      </w:r>
      <w:r>
        <w:t xml:space="preserve"> </w:t>
      </w:r>
      <w:r>
        <w:t xml:space="preserve">verified decision-restricted estimator. The mathematics we rely on is classical: the</w:t>
      </w:r>
      <w:r>
        <w:t xml:space="preserve"> </w:t>
      </w:r>
      <w:r>
        <w:t xml:space="preserve">Blackwell–Sherman–Stein equivalence and deficiency are due to Blackwell and</w:t>
      </w:r>
      <w:r>
        <w:t xml:space="preserve"> </w:t>
      </w:r>
      <w:r>
        <w:t xml:space="preserve">Le Cam </w:t>
      </w:r>
      <w:r>
        <w:t xml:space="preserve">(</w:t>
      </w:r>
      <w:hyperlink w:anchor="ref-blackwell1953">
        <w:r>
          <w:rPr>
            <w:rStyle w:val="Hyperlink"/>
          </w:rPr>
          <w:t xml:space="preserve">Blackwell 1953</w:t>
        </w:r>
      </w:hyperlink>
      <w:r>
        <w:t xml:space="preserve">;</w:t>
      </w:r>
      <w:r>
        <w:t xml:space="preserve"> </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with Torgersen’s monograph as the canonical</w:t>
      </w:r>
      <w:r>
        <w:t xml:space="preserve"> </w:t>
      </w:r>
      <w:r>
        <w:t xml:space="preserve">reference, and the fact that the order is a non-lattice partial order with genuinely incomparable</w:t>
      </w:r>
      <w:r>
        <w:t xml:space="preserve"> </w:t>
      </w:r>
      <w:r>
        <w:t xml:space="preserve">pairs is classical as well </w:t>
      </w:r>
      <w:r>
        <w:t xml:space="preserve">(</w:t>
      </w:r>
      <w:hyperlink w:anchor="ref-torgersen1991">
        <w:r>
          <w:rPr>
            <w:rStyle w:val="Hyperlink"/>
          </w:rPr>
          <w:t xml:space="preserve">Torgersen 1991</w:t>
        </w:r>
      </w:hyperlink>
      <w:r>
        <w:t xml:space="preserve">)</w:t>
      </w:r>
      <w:r>
        <w:t xml:space="preserve">. Theorem </w:t>
      </w:r>
      <w:hyperlink w:anchor="thm:incomparable">
        <w:r>
          <w:rPr>
            <w:rStyle w:val="Hyperlink"/>
          </w:rPr>
          <w:t xml:space="preserve">2</w:t>
        </w:r>
      </w:hyperlink>
      <w:r>
        <w:t xml:space="preserve"> </w:t>
      </w:r>
      <w:r>
        <w:t xml:space="preserve">is,</w:t>
      </w:r>
      <w:r>
        <w:t xml:space="preserve"> </w:t>
      </w:r>
      <w:r>
        <w:t xml:space="preserve">mathematically, a short corollary of Blackwell’s theorem applied to a constructed pair of decision</w:t>
      </w:r>
      <w:r>
        <w:t xml:space="preserve"> </w:t>
      </w:r>
      <w:r>
        <w:t xml:space="preserve">problems; we state it as an application-level result about language-model context, not as new</w:t>
      </w:r>
      <w:r>
        <w:t xml:space="preserve"> </w:t>
      </w:r>
      <w:r>
        <w:t xml:space="preserve">structure in the order. The genuinely new pieces are the framing, the surrogate, and the</w:t>
      </w:r>
      <w:r>
        <w:t xml:space="preserve"> </w:t>
      </w:r>
      <w:r>
        <w:t xml:space="preserve">verification.</w:t>
      </w:r>
    </w:p>
    <w:bookmarkEnd w:id="23"/>
    <w:bookmarkEnd w:id="24"/>
    <w:bookmarkStart w:id="31" w:name="sec:formalization"/>
    <w:p>
      <w:pPr>
        <w:pStyle w:val="Heading1"/>
      </w:pPr>
      <w:r>
        <w:t xml:space="preserve">Formalization</w:t>
      </w:r>
    </w:p>
    <w:p>
      <w:pPr>
        <w:pStyle w:val="FirstParagraph"/>
      </w:pPr>
      <w:r>
        <w:t xml:space="preserve">§</w:t>
      </w:r>
      <w:hyperlink w:anchor="sec:related">
        <w:r>
          <w:rPr>
            <w:rStyle w:val="Hyperlink"/>
          </w:rPr>
          <w:t xml:space="preserve">2</w:t>
        </w:r>
      </w:hyperlink>
      <w:r>
        <w:t xml:space="preserve"> </w:t>
      </w:r>
      <w:r>
        <w:t xml:space="preserve">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w:t>
      </w:r>
      <w:hyperlink w:anchor="sec:experiments">
        <w:r>
          <w:rPr>
            <w:rStyle w:val="Hyperlink"/>
          </w:rPr>
          <w:t xml:space="preserve">7</w:t>
        </w:r>
      </w:hyperlink>
      <w:r>
        <w:t xml:space="preserve">).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w:t>
      </w:r>
      <w:hyperlink w:anchor="subsec:sources">
        <w:r>
          <w:rPr>
            <w:rStyle w:val="Hyperlink"/>
          </w:rPr>
          <w:t xml:space="preserve">3.2</w:t>
        </w:r>
      </w:hyperlink>
      <w:r>
        <w:t xml:space="preserve"> </w:t>
      </w:r>
      <w:r>
        <w:t xml:space="preserve">and Lemma </w:t>
      </w:r>
      <w:hyperlink w:anchor="lem:noref">
        <w:r>
          <w:rPr>
            <w:rStyle w:val="Hyperlink"/>
          </w:rPr>
          <w:t xml:space="preserve">1</w:t>
        </w:r>
      </w:hyperlink>
      <w:r>
        <w:t xml:space="preserve">.</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w:t>
      </w:r>
      <w:hyperlink w:anchor="subsec:theta">
        <w:r>
          <w:rPr>
            <w:rStyle w:val="Hyperlink"/>
          </w:rPr>
          <w:t xml:space="preserve">3.3</w:t>
        </w:r>
      </w:hyperlink>
      <w:r>
        <w:t xml:space="preserve">).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w:t>
      </w:r>
      <w:hyperlink w:anchor="def:decision">
        <w:r>
          <w:rPr>
            <w:rStyle w:val="Hyperlink"/>
          </w:rPr>
          <w:t xml:space="preserve">2</w:t>
        </w:r>
      </w:hyperlink>
      <w:r>
        <w:t xml:space="preserve"> </w:t>
      </w:r>
      <w:r>
        <w:t xml:space="preserve">is load-bearing. Blackwell’s theorem</w:t>
      </w:r>
      <w:r>
        <w:t xml:space="preserve"> </w:t>
      </w:r>
      <w:r>
        <w:t xml:space="preserve">(§</w:t>
      </w:r>
      <w:hyperlink w:anchor="sec:order">
        <w:r>
          <w:rPr>
            <w:rStyle w:val="Hyperlink"/>
          </w:rPr>
          <w:t xml:space="preserve">4</w:t>
        </w:r>
      </w:hyperlink>
      <w:r>
        <w:t xml:space="preserve">)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w:t>
      </w:r>
      <w:hyperlink w:anchor="sec:estimator">
        <w:r>
          <w:rPr>
            <w:rStyle w:val="Hyperlink"/>
          </w:rPr>
          <w:t xml:space="preserve">6</w:t>
        </w:r>
      </w:hyperlink>
      <w:r>
        <w:t xml:space="preserve">, the</w:t>
      </w:r>
      <w:r>
        <w:t xml:space="preserve"> </w:t>
      </w:r>
      <w:r>
        <w:t xml:space="preserve">interference statistic of §</w:t>
      </w:r>
      <w:hyperlink w:anchor="subsec:interference">
        <w:r>
          <w:rPr>
            <w:rStyle w:val="Hyperlink"/>
          </w:rPr>
          <w:t xml:space="preserve">6.3</w:t>
        </w:r>
      </w:hyperlink>
      <w:r>
        <w:t xml:space="preserve">, and the entire six-model program of</w:t>
      </w:r>
      <w:r>
        <w:t xml:space="preserve"> </w:t>
      </w:r>
      <w:r>
        <w:t xml:space="preserve">§</w:t>
      </w:r>
      <w:hyperlink w:anchor="sec:experiments">
        <w:r>
          <w:rPr>
            <w:rStyle w:val="Hyperlink"/>
          </w:rPr>
          <w:t xml:space="preserve">7</w:t>
        </w:r>
      </w:hyperlink>
      <w:r>
        <w:t xml:space="preserve">,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w:t>
      </w:r>
      <w:hyperlink w:anchor="lem:bridge">
        <w:r>
          <w:rPr>
            <w:rStyle w:val="Hyperlink"/>
          </w:rPr>
          <w:t xml:space="preserve">2</w:t>
        </w:r>
      </w:hyperlink>
      <w:r>
        <w:t xml:space="preserve">).</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w:t>
      </w:r>
      <w:hyperlink w:anchor="eq:coordinates">
        <w:r>
          <w:rPr>
            <w:rStyle w:val="Hyperlink"/>
          </w:rPr>
          <w:t xml:space="preserve">[eq:coordinates]</w:t>
        </w:r>
      </w:hyperlink>
      <w:r>
        <w:t xml:space="preserve">.</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w:t>
      </w:r>
      <w:hyperlink w:anchor="def:projection">
        <w:r>
          <w:rPr>
            <w:rStyle w:val="Hyperlink"/>
          </w:rPr>
          <w:t xml:space="preserve">3</w:t>
        </w:r>
      </w:hyperlink>
      <w:r>
        <w:t xml:space="preserve"> </w:t>
      </w:r>
      <w:r>
        <w:t xml:space="preserve">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w:t>
      </w:r>
      <w:hyperlink w:anchor="sec:order">
        <w:r>
          <w:rPr>
            <w:rStyle w:val="Hyperlink"/>
          </w:rPr>
          <w:t xml:space="preserve">4</w:t>
        </w:r>
      </w:hyperlink>
      <w:r>
        <w:t xml:space="preserve"> </w:t>
      </w:r>
      <w:r>
        <w:t xml:space="preserve">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w:t>
      </w:r>
      <w:hyperlink w:anchor="sec:experiments">
        <w:r>
          <w:rPr>
            <w:rStyle w:val="Hyperlink"/>
          </w:rPr>
          <w:t xml:space="preserve">7</w:t>
        </w:r>
      </w:hyperlink>
      <w:r>
        <w:t xml:space="preserve">,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w:t>
      </w:r>
      <w:hyperlink w:anchor="sec:formalization">
        <w:r>
          <w:rPr>
            <w:rStyle w:val="Hyperlink"/>
          </w:rPr>
          <w:t xml:space="preserve">3</w:t>
        </w:r>
      </w:hyperlink>
      <w:r>
        <w:t xml:space="preserve">), the classical comparison of</w:t>
      </w:r>
      <w:r>
        <w:t xml:space="preserve"> </w:t>
      </w:r>
      <w:r>
        <w:t xml:space="preserve">experiments applies to them directly. We state the order, record that it is genuinely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w:t>
      </w:r>
      <w:hyperlink w:anchor="def:blackwell">
        <w:r>
          <w:rPr>
            <w:rStyle w:val="Hyperlink"/>
            <w:i/>
            <w:iCs/>
          </w:rPr>
          <w:t xml:space="preserve">4</w:t>
        </w:r>
      </w:hyperlink>
      <w:r>
        <w:rPr>
          <w:i/>
          <w:iCs/>
        </w:rPr>
        <w:t xml:space="preserve">);</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w:t>
      </w:r>
      <w:hyperlink w:anchor="def:projection">
        <w:r>
          <w:rPr>
            <w:rStyle w:val="Hyperlink"/>
          </w:rPr>
          <w:t xml:space="preserve">3</w:t>
        </w:r>
      </w:hyperlink>
      <w:r>
        <w:t xml:space="preserve">)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w:t>
      </w:r>
      <w:hyperlink w:anchor="def:projection">
        <w:r>
          <w:rPr>
            <w:rStyle w:val="Hyperlink"/>
            <w:i/>
            <w:iCs/>
          </w:rPr>
          <w:t xml:space="preserve">3</w:t>
        </w:r>
      </w:hyperlink>
      <w:r>
        <w:rPr>
          <w:i/>
          <w:iCs/>
        </w:rPr>
        <w:t xml:space="preserve">),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w:t>
      </w:r>
      <w:hyperlink w:anchor="lem:noref">
        <w:r>
          <w:rPr>
            <w:rStyle w:val="Hyperlink"/>
          </w:rPr>
          <w:t xml:space="preserve">1</w:t>
        </w:r>
      </w:hyperlink>
      <w:r>
        <w:t xml:space="preserve"> </w:t>
      </w:r>
      <w:r>
        <w:t xml:space="preserve">is the formal version of the garbling argument used in</w:t>
      </w:r>
      <w:r>
        <w:t xml:space="preserve"> </w:t>
      </w:r>
      <w:r>
        <w:t xml:space="preserve">§</w:t>
      </w:r>
      <w:hyperlink w:anchor="sec:experiments">
        <w:r>
          <w:rPr>
            <w:rStyle w:val="Hyperlink"/>
          </w:rPr>
          <w:t xml:space="preserve">7</w:t>
        </w:r>
      </w:hyperlink>
      <w:r>
        <w:t xml:space="preserve">: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w:t>
      </w:r>
      <w:hyperlink w:anchor="thm:blackwell">
        <w:r>
          <w:rPr>
            <w:rStyle w:val="Hyperlink"/>
          </w:rPr>
          <w:t xml:space="preserve">1</w:t>
        </w:r>
      </w:hyperlink>
      <w:r>
        <w:t xml:space="preserve"> </w:t>
      </w:r>
      <w:r>
        <w:t xml:space="preserve">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w:t>
      </w:r>
      <w:hyperlink w:anchor="thm:blackwell">
        <w:r>
          <w:rPr>
            <w:rStyle w:val="Hyperlink"/>
          </w:rPr>
          <w:t xml:space="preserve">1</w:t>
        </w:r>
      </w:hyperlink>
      <w:r>
        <w:t xml:space="preserve">.</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w:t>
      </w:r>
      <w:hyperlink w:anchor="def:projection">
        <w:r>
          <w:rPr>
            <w:rStyle w:val="Hyperlink"/>
            <w:i/>
            <w:iCs/>
          </w:rPr>
          <w:t xml:space="preserve">3</w:t>
        </w:r>
      </w:hyperlink>
      <w:r>
        <w:rPr>
          <w:i/>
          <w:iCs/>
        </w:rPr>
        <w:t xml:space="preserve">),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w:t>
      </w:r>
      <w:hyperlink w:anchor="ass:attain">
        <w:r>
          <w:rPr>
            <w:rStyle w:val="Hyperlink"/>
            <w:i/>
            <w:iCs/>
          </w:rPr>
          <w:t xml:space="preserve">1</w:t>
        </w:r>
      </w:hyperlink>
      <w:r>
        <w:rPr>
          <w:i/>
          <w:iCs/>
        </w:rPr>
        <w:t xml:space="preserve">).</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w:t>
      </w:r>
      <w:hyperlink w:anchor="thm:antimono">
        <w:r>
          <w:rPr>
            <w:rStyle w:val="Hyperlink"/>
            <w:i/>
            <w:iCs/>
          </w:rPr>
          <w:t xml:space="preserve">3</w:t>
        </w:r>
      </w:hyperlink>
      <w:r>
        <w:rPr>
          <w:i/>
          <w:iCs/>
        </w:rPr>
        <w:t xml:space="preserve">).</w:t>
      </w:r>
    </w:p>
    <w:bookmarkEnd w:id="40"/>
    <w:p>
      <w:pPr>
        <w:pStyle w:val="BodyText"/>
      </w:pPr>
      <w:r>
        <w:t xml:space="preserve">Intuitively: a fixed-rule crossover proves structural incomparability only when each winning</w:t>
      </w:r>
      <w:r>
        <w:t xml:space="preserve"> </w:t>
      </w:r>
      <w:r>
        <w:t xml:space="preserve">source reveals a coordinate the losing source genuinely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w:t>
      </w:r>
      <w:hyperlink w:anchor="ass:attain">
        <w:r>
          <w:rPr>
            <w:rStyle w:val="Hyperlink"/>
          </w:rPr>
          <w:t xml:space="preserve">1</w:t>
        </w:r>
      </w:hyperlink>
      <w:r>
        <w:t xml:space="preserve"> </w:t>
      </w:r>
      <w:r>
        <w:t xml:space="preserve">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w:t>
      </w:r>
      <w:hyperlink w:anchor="lem:bridge">
        <w:r>
          <w:rPr>
            <w:rStyle w:val="Hyperlink"/>
          </w:rPr>
          <w:t xml:space="preserve">2</w:t>
        </w:r>
      </w:hyperlink>
      <w:r>
        <w:t xml:space="preserve"> </w:t>
      </w:r>
      <w:r>
        <w:t xml:space="preserve">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w:t>
      </w:r>
      <w:hyperlink w:anchor="lem:noref">
        <w:r>
          <w:rPr>
            <w:rStyle w:val="Hyperlink"/>
          </w:rPr>
          <w:t xml:space="preserve">1</w:t>
        </w:r>
      </w:hyperlink>
      <w:r>
        <w:t xml:space="preserve">),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w:t>
      </w:r>
      <w:hyperlink w:anchor="sec:experiments">
        <w:r>
          <w:rPr>
            <w:rStyle w:val="Hyperlink"/>
          </w:rPr>
          <w:t xml:space="preserve">7</w:t>
        </w:r>
      </w:hyperlink>
      <w:r>
        <w:t xml:space="preserve">; where a model’s prior</w:t>
      </w:r>
      <w:r>
        <w:t xml:space="preserve"> </w:t>
      </w:r>
      <w:r>
        <w:t xml:space="preserve">partially recovers a convention (the</w:t>
      </w:r>
      <w:r>
        <w:t xml:space="preserve"> </w:t>
      </w:r>
      <m:oMath>
        <m:r>
          <m:t>θ</m:t>
        </m:r>
      </m:oMath>
      <w:r>
        <w:t xml:space="preserve">-dependence of §</w:t>
      </w:r>
      <w:hyperlink w:anchor="subsec:theta">
        <w:r>
          <w:rPr>
            <w:rStyle w:val="Hyperlink"/>
          </w:rPr>
          <w:t xml:space="preserve">3.3</w:t>
        </w:r>
      </w:hyperlink>
      <w:r>
        <w:t xml:space="preserve">), the cap</w:t>
      </w:r>
      <w:r>
        <w:t xml:space="preserve"> </w:t>
      </w:r>
      <w:r>
        <w:t xml:space="preserve">premise weakens and we do not verify on those cells. The reverse implication, predicting the</w:t>
      </w:r>
      <w:r>
        <w:t xml:space="preserve"> </w:t>
      </w:r>
      <w:r>
        <w:t xml:space="preserve">realized crossover from the abstract theorem, requires Assumption </w:t>
      </w:r>
      <w:hyperlink w:anchor="ass:attain">
        <w:r>
          <w:rPr>
            <w:rStyle w:val="Hyperlink"/>
          </w:rPr>
          <w:t xml:space="preserve">1</w:t>
        </w:r>
      </w:hyperlink>
      <w:r>
        <w:t xml:space="preserve">,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w:t>
      </w:r>
      <w:hyperlink w:anchor="sec:order">
        <w:r>
          <w:rPr>
            <w:rStyle w:val="Hyperlink"/>
          </w:rPr>
          <w:t xml:space="preserve">4</w:t>
        </w:r>
      </w:hyperlink>
      <w:r>
        <w:t xml:space="preserve"> </w:t>
      </w:r>
      <w:r>
        <w:t xml:space="preserve">showed the order is genuinely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w:t>
      </w:r>
      <w:hyperlink w:anchor="ass:attain">
        <w:r>
          <w:rPr>
            <w:rStyle w:val="Hyperlink"/>
            <w:i/>
            <w:iCs/>
          </w:rPr>
          <w:t xml:space="preserve">1</w:t>
        </w:r>
      </w:hyperlink>
      <w:r>
        <w:rPr>
          <w:i/>
          <w:iCs/>
        </w:rPr>
        <w:t xml:space="preserve">,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w:t>
      </w:r>
      <w:hyperlink w:anchor="thm:blackwell">
        <w:r>
          <w:rPr>
            <w:rStyle w:val="Hyperlink"/>
          </w:rPr>
          <w:t xml:space="preserve">1</w:t>
        </w:r>
      </w:hyperlink>
      <w:r>
        <w:t xml:space="preserve">,</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w:t>
      </w:r>
      <w:hyperlink w:anchor="ass:attain">
        <w:r>
          <w:rPr>
            <w:rStyle w:val="Hyperlink"/>
          </w:rPr>
          <w:t xml:space="preserve">1</w:t>
        </w:r>
      </w:hyperlink>
      <w:r>
        <w:t xml:space="preserve">,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w:t>
      </w:r>
      <w:hyperlink w:anchor="thm:incomparable">
        <w:r>
          <w:rPr>
            <w:rStyle w:val="Hyperlink"/>
          </w:rPr>
          <w:t xml:space="preserve">2</w:t>
        </w:r>
      </w:hyperlink>
      <w:r>
        <w:t xml:space="preserve"> </w:t>
      </w:r>
      <w:r>
        <w:t xml:space="preserve">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w:t>
      </w:r>
      <w:hyperlink w:anchor="prop:vinfo-monotone">
        <w:r>
          <w:rPr>
            <w:rStyle w:val="Hyperlink"/>
          </w:rPr>
          <w:t xml:space="preserve">1</w:t>
        </w:r>
      </w:hyperlink>
      <w:r>
        <w:t xml:space="preserve">).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w:t>
      </w:r>
      <w:hyperlink w:anchor="prop:vinfo-monotone">
        <w:r>
          <w:rPr>
            <w:rStyle w:val="Hyperlink"/>
          </w:rPr>
          <w:t xml:space="preserve">1</w:t>
        </w:r>
      </w:hyperlink>
      <w:r>
        <w:t xml:space="preserve">).</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w:t>
      </w:r>
      <w:hyperlink w:anchor="thm:incomparable">
        <w:r>
          <w:rPr>
            <w:rStyle w:val="Hyperlink"/>
          </w:rPr>
          <w:t xml:space="preserve">2</w:t>
        </w:r>
      </w:hyperlink>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w:t>
      </w:r>
      <w:hyperlink w:anchor="prop:trap-constrained">
        <w:r>
          <w:rPr>
            <w:rStyle w:val="Hyperlink"/>
          </w:rPr>
          <w:t xml:space="preserve">2</w:t>
        </w:r>
      </w:hyperlink>
      <w:r>
        <w:t xml:space="preserve"> </w:t>
      </w:r>
      <w:r>
        <w:t xml:space="preserve">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w:t>
      </w:r>
      <w:hyperlink w:anchor="sec:experiments">
        <w:r>
          <w:rPr>
            <w:rStyle w:val="Hyperlink"/>
          </w:rPr>
          <w:t xml:space="preserve">7</w:t>
        </w:r>
      </w:hyperlink>
      <w:r>
        <w:t xml:space="preserve"> </w:t>
      </w:r>
      <w:r>
        <w:t xml:space="preserve">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w:t>
      </w:r>
      <w:hyperlink w:anchor="sec:results-misrank">
        <w:r>
          <w:rPr>
            <w:rStyle w:val="Hyperlink"/>
          </w:rPr>
          <w:t xml:space="preserve">7.4.2</w:t>
        </w:r>
      </w:hyperlink>
      <w:r>
        <w:t xml:space="preserve">, Table </w:t>
      </w:r>
      <w:hyperlink w:anchor="tab:rankers">
        <w:r>
          <w:rPr>
            <w:rStyle w:val="Hyperlink"/>
          </w:rPr>
          <w:t xml:space="preserve">3</w:t>
        </w:r>
      </w:hyperlink>
      <w:r>
        <w:t xml:space="preserve">),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w:t>
      </w:r>
      <w:hyperlink w:anchor="prop:trap-constrained">
        <w:r>
          <w:rPr>
            <w:rStyle w:val="Hyperlink"/>
          </w:rPr>
          <w:t xml:space="preserve">2</w:t>
        </w:r>
      </w:hyperlink>
      <w:r>
        <w:t xml:space="preserve"> </w:t>
      </w:r>
      <w:r>
        <w:t xml:space="preserve">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w:t>
      </w:r>
      <w:hyperlink w:anchor="sec:incomparability">
        <w:r>
          <w:rPr>
            <w:rStyle w:val="Hyperlink"/>
          </w:rPr>
          <w:t xml:space="preserve">5</w:t>
        </w:r>
      </w:hyperlink>
      <w:r>
        <w:t xml:space="preserve"> </w:t>
      </w:r>
      <w:r>
        <w:t xml:space="preserve">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w:t>
      </w:r>
      <w:hyperlink w:anchor="def:dmorder">
        <w:r>
          <w:rPr>
            <w:rStyle w:val="Hyperlink"/>
          </w:rPr>
          <w:t xml:space="preserve">5</w:t>
        </w:r>
      </w:hyperlink>
      <w:r>
        <w:t xml:space="preserve">.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hyperlink w:anchor="eq:estimator">
        <w:r>
          <w:rPr>
            <w:rStyle w:val="Hyperlink"/>
          </w:rPr>
          <w:t xml:space="preserve">[eq:estimator]</w:t>
        </w:r>
      </w:hyperlink>
      <w:r>
        <w:t xml:space="preserve"> </w:t>
      </w:r>
      <w:r>
        <w:t xml:space="preserve">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w:t>
      </w:r>
      <w:r>
        <w:t xml:space="preserve"> </w:t>
      </w:r>
      <w:hyperlink w:anchor="eq:estimator">
        <w:r>
          <w:rPr>
            <w:rStyle w:val="Hyperlink"/>
          </w:rPr>
          <w:t xml:space="preserve">[eq:estimator]</w:t>
        </w:r>
      </w:hyperlink>
      <w:r>
        <w:t xml:space="preserve"> </w:t>
      </w:r>
      <w:r>
        <w:t xml:space="preserve">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w:t>
      </w:r>
      <w:hyperlink w:anchor="def:dmorder">
        <w:r>
          <w:rPr>
            <w:rStyle w:val="Hyperlink"/>
          </w:rPr>
          <w:t xml:space="preserve">5</w:t>
        </w:r>
      </w:hyperlink>
      <w:r>
        <w:t xml:space="preserve">, the measurable shadow of Corollary </w:t>
      </w:r>
      <w:hyperlink w:anchor="cor:c1">
        <w:r>
          <w:rPr>
            <w:rStyle w:val="Hyperlink"/>
          </w:rPr>
          <w:t xml:space="preserve">1</w:t>
        </w:r>
      </w:hyperlink>
      <w:r>
        <w:t xml:space="preserve">.</w:t>
      </w:r>
    </w:p>
    <w:bookmarkEnd w:id="52"/>
    <w:bookmarkEnd w:id="53"/>
    <w:bookmarkStart w:id="56" w:name="subsec:certificate"/>
    <w:p>
      <w:pPr>
        <w:pStyle w:val="Heading2"/>
      </w:pPr>
      <w:r>
        <w:t xml:space="preserve">The uniform verification</w:t>
      </w:r>
    </w:p>
    <w:p>
      <w:pPr>
        <w:pStyle w:val="FirstParagraph"/>
      </w:pPr>
      <w:r>
        <w:t xml:space="preserve">The surrogate</w:t>
      </w:r>
      <w:r>
        <w:t xml:space="preserve"> </w:t>
      </w:r>
      <w:hyperlink w:anchor="eq:estimator">
        <w:r>
          <w:rPr>
            <w:rStyle w:val="Hyperlink"/>
          </w:rPr>
          <w:t xml:space="preserve">[eq:estimator]</w:t>
        </w:r>
      </w:hyperlink>
      <w:r>
        <w:t xml:space="preserve"> </w:t>
      </w:r>
      <w:r>
        <w:t xml:space="preserve">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w:t>
      </w:r>
      <w:hyperlink w:anchor="ass:iid">
        <w:r>
          <w:rPr>
            <w:rStyle w:val="Hyperlink"/>
            <w:i/>
            <w:iCs/>
          </w:rPr>
          <w:t xml:space="preserve">2</w:t>
        </w:r>
      </w:hyperlink>
      <w:r>
        <w:rPr>
          <w:i/>
          <w:iCs/>
        </w:rPr>
        <w:t xml:space="preserve">).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w:t>
      </w:r>
      <w:hyperlink w:anchor="app:proofs">
        <w:r>
          <w:rPr>
            <w:rStyle w:val="Hyperlink"/>
          </w:rPr>
          <w:t xml:space="preserve">10</w:t>
        </w:r>
      </w:hyperlink>
      <w:r>
        <w:t xml:space="preserve">); the resulting construction aligns with recent statistical</w:t>
      </w:r>
      <w:r>
        <w:t xml:space="preserve"> </w:t>
      </w:r>
      <w:r>
        <w:t xml:space="preserve">guidance for black-box LLM evaluation (Appendix </w:t>
      </w:r>
      <w:hyperlink w:anchor="app:proofs">
        <w:r>
          <w:rPr>
            <w:rStyle w:val="Hyperlink"/>
          </w:rPr>
          <w:t xml:space="preserve">10</w:t>
        </w:r>
      </w:hyperlink>
      <w:r>
        <w:t xml:space="preserve">).</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w:t>
      </w:r>
      <w:hyperlink w:anchor="sec:experiments">
        <w:r>
          <w:rPr>
            <w:rStyle w:val="Hyperlink"/>
          </w:rPr>
          <w:t xml:space="preserve">7</w:t>
        </w:r>
      </w:hyperlink>
      <w:r>
        <w:t xml:space="preserve">.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w:t>
      </w:r>
      <w:hyperlink w:anchor="def:projection">
        <w:r>
          <w:rPr>
            <w:rStyle w:val="Hyperlink"/>
          </w:rPr>
          <w:t xml:space="preserve">3</w:t>
        </w:r>
      </w:hyperlink>
      <w:r>
        <w:t xml:space="preserve">)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w:t>
      </w:r>
      <w:hyperlink w:anchor="rem:dkw">
        <w:r>
          <w:rPr>
            <w:rStyle w:val="Hyperlink"/>
            <w:i/>
            <w:iCs/>
          </w:rPr>
          <w:t xml:space="preserve">6</w:t>
        </w:r>
      </w:hyperlink>
      <w:r>
        <w:rPr>
          <w:i/>
          <w:iCs/>
        </w:rPr>
        <w:t xml:space="preserve">),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w:t>
      </w:r>
      <w:r>
        <w:t xml:space="preserve"> </w:t>
      </w:r>
      <w:hyperlink w:anchor="eq:psiupper">
        <w:r>
          <w:rPr>
            <w:rStyle w:val="Hyperlink"/>
          </w:rPr>
          <w:t xml:space="preserve">[eq:psiupper]</w:t>
        </w:r>
      </w:hyperlink>
      <w:r>
        <w:t xml:space="preserve"> </w:t>
      </w:r>
      <w:r>
        <w:t xml:space="preserve">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w:t>
      </w:r>
      <w:hyperlink w:anchor="subsec:theta">
        <w:r>
          <w:rPr>
            <w:rStyle w:val="Hyperlink"/>
          </w:rPr>
          <w:t xml:space="preserve">3.3</w:t>
        </w:r>
      </w:hyperlink>
      <w:r>
        <w:t xml:space="preserve">) thus governs which cells can carry the interference verification.</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w:t>
      </w:r>
      <w:hyperlink w:anchor="thm:blackwell">
        <w:r>
          <w:rPr>
            <w:rStyle w:val="Hyperlink"/>
          </w:rPr>
          <w:t xml:space="preserve">1</w:t>
        </w:r>
      </w:hyperlink>
      <w:r>
        <w:t xml:space="preserve">)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w:t>
      </w:r>
      <w:hyperlink w:anchor="lem:noref">
        <w:r>
          <w:rPr>
            <w:rStyle w:val="Hyperlink"/>
            <w:i/>
            <w:iCs/>
          </w:rPr>
          <w:t xml:space="preserve">1</w:t>
        </w:r>
      </w:hyperlink>
      <w:r>
        <w:rPr>
          <w:i/>
          <w:iCs/>
        </w:rPr>
        <w:t xml:space="preserve">).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w:t>
      </w:r>
      <w:hyperlink w:anchor="thm:blackwell">
        <w:r>
          <w:rPr>
            <w:rStyle w:val="Hyperlink"/>
            <w:i/>
            <w:iCs/>
          </w:rPr>
          <w:t xml:space="preserve">1</w:t>
        </w:r>
      </w:hyperlink>
      <w:r>
        <w:rPr>
          <w:i/>
          <w:iCs/>
        </w:rPr>
        <w:t xml:space="preserve">,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w:t>
      </w:r>
      <w:hyperlink w:anchor="thm:antimono">
        <w:r>
          <w:rPr>
            <w:rStyle w:val="Hyperlink"/>
          </w:rPr>
          <w:t xml:space="preserve">3</w:t>
        </w:r>
      </w:hyperlink>
      <w:r>
        <w:t xml:space="preserve"> </w:t>
      </w:r>
      <w:r>
        <w:t xml:space="preserve">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w:t>
      </w:r>
      <w:hyperlink w:anchor="lem:bridge">
        <w:r>
          <w:rPr>
            <w:rStyle w:val="Hyperlink"/>
          </w:rPr>
          <w:t xml:space="preserve">2</w:t>
        </w:r>
      </w:hyperlink>
      <w:r>
        <w:t xml:space="preserve">(b)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w:t>
      </w:r>
      <w:hyperlink w:anchor="prop:certificate">
        <w:r>
          <w:rPr>
            <w:rStyle w:val="Hyperlink"/>
          </w:rPr>
          <w:t xml:space="preserve">3</w:t>
        </w:r>
      </w:hyperlink>
      <w:r>
        <w:t xml:space="preserve">; interference via</w:t>
      </w:r>
      <w:r>
        <w:t xml:space="preserve"> </w:t>
      </w:r>
      <w:r>
        <w:t xml:space="preserve">Proposition </w:t>
      </w:r>
      <w:hyperlink w:anchor="prop:interference">
        <w:r>
          <w:rPr>
            <w:rStyle w:val="Hyperlink"/>
          </w:rPr>
          <w:t xml:space="preserve">4</w:t>
        </w:r>
      </w:hyperlink>
      <w:r>
        <w:t xml:space="preserve">).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w:t>
      </w:r>
      <w:hyperlink w:anchor="prop:certificate">
        <w:r>
          <w:rPr>
            <w:rStyle w:val="Hyperlink"/>
          </w:rPr>
          <w:t xml:space="preserve">3</w:t>
        </w:r>
      </w:hyperlink>
      <w:r>
        <w:t xml:space="preserve">; all other cross-claim conjunctions on a shared run are reported</w:t>
      </w:r>
      <w:r>
        <w:t xml:space="preserve"> </w:t>
      </w:r>
      <w:r>
        <w:t xml:space="preserve">as marginal.</w:t>
      </w:r>
    </w:p>
    <w:p>
      <w:pPr>
        <w:pStyle w:val="BodyText"/>
      </w:pPr>
      <w:r>
        <w:t xml:space="preserve">The two verifications have genuinely different effective-</w:t>
      </w:r>
      <m:oMath>
        <m:r>
          <m:t>n</m:t>
        </m:r>
      </m:oMath>
      <w:r>
        <w:t xml:space="preserve"> </w:t>
      </w:r>
      <w:r>
        <w:t xml:space="preserve">requirements, which is why the consolidated record marks Opus incomparability as verified and Opus interference as reproduced but not verified; the power analysis is in Appendix </w:t>
      </w:r>
      <w:hyperlink w:anchor="app:proofs">
        <w:r>
          <w:rPr>
            <w:rStyle w:val="Hyperlink"/>
          </w:rPr>
          <w:t xml:space="preserve">10</w:t>
        </w:r>
      </w:hyperlink>
      <w:r>
        <w:t xml:space="preserve">.</w:t>
      </w:r>
    </w:p>
    <w:bookmarkEnd w:id="62"/>
    <w:bookmarkEnd w:id="63"/>
    <w:bookmarkStart w:id="99" w:name="sec:experiments"/>
    <w:p>
      <w:pPr>
        <w:pStyle w:val="Heading1"/>
      </w:pPr>
      <w:r>
        <w:t xml:space="preserve">Experiments</w:t>
      </w:r>
    </w:p>
    <w:p>
      <w:pPr>
        <w:pStyle w:val="FirstParagraph"/>
      </w:pPr>
      <w:r>
        <w:t xml:space="preserve">With the order (§</w:t>
      </w:r>
      <w:hyperlink w:anchor="sec:order">
        <w:r>
          <w:rPr>
            <w:rStyle w:val="Hyperlink"/>
          </w:rPr>
          <w:t xml:space="preserve">4</w:t>
        </w:r>
      </w:hyperlink>
      <w:r>
        <w:t xml:space="preserve">), its impossibility consequence (§</w:t>
      </w:r>
      <w:hyperlink w:anchor="sec:incomparability">
        <w:r>
          <w:rPr>
            <w:rStyle w:val="Hyperlink"/>
          </w:rPr>
          <w:t xml:space="preserve">5</w:t>
        </w:r>
      </w:hyperlink>
      <w:r>
        <w:t xml:space="preserve">),</w:t>
      </w:r>
      <w:r>
        <w:t xml:space="preserve"> </w:t>
      </w:r>
      <w:r>
        <w:t xml:space="preserve">and the verification that measures it (§</w:t>
      </w:r>
      <w:hyperlink w:anchor="sec:estimator">
        <w:r>
          <w:rPr>
            <w:rStyle w:val="Hyperlink"/>
          </w:rPr>
          <w:t xml:space="preserve">6</w:t>
        </w:r>
      </w:hyperlink>
      <w:r>
        <w:t xml:space="preserve">)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w:t>
      </w:r>
      <w:hyperlink w:anchor="sec:design">
        <w:r>
          <w:rPr>
            <w:rStyle w:val="Hyperlink"/>
          </w:rPr>
          <w:t xml:space="preserve">7.1</w:t>
        </w:r>
      </w:hyperlink>
      <w:r>
        <w:t xml:space="preserve">), so the incomparability theorem (Theorem </w:t>
      </w:r>
      <w:hyperlink w:anchor="thm:incomparable">
        <w:r>
          <w:rPr>
            <w:rStyle w:val="Hyperlink"/>
          </w:rPr>
          <w:t xml:space="preserve">2</w:t>
        </w:r>
      </w:hyperlink>
      <w:r>
        <w:t xml:space="preserve">)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w:t>
      </w:r>
      <w:hyperlink w:anchor="sec:results">
        <w:r>
          <w:rPr>
            <w:rStyle w:val="Hyperlink"/>
          </w:rPr>
          <w:t xml:space="preserve">7.4</w:t>
        </w:r>
      </w:hyperlink>
      <w:r>
        <w:t xml:space="preserve">),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w:t>
      </w:r>
      <w:hyperlink w:anchor="thm:incomparable">
        <w:r>
          <w:rPr>
            <w:rStyle w:val="Hyperlink"/>
          </w:rPr>
          <w:t xml:space="preserve">2</w:t>
        </w:r>
      </w:hyperlink>
      <w:r>
        <w:t xml:space="preserve"> </w:t>
      </w:r>
      <w:r>
        <w:t xml:space="preserve">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string superset of</w:t>
      </w:r>
      <w:r>
        <w:t xml:space="preserve"> </w:t>
      </w:r>
      <m:oMath>
        <m:sSub>
          <m:e>
            <m:r>
              <m:t>W</m:t>
            </m:r>
          </m:e>
          <m:sub>
            <m:r>
              <m:t>2</m:t>
            </m:r>
          </m:sub>
        </m:sSub>
      </m:oMath>
      <w:r>
        <w:t xml:space="preserve">, it Blackwell-dominates</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2</m:t>
            </m:r>
          </m:sub>
        </m:sSub>
      </m:oMath>
      <w:r>
        <w:t xml:space="preserve">); 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w:t>
      </w:r>
      <w:hyperlink w:anchor="sec:formalization">
        <w:r>
          <w:rPr>
            <w:rStyle w:val="Hyperlink"/>
          </w:rPr>
          <w:t xml:space="preserve">3</w:t>
        </w:r>
      </w:hyperlink>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w:t>
      </w:r>
      <w:hyperlink w:anchor="lem:noref">
        <w:r>
          <w:rPr>
            <w:rStyle w:val="Hyperlink"/>
          </w:rPr>
          <w:t xml:space="preserve">1</w:t>
        </w:r>
      </w:hyperlink>
      <w:r>
        <w:t xml:space="preserve">).</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Because both baselines sit near</w:t>
      </w:r>
      <w:r>
        <w:t xml:space="preserve"> </w:t>
      </w:r>
      <w:r>
        <w:t xml:space="preserve">zero, the two task families are equally hard on their own, so any difference comes from the matching</w:t>
      </w:r>
      <w:r>
        <w:t xml:space="preserve"> </w:t>
      </w:r>
      <w:r>
        <w:t xml:space="preserve">private fact, not from one family being harder.</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w:t>
      </w:r>
      <w:hyperlink w:anchor="sec:results-incomp">
        <w:r>
          <w:rPr>
            <w:rStyle w:val="Hyperlink"/>
          </w:rPr>
          <w:t xml:space="preserve">7.4.1</w:t>
        </w:r>
      </w:hyperlink>
      <w:r>
        <w:t xml:space="preserve">).</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w:t>
      </w:r>
      <w:hyperlink w:anchor="thm:incomparable">
        <w:r>
          <w:rPr>
            <w:rStyle w:val="Hyperlink"/>
          </w:rPr>
          <w:t xml:space="preserve">2</w:t>
        </w:r>
      </w:hyperlink>
      <w:r>
        <w:t xml:space="preserve">.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w:t>
      </w:r>
      <w:hyperlink w:anchor="prop:trap-constrained">
        <w:r>
          <w:rPr>
            <w:rStyle w:val="Hyperlink"/>
          </w:rPr>
          <w:t xml:space="preserve">2</w:t>
        </w:r>
      </w:hyperlink>
      <w:r>
        <w:t xml:space="preserve">,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w:t>
      </w:r>
      <w:hyperlink w:anchor="sec:results-misrank">
        <w:r>
          <w:rPr>
            <w:rStyle w:val="Hyperlink"/>
          </w:rPr>
          <w:t xml:space="preserve">7.4.2</w:t>
        </w:r>
      </w:hyperlink>
      <w:r>
        <w:t xml:space="preserve">, while the theorem (Theorem </w:t>
      </w:r>
      <w:hyperlink w:anchor="thm:incomparable">
        <w:r>
          <w:rPr>
            <w:rStyle w:val="Hyperlink"/>
          </w:rPr>
          <w:t xml:space="preserve">2</w:t>
        </w:r>
      </w:hyperlink>
      <w:r>
        <w:t xml:space="preserve">)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w:t>
      </w:r>
      <w:r>
        <w:t xml:space="preserve"> </w:t>
      </w:r>
      <w:hyperlink w:anchor="eq:psiupper">
        <w:r>
          <w:rPr>
            <w:rStyle w:val="Hyperlink"/>
          </w:rPr>
          <w:t xml:space="preserve">[eq:psiupper]</w:t>
        </w:r>
      </w:hyperlink>
      <w:r>
        <w:t xml:space="preserve">.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w:t>
      </w:r>
      <w:hyperlink w:anchor="subsec:fwer">
        <w:r>
          <w:rPr>
            <w:rStyle w:val="Hyperlink"/>
          </w:rPr>
          <w:t xml:space="preserve">6.5</w:t>
        </w:r>
      </w:hyperlink>
      <w:r>
        <w:t xml:space="preserve">, §</w:t>
      </w:r>
      <w:hyperlink w:anchor="sec:limitations">
        <w:r>
          <w:rPr>
            <w:rStyle w:val="Hyperlink"/>
          </w:rPr>
          <w:t xml:space="preserve">8.5</w:t>
        </w:r>
      </w:hyperlink>
      <w:r>
        <w:t xml:space="preserve">).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w:t>
      </w:r>
      <w:hyperlink w:anchor="ass:iid">
        <w:r>
          <w:rPr>
            <w:rStyle w:val="Hyperlink"/>
          </w:rPr>
          <w:t xml:space="preserve">2</w:t>
        </w:r>
      </w:hyperlink>
      <w:r>
        <w:t xml:space="preserve">);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w:t>
      </w:r>
      <w:hyperlink w:anchor="app:repro">
        <w:r>
          <w:rPr>
            <w:rStyle w:val="Hyperlink"/>
          </w:rPr>
          <w:t xml:space="preserve">12</w:t>
        </w:r>
      </w:hyperlink>
      <w:r>
        <w:t xml:space="preserve">.</w:t>
      </w:r>
    </w:p>
    <w:bookmarkEnd w:id="75"/>
    <w:bookmarkStart w:id="76"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w:t>
      </w:r>
      <w:hyperlink w:anchor="app:repro">
        <w:r>
          <w:rPr>
            <w:rStyle w:val="Hyperlink"/>
          </w:rPr>
          <w:t xml:space="preserve">12</w:t>
        </w:r>
      </w:hyperlink>
      <w:r>
        <w:t xml:space="preserve">) plus Azure quota for the non-Anthropic models; the Azure API</w:t>
      </w:r>
      <w:r>
        <w:t xml:space="preserve"> </w:t>
      </w:r>
      <w:r>
        <w:t xml:space="preserve">returns no cost field, so this figure is not the total cost across all six models.</w:t>
      </w:r>
    </w:p>
    <w:bookmarkEnd w:id="76"/>
    <w:bookmarkEnd w:id="77"/>
    <w:bookmarkStart w:id="97" w:name="sec:results"/>
    <w:p>
      <w:pPr>
        <w:pStyle w:val="Heading2"/>
      </w:pPr>
      <w:r>
        <w:t xml:space="preserve">Results</w:t>
      </w:r>
    </w:p>
    <w:p>
      <w:pPr>
        <w:pStyle w:val="FirstParagraph"/>
      </w:pPr>
      <w:r>
        <w:t xml:space="preserve">We report four findings: incomparability (§</w:t>
      </w:r>
      <w:hyperlink w:anchor="sec:results-incomp">
        <w:r>
          <w:rPr>
            <w:rStyle w:val="Hyperlink"/>
          </w:rPr>
          <w:t xml:space="preserve">7.4.1</w:t>
        </w:r>
      </w:hyperlink>
      <w:r>
        <w:t xml:space="preserve">), the relevance mis-rank</w:t>
      </w:r>
      <w:r>
        <w:t xml:space="preserve"> </w:t>
      </w:r>
      <w:r>
        <w:t xml:space="preserve">(§</w:t>
      </w:r>
      <w:hyperlink w:anchor="sec:results-misrank">
        <w:r>
          <w:rPr>
            <w:rStyle w:val="Hyperlink"/>
          </w:rPr>
          <w:t xml:space="preserve">7.4.2</w:t>
        </w:r>
      </w:hyperlink>
      <w:r>
        <w:t xml:space="preserve">), anti-monotonicity (§</w:t>
      </w:r>
      <w:hyperlink w:anchor="sec:results-antimono">
        <w:r>
          <w:rPr>
            <w:rStyle w:val="Hyperlink"/>
          </w:rPr>
          <w:t xml:space="preserve">7.4.3</w:t>
        </w:r>
      </w:hyperlink>
      <w:r>
        <w:t xml:space="preserve">), and the</w:t>
      </w:r>
      <w:r>
        <w:t xml:space="preserve"> </w:t>
      </w:r>
      <w:r>
        <w:t xml:space="preserve">model-relative value of private context (§</w:t>
      </w:r>
      <w:hyperlink w:anchor="sec:results-moat">
        <w:r>
          <w:rPr>
            <w:rStyle w:val="Hyperlink"/>
          </w:rPr>
          <w:t xml:space="preserve">7.4.4</w:t>
        </w:r>
      </w:hyperlink>
      <w:r>
        <w:t xml:space="preserve">). Table </w:t>
      </w:r>
      <w:hyperlink w:anchor="tab:consolidated">
        <w:r>
          <w:rPr>
            <w:rStyle w:val="Hyperlink"/>
          </w:rPr>
          <w:t xml:space="preserve">1</w:t>
        </w:r>
      </w:hyperlink>
      <w:r>
        <w:t xml:space="preserve"> </w:t>
      </w:r>
      <w:r>
        <w:t xml:space="preserve">consolidates the per-model verdicts; Tables </w:t>
      </w:r>
      <w:hyperlink w:anchor="tab:LD">
        <w:r>
          <w:rPr>
            <w:rStyle w:val="Hyperlink"/>
          </w:rPr>
          <w:t xml:space="preserve">2</w:t>
        </w:r>
      </w:hyperlink>
      <w:r>
        <w:t xml:space="preserve">,</w:t>
      </w:r>
      <w:r>
        <w:t xml:space="preserve"> </w:t>
      </w:r>
      <w:hyperlink w:anchor="tab:interference">
        <w:r>
          <w:rPr>
            <w:rStyle w:val="Hyperlink"/>
          </w:rPr>
          <w:t xml:space="preserve">4</w:t>
        </w:r>
      </w:hyperlink>
      <w:r>
        <w:t xml:space="preserve">, and</w:t>
      </w:r>
      <w:r>
        <w:t xml:space="preserve"> </w:t>
      </w:r>
      <w:hyperlink w:anchor="tab:percell">
        <w:r>
          <w:rPr>
            <w:rStyle w:val="Hyperlink"/>
          </w:rPr>
          <w:t xml:space="preserve">5</w:t>
        </w:r>
      </w:hyperlink>
      <w:r>
        <w:t xml:space="preserve"> </w:t>
      </w:r>
      <w:r>
        <w:t xml:space="preserve">give the underlying quantities.</w:t>
      </w:r>
    </w:p>
    <w:bookmarkStart w:id="78"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w:t>
      </w:r>
      <w:hyperlink w:anchor="sec:methodology">
        <w:r>
          <w:rPr>
            <w:rStyle w:val="Hyperlink"/>
          </w:rPr>
          <w:t xml:space="preserve">7.3</w:t>
        </w:r>
      </w:hyperlink>
      <w:r>
        <w:t xml:space="preserve">).</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w:t>
      </w:r>
      <w:hyperlink w:anchor="tab:LD">
        <w:r>
          <w:rPr>
            <w:rStyle w:val="Hyperlink"/>
          </w:rPr>
          <w:t xml:space="preserve">2</w:t>
        </w:r>
      </w:hyperlink>
      <w:r>
        <w:t xml:space="preserve">).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w:t>
      </w:r>
      <w:hyperlink w:anchor="tab:LD">
        <w:r>
          <w:rPr>
            <w:rStyle w:val="Hyperlink"/>
          </w:rPr>
          <w:t xml:space="preserve">2</w:t>
        </w:r>
      </w:hyperlink>
      <w:r>
        <w:t xml:space="preserve"> </w:t>
      </w:r>
      <w:r>
        <w:t xml:space="preserve">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w:t>
      </w:r>
      <w:hyperlink w:anchor="prop:certificate">
        <w:r>
          <w:rPr>
            <w:rStyle w:val="Hyperlink"/>
          </w:rPr>
          <w:t xml:space="preserve">3</w:t>
        </w:r>
      </w:hyperlink>
      <w:r>
        <w:t xml:space="preserve">).</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w:t>
      </w:r>
      <w:hyperlink w:anchor="rem:leaky">
        <w:r>
          <w:rPr>
            <w:rStyle w:val="Hyperlink"/>
          </w:rPr>
          <w:t xml:space="preserve">5</w:t>
        </w:r>
      </w:hyperlink>
      <w:r>
        <w:t xml:space="preserve">), so neither</w:t>
      </w:r>
      <w:r>
        <w:t xml:space="preserve"> </w:t>
      </w:r>
      <w:r>
        <w:t xml:space="preserve">cell verifies. Both facts are the same model-relative-value effect (§</w:t>
      </w:r>
      <w:hyperlink w:anchor="sec:results-moat">
        <w:r>
          <w:rPr>
            <w:rStyle w:val="Hyperlink"/>
          </w:rPr>
          <w:t xml:space="preserve">7.4.4</w:t>
        </w:r>
      </w:hyperlink>
      <w:r>
        <w:t xml:space="preserve">): Opus</w:t>
      </w:r>
      <w:r>
        <w:t xml:space="preserve"> </w:t>
      </w:r>
      <w:r>
        <w:t xml:space="preserve">partially already knows the convention, which shrinks the harm the certificate can attribute to the</w:t>
      </w:r>
      <w:r>
        <w:t xml:space="preserve"> </w:t>
      </w:r>
      <w:r>
        <w:t xml:space="preserve">added signal.</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w:t>
      </w:r>
      <w:hyperlink w:anchor="thm:incomparable">
        <w:r>
          <w:rPr>
            <w:rStyle w:val="Hyperlink"/>
          </w:rPr>
          <w:t xml:space="preserve">2</w:t>
        </w:r>
      </w:hyperlink>
      <w:r>
        <w:t xml:space="preserve"> </w:t>
      </w:r>
      <w:r>
        <w:t xml:space="preserve">and</w:t>
      </w:r>
      <w:r>
        <w:t xml:space="preserve"> </w:t>
      </w:r>
      <w:r>
        <w:t xml:space="preserve">Proposition </w:t>
      </w:r>
      <w:hyperlink w:anchor="prop:trap-constrained">
        <w:r>
          <w:rPr>
            <w:rStyle w:val="Hyperlink"/>
          </w:rPr>
          <w:t xml:space="preserve">2</w:t>
        </w:r>
      </w:hyperlink>
      <w:r>
        <w:t xml:space="preserve"> </w:t>
      </w:r>
      <w:r>
        <w:t xml:space="preserve">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 genuinely</w:t>
      </w:r>
      <w:r>
        <w:t xml:space="preserve"> </w:t>
      </w:r>
      <w:r>
        <w:t xml:space="preserve">unguessable and that encoding knowledge is useless on this task.</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w:t>
      </w:r>
      <w:hyperlink w:anchor="tab:rankers">
        <w:r>
          <w:rPr>
            <w:rStyle w:val="Hyperlink"/>
          </w:rPr>
          <w:t xml:space="preserve">3</w:t>
        </w:r>
      </w:hyperlink>
      <w:r>
        <w:t xml:space="preserve"> </w:t>
      </w:r>
      <w:r>
        <w:t xml:space="preserve">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w:t>
      </w:r>
      <w:hyperlink w:anchor="prop:trap-constrained">
        <w:r>
          <w:rPr>
            <w:rStyle w:val="Hyperlink"/>
          </w:rPr>
          <w:t xml:space="preserve">2</w:t>
        </w:r>
      </w:hyperlink>
      <w:r>
        <w:t xml:space="preserve"> </w:t>
      </w:r>
      <w:r>
        <w:t xml:space="preserve">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w:t>
      </w:r>
      <w:hyperlink w:anchor="tab:interference">
        <w:r>
          <w:rPr>
            <w:rStyle w:val="Hyperlink"/>
          </w:rPr>
          <w:t xml:space="preserve">4</w:t>
        </w:r>
      </w:hyperlink>
      <w:r>
        <w:t xml:space="preserve">).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w:t>
      </w:r>
      <w:hyperlink w:anchor="sec:results-moat">
        <w:r>
          <w:rPr>
            <w:rStyle w:val="Hyperlink"/>
          </w:rPr>
          <w:t xml:space="preserve">7.4.4</w:t>
        </w:r>
      </w:hyperlink>
      <w:r>
        <w:t xml:space="preserve">. This is a</w:t>
      </w:r>
      <w:r>
        <w:t xml:space="preserve"> </w:t>
      </w:r>
      <w:r>
        <w:t xml:space="preserve">verified empirical falsification of Blackwell superset-dominance on live models</w:t>
      </w:r>
      <w:r>
        <w:t xml:space="preserve"> </w:t>
      </w:r>
      <w:r>
        <w:t xml:space="preserve">(Theorem </w:t>
      </w:r>
      <w:hyperlink w:anchor="thm:antimono">
        <w:r>
          <w:rPr>
            <w:rStyle w:val="Hyperlink"/>
          </w:rPr>
          <w:t xml:space="preserve">3</w:t>
        </w:r>
      </w:hyperlink>
      <w:r>
        <w:t xml:space="preserve">): strictly-more-informative context can hurt, and the deficiency</w:t>
      </w:r>
      <w:r>
        <w:t xml:space="preserve"> </w:t>
      </w:r>
      <w:r>
        <w:t xml:space="preserve">framework detects it precisely where every monotone scalar must miss it.</w:t>
      </w:r>
      <w:r>
        <w:t xml:space="preserve"> </w:t>
      </w:r>
      <w:r>
        <w:t xml:space="preserve">Figure </w:t>
      </w:r>
      <w:hyperlink w:anchor="fig:collapse">
        <w:r>
          <w:rPr>
            <w:rStyle w:val="Hyperlink"/>
          </w:rPr>
          <w:t xml:space="preserve">1</w:t>
        </w:r>
      </w:hyperlink>
      <w:r>
        <w:t xml:space="preserve"> </w:t>
      </w:r>
      <w:r>
        <w:t xml:space="preserve">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w:t>
      </w:r>
      <w:hyperlink w:anchor="tab:percell">
        <w:r>
          <w:rPr>
            <w:rStyle w:val="Hyperlink"/>
          </w:rPr>
          <w:t xml:space="preserve">5</w:t>
        </w:r>
      </w:hyperlink>
      <w:r>
        <w:t xml:space="preserve">).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w:t>
      </w:r>
      <w:hyperlink w:anchor="tab:interference">
        <w:r>
          <w:rPr>
            <w:rStyle w:val="Hyperlink"/>
          </w:rPr>
          <w:t xml:space="preserve">4</w:t>
        </w:r>
      </w:hyperlink>
      <w:r>
        <w:t xml:space="preserve">); Opus reproduces the collapse but does not verify.</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w:t>
      </w:r>
      <w:hyperlink w:anchor="fig:hasse">
        <w:r>
          <w:rPr>
            <w:rStyle w:val="Hyperlink"/>
          </w:rPr>
          <w:t xml:space="preserve">2</w:t>
        </w:r>
      </w:hyperlink>
      <w:r>
        <w:t xml:space="preserve">).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w:t>
      </w:r>
      <w:hyperlink w:anchor="tab:interference">
        <w:r>
          <w:rPr>
            <w:rStyle w:val="Hyperlink"/>
          </w:rPr>
          <w:t xml:space="preserve">4</w:t>
        </w:r>
      </w:hyperlink>
      <w:r>
        <w:t xml:space="preserve">)</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w:t>
      </w:r>
      <w:r>
        <w:t xml:space="preserve"> </w:t>
      </w:r>
      <w:hyperlink w:anchor="eq:psiupper">
        <w:r>
          <w:rPr>
            <w:rStyle w:val="Hyperlink"/>
          </w:rPr>
          <w:t xml:space="preserve">[eq:psiupper]</w:t>
        </w:r>
      </w:hyperlink>
      <w:r>
        <w:t xml:space="preserve">;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w:t>
      </w:r>
      <w:hyperlink w:anchor="rem:leaky">
        <w:r>
          <w:rPr>
            <w:rStyle w:val="Hyperlink"/>
          </w:rPr>
          <w:t xml:space="preserve">5</w:t>
        </w:r>
      </w:hyperlink>
      <w:r>
        <w:t xml:space="preserve">).</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eq:psiupper];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w:t>
      </w:r>
      <w:hyperlink w:anchor="rem:leaky">
        <w:r>
          <w:rPr>
            <w:rStyle w:val="Hyperlink"/>
          </w:rPr>
          <w:t xml:space="preserve">5</w:t>
        </w:r>
      </w:hyperlink>
      <w:r>
        <w:t xml:space="preserve">): we verify anti-monotonicity only on cells whose</w:t>
      </w:r>
      <w:r>
        <w:t xml:space="preserve"> </w:t>
      </w:r>
      <w:r>
        <w:rPr>
          <w:rStyle w:val="VerbatimChar"/>
        </w:rPr>
        <w:t xml:space="preserve">none</w:t>
      </w:r>
      <w:r>
        <w:t xml:space="preserve"> </w:t>
      </w:r>
      <w:r>
        <w:t xml:space="preserve">baseline floors near zero. Table </w:t>
      </w:r>
      <w:hyperlink w:anchor="tab:interference">
        <w:r>
          <w:rPr>
            <w:rStyle w:val="Hyperlink"/>
          </w:rPr>
          <w:t xml:space="preserve">4</w:t>
        </w:r>
      </w:hyperlink>
      <w:r>
        <w:t xml:space="preserve"> </w:t>
      </w:r>
      <w:r>
        <w:t xml:space="preserve">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w:t>
      </w:r>
      <w:hyperlink w:anchor="app:record">
        <w:r>
          <w:rPr>
            <w:rStyle w:val="Hyperlink"/>
          </w:rPr>
          <w:t xml:space="preserve">11</w:t>
        </w:r>
      </w:hyperlink>
      <w:r>
        <w:t xml:space="preserve">)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w:t>
      </w:r>
      <w:hyperlink w:anchor="tab:consolidated">
        <w:r>
          <w:rPr>
            <w:rStyle w:val="Hyperlink"/>
          </w:rPr>
          <w:t xml:space="preserve">1</w:t>
        </w:r>
      </w:hyperlink>
      <w:r>
        <w:t xml:space="preserve">; Figure </w:t>
      </w:r>
      <w:hyperlink w:anchor="fig:spectrum">
        <w:r>
          <w:rPr>
            <w:rStyle w:val="Hyperlink"/>
          </w:rPr>
          <w:t xml:space="preserve">3</w:t>
        </w:r>
      </w:hyperlink>
      <w:r>
        <w:t xml:space="preserve">).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w:t>
      </w:r>
      <w:hyperlink w:anchor="subsec:theta">
        <w:r>
          <w:rPr>
            <w:rStyle w:val="Hyperlink"/>
          </w:rPr>
          <w:t xml:space="preserve">3.3</w:t>
        </w:r>
      </w:hyperlink>
      <w:r>
        <w:t xml:space="preserve">,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4"/>
    <w:bookmarkStart w:id="95" w:name="auditable-per-cell-record."/>
    <w:p>
      <w:pPr>
        <w:pStyle w:val="Heading4"/>
      </w:pPr>
      <w:r>
        <w:t xml:space="preserve">Auditable per-cell record.</w:t>
      </w:r>
    </w:p>
    <w:p>
      <w:pPr>
        <w:pStyle w:val="FirstParagraph"/>
      </w:pPr>
      <w:r>
        <w:t xml:space="preserve">The full per-arm PASS record for every carrying cell is Table </w:t>
      </w:r>
      <w:hyperlink w:anchor="tab:percell">
        <w:r>
          <w:rPr>
            <w:rStyle w:val="Hyperlink"/>
          </w:rPr>
          <w:t xml:space="preserve">5</w:t>
        </w:r>
      </w:hyperlink>
      <w:r>
        <w:t xml:space="preserve"> </w:t>
      </w:r>
      <w:r>
        <w:t xml:space="preserve">in Appendix </w:t>
      </w:r>
      <w:hyperlink w:anchor="app:record">
        <w:r>
          <w:rPr>
            <w:rStyle w:val="Hyperlink"/>
          </w:rPr>
          <w:t xml:space="preserve">11</w:t>
        </w:r>
      </w:hyperlink>
      <w:r>
        <w:t xml:space="preserve">, so each verification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w:t>
      </w:r>
      <w:hyperlink w:anchor="app:record">
        <w:r>
          <w:rPr>
            <w:rStyle w:val="Hyperlink"/>
          </w:rPr>
          <w:t xml:space="preserve">11</w:t>
        </w:r>
      </w:hyperlink>
      <w:r>
        <w:t xml:space="preserve">.</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genuinely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w:t>
      </w:r>
      <w:hyperlink w:anchor="lem:bridge">
        <w:r>
          <w:rPr>
            <w:rStyle w:val="Hyperlink"/>
          </w:rPr>
          <w:t xml:space="preserve">2</w:t>
        </w:r>
      </w:hyperlink>
      <w:r>
        <w:t xml:space="preserve"> </w:t>
      </w:r>
      <w:r>
        <w:t xml:space="preserve">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w:t>
      </w:r>
      <w:hyperlink w:anchor="ass:attain">
        <w:r>
          <w:rPr>
            <w:rStyle w:val="Hyperlink"/>
          </w:rPr>
          <w:t xml:space="preserve">1</w:t>
        </w:r>
      </w:hyperlink>
      <w:r>
        <w:t xml:space="preserve">)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w:t>
      </w:r>
      <w:hyperlink w:anchor="rem:notlecam">
        <w:r>
          <w:rPr>
            <w:rStyle w:val="Hyperlink"/>
          </w:rPr>
          <w:t xml:space="preserve">4</w:t>
        </w:r>
      </w:hyperlink>
      <w:r>
        <w:t xml:space="preserve">).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w:t>
      </w:r>
      <w:hyperlink w:anchor="subsec:fwer">
        <w:r>
          <w:rPr>
            <w:rStyle w:val="Hyperlink"/>
          </w:rPr>
          <w:t xml:space="preserve">6.5</w:t>
        </w:r>
      </w:hyperlink>
      <w:r>
        <w:t xml:space="preserve">),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w:t>
      </w:r>
      <w:hyperlink w:anchor="tab:interference">
        <w:r>
          <w:rPr>
            <w:rStyle w:val="Hyperlink"/>
          </w:rPr>
          <w:t xml:space="preserve">4</w:t>
        </w:r>
      </w:hyperlink>
      <w:r>
        <w:t xml:space="preserve">),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w:t>
      </w:r>
      <w:hyperlink w:anchor="thm:antimono">
        <w:r>
          <w:rPr>
            <w:rStyle w:val="Hyperlink"/>
          </w:rPr>
          <w:t xml:space="preserve">3</w:t>
        </w:r>
      </w:hyperlink>
      <w:r>
        <w:t xml:space="preserve">):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exactly the set of cells that are unguessable for the model under test, which</w:t>
      </w:r>
      <w:r>
        <w:t xml:space="preserve"> </w:t>
      </w:r>
      <w:r>
        <w:t xml:space="preserve">couples the verifiable-harm set to the model-relative value of private context (§</w:t>
      </w:r>
      <w:hyperlink w:anchor="sec:disc-moat">
        <w:r>
          <w:rPr>
            <w:rStyle w:val="Hyperlink"/>
          </w:rPr>
          <w:t xml:space="preserve">8.3</w:t>
        </w:r>
      </w:hyperlink>
      <w:r>
        <w:t xml:space="preserve">).</w:t>
      </w:r>
      <w:r>
        <w:t xml:space="preserve"> </w:t>
      </w:r>
      <w:r>
        <w:t xml:space="preserve">We treat this as a protocol (Remark </w:t>
      </w:r>
      <w:hyperlink w:anchor="rem:leaky">
        <w:r>
          <w:rPr>
            <w:rStyle w:val="Hyperlink"/>
          </w:rPr>
          <w:t xml:space="preserve">5</w:t>
        </w:r>
      </w:hyperlink>
      <w:r>
        <w:t xml:space="preserve">):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w:t>
      </w:r>
      <w:hyperlink w:anchor="subsec:theta">
        <w:r>
          <w:rPr>
            <w:rStyle w:val="Hyperlink"/>
          </w:rPr>
          <w:t xml:space="preserve">3.3</w:t>
        </w:r>
      </w:hyperlink>
      <w:r>
        <w:t xml:space="preserve">),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w:t>
      </w:r>
      <w:hyperlink w:anchor="thm:antimono">
        <w:r>
          <w:rPr>
            <w:rStyle w:val="Hyperlink"/>
          </w:rPr>
          <w:t xml:space="preserve">3</w:t>
        </w:r>
      </w:hyperlink>
      <w:r>
        <w:t xml:space="preserve"> </w:t>
      </w:r>
      <w:r>
        <w:t xml:space="preserve">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w:t>
      </w:r>
      <w:hyperlink w:anchor="sec:disc-antimono">
        <w:r>
          <w:rPr>
            <w:rStyle w:val="Hyperlink"/>
          </w:rPr>
          <w:t xml:space="preserve">8.2</w:t>
        </w:r>
      </w:hyperlink>
      <w:r>
        <w:t xml:space="preserve">,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w:t>
      </w:r>
      <w:hyperlink w:anchor="ass:iid">
        <w:r>
          <w:rPr>
            <w:rStyle w:val="Hyperlink"/>
          </w:rPr>
          <w:t xml:space="preserve">2</w:t>
        </w:r>
      </w:hyperlink>
      <w:r>
        <w:t xml:space="preserve">), which holds because each draw is an independent</w:t>
      </w:r>
      <w:r>
        <w:t xml:space="preserve"> </w:t>
      </w:r>
      <w:r>
        <w:t xml:space="preserve">single-shot call (protocol in Appendix </w:t>
      </w:r>
      <w:hyperlink w:anchor="app:repro">
        <w:r>
          <w:rPr>
            <w:rStyle w:val="Hyperlink"/>
          </w:rPr>
          <w:t xml:space="preserve">12</w:t>
        </w:r>
      </w:hyperlink>
      <w:r>
        <w:t xml:space="preserve">).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w:t>
      </w:r>
      <w:hyperlink w:anchor="rem:leaky">
        <w:r>
          <w:rPr>
            <w:rStyle w:val="Hyperlink"/>
          </w:rPr>
          <w:t xml:space="preserve">5</w:t>
        </w:r>
      </w:hyperlink>
      <w:r>
        <w:t xml:space="preserve">);</w:t>
      </w:r>
      <w:r>
        <w:t xml:space="preserve"> </w:t>
      </w:r>
      <w:r>
        <w:t xml:space="preserve">marginal-versus-joint control is discussed in §</w:t>
      </w:r>
      <w:hyperlink w:anchor="sec:disc-bridge">
        <w:r>
          <w:rPr>
            <w:rStyle w:val="Hyperlink"/>
          </w:rPr>
          <w:t xml:space="preserve">8.1</w:t>
        </w:r>
      </w:hyperlink>
      <w:r>
        <w:t xml:space="preserve">.</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w:t>
      </w:r>
      <w:hyperlink w:anchor="thm:incomparable">
        <w:r>
          <w:rPr>
            <w:rStyle w:val="Hyperlink"/>
          </w:rPr>
          <w:t xml:space="preserve">2</w:t>
        </w:r>
      </w:hyperlink>
      <w:r>
        <w:t xml:space="preserve">),</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w:t>
      </w:r>
      <w:hyperlink w:anchor="lem:bridge">
        <w:r>
          <w:rPr>
            <w:rStyle w:val="Hyperlink"/>
          </w:rPr>
          <w:t xml:space="preserve">2</w:t>
        </w:r>
      </w:hyperlink>
      <w:r>
        <w:t xml:space="preserve">.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w:t>
      </w:r>
      <w:hyperlink w:anchor="thm:incomparable">
        <w:r>
          <w:rPr>
            <w:rStyle w:val="Hyperlink"/>
          </w:rPr>
          <w:t xml:space="preserve">2</w:t>
        </w:r>
      </w:hyperlink>
      <w:r>
        <w:t xml:space="preserve">) and topical query-conditioned scores</w:t>
      </w:r>
      <w:r>
        <w:t xml:space="preserve"> </w:t>
      </w:r>
      <w:r>
        <w:t xml:space="preserve">(Proposition </w:t>
      </w:r>
      <w:hyperlink w:anchor="prop:trap-constrained">
        <w:r>
          <w:rPr>
            <w:rStyle w:val="Hyperlink"/>
          </w:rPr>
          <w:t xml:space="preserve">2</w:t>
        </w:r>
      </w:hyperlink>
      <w:r>
        <w:t xml:space="preserve">),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9" w:name="app:proofs"/>
    <w:p>
      <w:pPr>
        <w:pStyle w:val="Heading1"/>
      </w:pPr>
      <w:r>
        <w:t xml:space="preserve">Deferred proofs and technical material</w:t>
      </w:r>
    </w:p>
    <w:bookmarkStart w:id="117" w:name="proof-of-theorem-thmblackwell"/>
    <w:p>
      <w:pPr>
        <w:pStyle w:val="Heading2"/>
      </w:pPr>
      <w:r>
        <w:t xml:space="preserve">Proof of Theorem </w:t>
      </w:r>
      <w:hyperlink w:anchor="thm:blackwell">
        <w:r>
          <w:rPr>
            <w:rStyle w:val="Hyperlink"/>
          </w:rPr>
          <w:t xml:space="preserve">1</w:t>
        </w:r>
      </w:hyperlink>
    </w:p>
    <w:p>
      <w:pPr>
        <w:pStyle w:val="FirstParagraph"/>
      </w:pPr>
      <w:r>
        <w:rPr>
          <w:i/>
          <w:iCs/>
        </w:rPr>
        <w:t xml:space="preserve">Proof.</w:t>
      </w:r>
      <w:r>
        <w:t xml:space="preserve"> </w:t>
      </w:r>
      <w:r>
        <w:t xml:space="preserve">This is Blackwell’s theorem </w:t>
      </w:r>
      <w:r>
        <w:t xml:space="preserve">(</w:t>
      </w:r>
      <w:hyperlink w:anchor="ref-blackwell1953">
        <w:r>
          <w:rPr>
            <w:rStyle w:val="Hyperlink"/>
          </w:rPr>
          <w:t xml:space="preserve">Blackwell 1953</w:t>
        </w:r>
      </w:hyperlink>
      <w:r>
        <w:t xml:space="preserve">)</w:t>
      </w:r>
      <w:r>
        <w:t xml:space="preserve">; the loss-function form and the role of</w:t>
      </w:r>
      <w:r>
        <w:t xml:space="preserve"> </w:t>
      </w:r>
      <w:r>
        <w:t xml:space="preserve">randomization are standard </w:t>
      </w:r>
      <w:r>
        <w:t xml:space="preserve">(</w:t>
      </w:r>
      <w:hyperlink w:anchor="ref-lecam1986">
        <w:r>
          <w:rPr>
            <w:rStyle w:val="Hyperlink"/>
          </w:rPr>
          <w:t xml:space="preserve">Le Cam 1986</w:t>
        </w:r>
      </w:hyperlink>
      <w:r>
        <w:t xml:space="preserve">;</w:t>
      </w:r>
      <w:r>
        <w:t xml:space="preserve"> </w:t>
      </w:r>
      <w:hyperlink w:anchor="ref-torgersen1991">
        <w:r>
          <w:rPr>
            <w:rStyle w:val="Hyperlink"/>
          </w:rPr>
          <w:t xml:space="preserve">Torgersen 1991</w:t>
        </w:r>
      </w:hyperlink>
      <w:r>
        <w:t xml:space="preserve">)</w:t>
      </w:r>
      <w:r>
        <w:t xml:space="preserve">. We use it as a black box. The only</w:t>
      </w:r>
      <w:r>
        <w:t xml:space="preserve"> </w:t>
      </w:r>
      <w:r>
        <w:t xml:space="preserve">substantive specialization is the reading of</w:t>
      </w:r>
      <w:r>
        <w:t xml:space="preserve"> </w:t>
      </w:r>
      <w:r>
        <w:t xml:space="preserve">“decision problem”</w:t>
      </w:r>
      <w:r>
        <w:t xml:space="preserve"> </w:t>
      </w:r>
      <w:r>
        <w:t xml:space="preserve">as</w:t>
      </w:r>
      <w:r>
        <w:t xml:space="preserve"> </w:t>
      </w:r>
      <w:r>
        <w:t xml:space="preserve">“task with a bounded</w:t>
      </w:r>
      <w:r>
        <w:t xml:space="preserve"> </w:t>
      </w:r>
      <w:r>
        <w:t xml:space="preserve">verifier utility”</w:t>
      </w:r>
      <w:r>
        <w:t xml:space="preserve"> </w:t>
      </w:r>
      <w:r>
        <w:t xml:space="preserve">and</w:t>
      </w:r>
      <w:r>
        <w:t xml:space="preserve"> </w:t>
      </w:r>
      <w:r>
        <w:t xml:space="preserve">“experiment”</w:t>
      </w:r>
      <w:r>
        <w:t xml:space="preserve"> </w:t>
      </w:r>
      <w:r>
        <w:t xml:space="preserve">as</w:t>
      </w:r>
      <w:r>
        <w:t xml:space="preserve"> </w:t>
      </w:r>
      <w:r>
        <w:t xml:space="preserve">“context source”</w:t>
      </w:r>
      <w:r>
        <w:t xml:space="preserve"> </w:t>
      </w:r>
      <w:r>
        <w:t xml:space="preserve">(Definition </w:t>
      </w:r>
      <w:hyperlink w:anchor="def:source">
        <w:r>
          <w:rPr>
            <w:rStyle w:val="Hyperlink"/>
          </w:rPr>
          <w:t xml:space="preserve">1</w:t>
        </w:r>
      </w:hyperlink>
      <w:r>
        <w:t xml:space="preserve">), which</w:t>
      </w:r>
      <w:r>
        <w:t xml:space="preserve"> </w:t>
      </w:r>
      <w:r>
        <w:t xml:space="preserve">is faithful because</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is a bounded utility and the kernels of</w:t>
      </w:r>
      <w:r>
        <w:t xml:space="preserve"> </w:t>
      </w:r>
      <w:r>
        <w:t xml:space="preserve">Definition </w:t>
      </w:r>
      <w:hyperlink w:anchor="def:projection">
        <w:r>
          <w:rPr>
            <w:rStyle w:val="Hyperlink"/>
          </w:rPr>
          <w:t xml:space="preserve">3</w:t>
        </w:r>
      </w:hyperlink>
      <w:r>
        <w:t xml:space="preserve"> </w:t>
      </w:r>
      <w:r>
        <w:t xml:space="preserve">are standard Borel. ◻</w:t>
      </w:r>
    </w:p>
    <w:bookmarkEnd w:id="117"/>
    <w:bookmarkStart w:id="118" w:name="proof-of-lemma-lemnoref"/>
    <w:p>
      <w:pPr>
        <w:pStyle w:val="Heading2"/>
      </w:pPr>
      <w:r>
        <w:t xml:space="preserve">Proof of Lemma </w:t>
      </w:r>
      <w:hyperlink w:anchor="lem:noref">
        <w:r>
          <w:rPr>
            <w:rStyle w:val="Hyperlink"/>
          </w:rPr>
          <w:t xml:space="preserve">1</w:t>
        </w:r>
      </w:hyperlink>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8"/>
    <w:bookmarkStart w:id="119" w:name="proof-of-lemma-lembridge"/>
    <w:p>
      <w:pPr>
        <w:pStyle w:val="Heading2"/>
      </w:pPr>
      <w:r>
        <w:t xml:space="preserve">Proof of Lemma </w:t>
      </w:r>
      <w:hyperlink w:anchor="lem:bridge">
        <w:r>
          <w:rPr>
            <w:rStyle w:val="Hyperlink"/>
          </w:rPr>
          <w:t xml:space="preserve">2</w:t>
        </w:r>
      </w:hyperlink>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w:t>
      </w:r>
      <w:hyperlink w:anchor="thm:blackwell">
        <w:r>
          <w:rPr>
            <w:rStyle w:val="Hyperlink"/>
          </w:rPr>
          <w:t xml:space="preserve">1</w:t>
        </w:r>
      </w:hyperlink>
      <w:r>
        <w:t xml:space="preserve">,</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w:t>
      </w:r>
      <w:hyperlink w:anchor="thm:antimono">
        <w:r>
          <w:rPr>
            <w:rStyle w:val="Hyperlink"/>
          </w:rPr>
          <w:t xml:space="preserve">3</w:t>
        </w:r>
      </w:hyperlink>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w:t>
      </w:r>
      <w:hyperlink w:anchor="ass:attain">
        <w:r>
          <w:rPr>
            <w:rStyle w:val="Hyperlink"/>
          </w:rPr>
          <w:t xml:space="preserve">1</w:t>
        </w:r>
      </w:hyperlink>
      <w:r>
        <w:t xml:space="preserve"> </w:t>
      </w:r>
      <w:r>
        <w:t xml:space="preserve">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w:t>
      </w:r>
      <w:hyperlink w:anchor="def:dmorder">
        <w:r>
          <w:rPr>
            <w:rStyle w:val="Hyperlink"/>
          </w:rPr>
          <w:t xml:space="preserve">5</w:t>
        </w:r>
      </w:hyperlink>
      <w:r>
        <w:t xml:space="preserve">’s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9"/>
    <w:bookmarkStart w:id="120" w:name="proof-of-proposition-propvinfo-monotone"/>
    <w:p>
      <w:pPr>
        <w:pStyle w:val="Heading2"/>
      </w:pPr>
      <w:r>
        <w:t xml:space="preserve">Proof of Proposition </w:t>
      </w:r>
      <w:hyperlink w:anchor="prop:vinfo-monotone">
        <w:r>
          <w:rPr>
            <w:rStyle w:val="Hyperlink"/>
          </w:rPr>
          <w:t xml:space="preserve">1</w:t>
        </w:r>
      </w:hyperlink>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w:t>
      </w:r>
      <w:hyperlink w:anchor="thm:incomparable">
        <w:r>
          <w:rPr>
            <w:rStyle w:val="Hyperlink"/>
          </w:rPr>
          <w:t xml:space="preserve">2</w:t>
        </w:r>
      </w:hyperlink>
      <w:r>
        <w:t xml:space="preserve">, cannot rank a Blackwell-incomparable pair correctly</w:t>
      </w:r>
      <w:r>
        <w:t xml:space="preserve"> </w:t>
      </w:r>
      <w:r>
        <w:t xml:space="preserve">for all tasks. ◻</w:t>
      </w:r>
    </w:p>
    <w:bookmarkEnd w:id="120"/>
    <w:bookmarkStart w:id="121" w:name="proof-of-proposition-propcertificate"/>
    <w:p>
      <w:pPr>
        <w:pStyle w:val="Heading2"/>
      </w:pPr>
      <w:r>
        <w:t xml:space="preserve">Proof of Proposition </w:t>
      </w:r>
      <w:hyperlink w:anchor="prop:certificate">
        <w:r>
          <w:rPr>
            <w:rStyle w:val="Hyperlink"/>
          </w:rPr>
          <w:t xml:space="preserve">3</w:t>
        </w:r>
      </w:hyperlink>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1"/>
    <w:bookmarkStart w:id="122" w:name="proof-of-proposition-propinterference"/>
    <w:p>
      <w:pPr>
        <w:pStyle w:val="Heading2"/>
      </w:pPr>
      <w:r>
        <w:t xml:space="preserve">Proof of Proposition </w:t>
      </w:r>
      <w:hyperlink w:anchor="prop:interference">
        <w:r>
          <w:rPr>
            <w:rStyle w:val="Hyperlink"/>
          </w:rPr>
          <w:t xml:space="preserve">4</w:t>
        </w:r>
      </w:hyperlink>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w:t>
      </w:r>
      <w:r>
        <w:t xml:space="preserve"> </w:t>
      </w:r>
      <w:hyperlink w:anchor="eq:interference">
        <w:r>
          <w:rPr>
            <w:rStyle w:val="Hyperlink"/>
          </w:rPr>
          <w:t xml:space="preserve">[eq:interference]</w:t>
        </w:r>
      </w:hyperlink>
      <w:r>
        <w:t xml:space="preserve"> </w:t>
      </w:r>
      <w:r>
        <w:t xml:space="preserve">(upper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2"/>
    <w:bookmarkStart w:id="123" w:name="proof-of-theorem-thmantimono"/>
    <w:p>
      <w:pPr>
        <w:pStyle w:val="Heading2"/>
      </w:pPr>
      <w:r>
        <w:t xml:space="preserve">Proof of Theorem </w:t>
      </w:r>
      <w:hyperlink w:anchor="thm:antimono">
        <w:r>
          <w:rPr>
            <w:rStyle w:val="Hyperlink"/>
          </w:rPr>
          <w:t xml:space="preserve">3</w:t>
        </w:r>
      </w:hyperlink>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w:t>
      </w:r>
      <w:hyperlink w:anchor="lem:noref">
        <w:r>
          <w:rPr>
            <w:rStyle w:val="Hyperlink"/>
          </w:rPr>
          <w:t xml:space="preserve">1</w:t>
        </w:r>
      </w:hyperlink>
      <w:r>
        <w:t xml:space="preserve">(a)). By Theorem </w:t>
      </w:r>
      <w:hyperlink w:anchor="thm:blackwell">
        <w:r>
          <w:rPr>
            <w:rStyle w:val="Hyperlink"/>
          </w:rPr>
          <w:t xml:space="preserve">1</w:t>
        </w:r>
      </w:hyperlink>
      <w:r>
        <w:t xml:space="preserve"> </w:t>
      </w:r>
      <w:r>
        <w:t xml:space="preserve">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3"/>
    <w:bookmarkStart w:id="125" w:name="why-a-naive-dkw-bound-fails"/>
    <w:p>
      <w:pPr>
        <w:pStyle w:val="Heading2"/>
      </w:pPr>
      <w:r>
        <w:t xml:space="preserve">Why a naive DKW bound fails</w:t>
      </w:r>
    </w:p>
    <w:bookmarkStart w:id="124"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w:t>
      </w:r>
      <w:hyperlink w:anchor="prop:certificate">
        <w:r>
          <w:rPr>
            <w:rStyle w:val="Hyperlink"/>
          </w:rPr>
          <w:t xml:space="preserve">3</w:t>
        </w:r>
      </w:hyperlink>
      <w:r>
        <w:t xml:space="preserve">), not</w:t>
      </w:r>
      <w:r>
        <w:t xml:space="preserve"> </w:t>
      </w:r>
      <w:r>
        <w:t xml:space="preserve">absorbed into a single-sample DKW envelope.</w:t>
      </w:r>
    </w:p>
    <w:bookmarkEnd w:id="124"/>
    <w:bookmarkEnd w:id="125"/>
    <w:bookmarkStart w:id="127" w:name="relation-to-llm-evaluation-statistics"/>
    <w:p>
      <w:pPr>
        <w:pStyle w:val="Heading2"/>
      </w:pPr>
      <w:r>
        <w:t xml:space="preserve">Relation to LLM-evaluation statistics</w:t>
      </w:r>
    </w:p>
    <w:bookmarkStart w:id="126"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6"/>
    <w:bookmarkEnd w:id="127"/>
    <w:bookmarkStart w:id="128" w:name="subsec:power"/>
    <w:p>
      <w:pPr>
        <w:pStyle w:val="Heading2"/>
      </w:pPr>
      <w:r>
        <w:t xml:space="preserve">Power and the role of</w:t>
      </w:r>
      <w:r>
        <w:t xml:space="preserve"> </w:t>
      </w:r>
      <m:oMath>
        <m:r>
          <m:t>n</m:t>
        </m:r>
      </m:oMath>
    </w:p>
    <w:p>
      <w:pPr>
        <w:pStyle w:val="FirstParagraph"/>
      </w:pPr>
      <w:r>
        <w:t xml:space="preserve">The two verifications have genuinely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w:t>
      </w:r>
      <w:r>
        <w:t xml:space="preserve"> </w:t>
      </w:r>
      <w:hyperlink w:anchor="eq:LD">
        <w:r>
          <w:rPr>
            <w:rStyle w:val="Hyperlink"/>
          </w:rPr>
          <w:t xml:space="preserve">[eq:LD]</w:t>
        </w:r>
      </w:hyperlink>
      <w:r>
        <w:t xml:space="preserve"> </w:t>
      </w:r>
      <w:r>
        <w:t xml:space="preserve">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w:t>
      </w:r>
      <w:r>
        <w:t xml:space="preserve"> </w:t>
      </w:r>
      <w:hyperlink w:anchor="eq:psiupper">
        <w:r>
          <w:rPr>
            <w:rStyle w:val="Hyperlink"/>
          </w:rPr>
          <w:t xml:space="preserve">[eq:psiupper]</w:t>
        </w:r>
      </w:hyperlink>
      <w:r>
        <w:t xml:space="preserve"> </w:t>
      </w:r>
      <w:r>
        <w:t xml:space="preserve">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8"/>
    <w:bookmarkEnd w:id="129"/>
    <w:bookmarkStart w:id="136" w:name="app:record"/>
    <w:p>
      <w:pPr>
        <w:pStyle w:val="Heading1"/>
      </w:pPr>
      <w:r>
        <w:t xml:space="preserve">Extended experimental record</w:t>
      </w:r>
    </w:p>
    <w:bookmarkStart w:id="130" w:name="tab:percell"/>
    <w:p>
      <w:pPr>
        <w:pStyle w:val="TableCaption"/>
      </w:pPr>
      <w:r>
        <w:t xml:space="preserve">Per-cell PASS rates (</w:t>
      </w:r>
      <m:oMath>
        <m:r>
          <m:rPr>
            <m:sty m:val="p"/>
          </m:rPr>
          <m:t>%</m:t>
        </m:r>
      </m:oMath>
      <w:r>
        <w:t xml:space="preserve">) for the carrying cells, by arm, all single-shot at</w:t>
      </w:r>
      <w:r>
        <w:t xml:space="preserve"> </w:t>
      </w:r>
      <m:oMath>
        <m:r>
          <m:t>n</m:t>
        </m:r>
        <m:r>
          <m:rPr>
            <m:sty m:val="p"/>
          </m:rPr>
          <m:t>=</m:t>
        </m:r>
        <m:r>
          <m:t>40</m:t>
        </m:r>
      </m:oMath>
      <w:r>
        <w:t xml:space="preserve">.</w:t>
      </w:r>
      <w:r>
        <w:t xml:space="preserve"> </w:t>
      </w:r>
      <w:r>
        <w:t xml:space="preserve">“–”</w:t>
      </w:r>
      <w:r>
        <w:t xml:space="preserve"> </w:t>
      </w:r>
      <w:r>
        <w:t xml:space="preserve">marks an arm not measured for that cell (the three non-Anthropic runs measured</w:t>
      </w:r>
      <w:r>
        <w:t xml:space="preserve"> </w:t>
      </w:r>
      <m:oMath>
        <m:sSub>
          <m:e>
            <m:r>
              <m:t>W</m:t>
            </m:r>
          </m:e>
          <m:sub>
            <m:r>
              <m:t>1</m:t>
            </m:r>
            <m:r>
              <m:rPr>
                <m:sty m:val="p"/>
              </m:rPr>
              <m:t>+</m:t>
            </m:r>
          </m:sub>
        </m:sSub>
      </m:oMath>
      <w:r>
        <w:t xml:space="preserve"> </w:t>
      </w:r>
      <w:r>
        <w:t xml:space="preserve">only</w:t>
      </w:r>
      <w:r>
        <w:t xml:space="preserve"> </w:t>
      </w:r>
      <w:r>
        <w:t xml:space="preserve">on the interference cell).</w:t>
      </w:r>
    </w:p>
    <w:tbl>
      <w:tblPr>
        <w:tblStyle w:val="Table"/>
        <w:tblW w:type="auto" w:w="0"/>
        <w:tblLook w:firstRow="1" w:lastRow="0" w:firstColumn="0" w:lastColumn="0" w:noHBand="0" w:noVBand="0" w:val="0020"/>
        <w:tblCaption w:val="Per-cell PASS rates (\%) for the carrying cells, by arm, all single-shot at n=40. “–” marks an arm not measured for that cell (the three non-Anthropic runs measured W_{1+} only on the interference cell)."/>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r>
    </w:tbl>
    <w:bookmarkEnd w:id="130"/>
    <w:bookmarkStart w:id="13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1"/>
    <w:bookmarkStart w:id="132"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2"/>
    <w:bookmarkStart w:id="13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w:t>
      </w:r>
      <w:hyperlink w:anchor="thm:incomparable">
        <w:r>
          <w:rPr>
            <w:rStyle w:val="Hyperlink"/>
          </w:rPr>
          <w:t xml:space="preserve">2</w:t>
        </w:r>
      </w:hyperlink>
      <w:r>
        <w:t xml:space="preserve">).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w:t>
      </w:r>
      <w:hyperlink w:anchor="thm:antimono">
        <w:r>
          <w:rPr>
            <w:rStyle w:val="Hyperlink"/>
          </w:rPr>
          <w:t xml:space="preserve">3</w:t>
        </w:r>
      </w:hyperlink>
      <w:r>
        <w:t xml:space="preserve"> </w:t>
      </w:r>
      <w:r>
        <w:t xml:space="preserve">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3"/>
    <w:bookmarkStart w:id="134"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4"/>
    <w:bookmarkEnd w:id="135"/>
    <w:bookmarkEnd w:id="136"/>
    <w:bookmarkStart w:id="22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bundle—the measurement harness, the</w:t>
      </w:r>
      <w:r>
        <w:t xml:space="preserve"> </w:t>
      </w:r>
      <w:r>
        <w:t xml:space="preserve">executable verifiers, and every per-model run log and result JSON cited below—is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7"/>
    <w:bookmarkStart w:id="13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8"/>
    <w:bookmarkStart w:id="13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39"/>
    <w:bookmarkStart w:id="140"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40"/>
    <w:bookmarkStart w:id="221"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20" w:name="refs"/>
    <w:bookmarkStart w:id="142"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1">
        <w:r>
          <w:rPr>
            <w:rStyle w:val="Hyperlink"/>
          </w:rPr>
          <w:t xml:space="preserve">https://arxiv.org/abs/2512.23617</w:t>
        </w:r>
      </w:hyperlink>
      <w:r>
        <w:t xml:space="preserve">.</w:t>
      </w:r>
    </w:p>
    <w:bookmarkEnd w:id="142"/>
    <w:bookmarkStart w:id="144"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3">
        <w:r>
          <w:rPr>
            <w:rStyle w:val="Hyperlink"/>
          </w:rPr>
          <w:t xml:space="preserve">https://doi.org/10.1214/aoms/1177729032</w:t>
        </w:r>
      </w:hyperlink>
      <w:r>
        <w:t xml:space="preserve">.</w:t>
      </w:r>
    </w:p>
    <w:bookmarkEnd w:id="144"/>
    <w:bookmarkStart w:id="145"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5"/>
    <w:bookmarkStart w:id="147"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6">
        <w:r>
          <w:rPr>
            <w:rStyle w:val="Hyperlink"/>
          </w:rPr>
          <w:t xml:space="preserve">https://arxiv.org/abs/2503.01747</w:t>
        </w:r>
      </w:hyperlink>
      <w:r>
        <w:t xml:space="preserve">.</w:t>
      </w:r>
    </w:p>
    <w:bookmarkEnd w:id="147"/>
    <w:bookmarkStart w:id="149"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8">
        <w:r>
          <w:rPr>
            <w:rStyle w:val="Hyperlink"/>
          </w:rPr>
          <w:t xml:space="preserve">https://arxiv.org/abs/2411.01533</w:t>
        </w:r>
      </w:hyperlink>
      <w:r>
        <w:t xml:space="preserve">.</w:t>
      </w:r>
    </w:p>
    <w:bookmarkEnd w:id="149"/>
    <w:bookmarkStart w:id="151"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0">
        <w:r>
          <w:rPr>
            <w:rStyle w:val="Hyperlink"/>
          </w:rPr>
          <w:t xml:space="preserve">https://doi.org/10.1145/290941.291025</w:t>
        </w:r>
      </w:hyperlink>
      <w:r>
        <w:t xml:space="preserve">.</w:t>
      </w:r>
    </w:p>
    <w:bookmarkEnd w:id="151"/>
    <w:bookmarkStart w:id="15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2">
        <w:r>
          <w:rPr>
            <w:rStyle w:val="Hyperlink"/>
          </w:rPr>
          <w:t xml:space="preserve">https://arxiv.org/abs/2507.03279</w:t>
        </w:r>
      </w:hyperlink>
      <w:r>
        <w:t xml:space="preserve">.</w:t>
      </w:r>
    </w:p>
    <w:bookmarkEnd w:id="153"/>
    <w:bookmarkStart w:id="155"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4">
        <w:r>
          <w:rPr>
            <w:rStyle w:val="Hyperlink"/>
          </w:rPr>
          <w:t xml:space="preserve">https://arxiv.org/abs/2508.21184</w:t>
        </w:r>
      </w:hyperlink>
      <w:r>
        <w:t xml:space="preserve">.</w:t>
      </w:r>
    </w:p>
    <w:bookmarkEnd w:id="155"/>
    <w:bookmarkStart w:id="157"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6">
        <w:r>
          <w:rPr>
            <w:rStyle w:val="Hyperlink"/>
          </w:rPr>
          <w:t xml:space="preserve">https://doi.org/10.1093/biomet/26.4.404</w:t>
        </w:r>
      </w:hyperlink>
      <w:r>
        <w:t xml:space="preserve">.</w:t>
      </w:r>
    </w:p>
    <w:bookmarkEnd w:id="157"/>
    <w:bookmarkStart w:id="159"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8">
        <w:r>
          <w:rPr>
            <w:rStyle w:val="Hyperlink"/>
          </w:rPr>
          <w:t xml:space="preserve">https://arxiv.org/abs/2401.14887</w:t>
        </w:r>
      </w:hyperlink>
      <w:r>
        <w:t xml:space="preserve">.</w:t>
      </w:r>
    </w:p>
    <w:bookmarkEnd w:id="159"/>
    <w:bookmarkStart w:id="161"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0">
        <w:r>
          <w:rPr>
            <w:rStyle w:val="Hyperlink"/>
          </w:rPr>
          <w:t xml:space="preserve">https://arxiv.org/abs/2510.05381</w:t>
        </w:r>
      </w:hyperlink>
      <w:r>
        <w:t xml:space="preserve">.</w:t>
      </w:r>
    </w:p>
    <w:bookmarkEnd w:id="161"/>
    <w:bookmarkStart w:id="163"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2">
        <w:r>
          <w:rPr>
            <w:rStyle w:val="Hyperlink"/>
          </w:rPr>
          <w:t xml:space="preserve">https://doi.org/10.1214/aoms/1177728174</w:t>
        </w:r>
      </w:hyperlink>
      <w:r>
        <w:t xml:space="preserve">.</w:t>
      </w:r>
    </w:p>
    <w:bookmarkEnd w:id="163"/>
    <w:bookmarkStart w:id="164"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4"/>
    <w:bookmarkStart w:id="166"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5">
        <w:r>
          <w:rPr>
            <w:rStyle w:val="Hyperlink"/>
          </w:rPr>
          <w:t xml:space="preserve">https://arxiv.org/abs/2503.05491</w:t>
        </w:r>
      </w:hyperlink>
      <w:r>
        <w:t xml:space="preserve">.</w:t>
      </w:r>
    </w:p>
    <w:bookmarkEnd w:id="166"/>
    <w:bookmarkStart w:id="16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7">
        <w:r>
          <w:rPr>
            <w:rStyle w:val="Hyperlink"/>
          </w:rPr>
          <w:t xml:space="preserve">https://doi.org/10.1007/s10791-008-9045-0</w:t>
        </w:r>
      </w:hyperlink>
      <w:r>
        <w:t xml:space="preserve">.</w:t>
      </w:r>
    </w:p>
    <w:bookmarkEnd w:id="168"/>
    <w:bookmarkStart w:id="17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69">
        <w:r>
          <w:rPr>
            <w:rStyle w:val="Hyperlink"/>
          </w:rPr>
          <w:t xml:space="preserve">https://arxiv.org/abs/2410.20247</w:t>
        </w:r>
      </w:hyperlink>
      <w:r>
        <w:t xml:space="preserve">.</w:t>
      </w:r>
    </w:p>
    <w:bookmarkEnd w:id="170"/>
    <w:bookmarkStart w:id="17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1">
        <w:r>
          <w:rPr>
            <w:rStyle w:val="Hyperlink"/>
          </w:rPr>
          <w:t xml:space="preserve">https://www.trychroma.com/research/context-rot</w:t>
        </w:r>
      </w:hyperlink>
      <w:r>
        <w:t xml:space="preserve">.</w:t>
      </w:r>
    </w:p>
    <w:bookmarkEnd w:id="172"/>
    <w:bookmarkStart w:id="17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3">
        <w:r>
          <w:rPr>
            <w:rStyle w:val="Hyperlink"/>
          </w:rPr>
          <w:t xml:space="preserve">https://arxiv.org/abs/2510.00079</w:t>
        </w:r>
      </w:hyperlink>
      <w:r>
        <w:t xml:space="preserve">.</w:t>
      </w:r>
    </w:p>
    <w:bookmarkEnd w:id="174"/>
    <w:bookmarkStart w:id="176"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5">
        <w:r>
          <w:rPr>
            <w:rStyle w:val="Hyperlink"/>
          </w:rPr>
          <w:t xml:space="preserve">https://arxiv.org/abs/2410.05983</w:t>
        </w:r>
      </w:hyperlink>
      <w:r>
        <w:t xml:space="preserve">.</w:t>
      </w:r>
    </w:p>
    <w:bookmarkEnd w:id="176"/>
    <w:bookmarkStart w:id="178"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7">
        <w:r>
          <w:rPr>
            <w:rStyle w:val="Hyperlink"/>
          </w:rPr>
          <w:t xml:space="preserve">https://arxiv.org/abs/2411.06037</w:t>
        </w:r>
      </w:hyperlink>
      <w:r>
        <w:t xml:space="preserve">.</w:t>
      </w:r>
    </w:p>
    <w:bookmarkEnd w:id="178"/>
    <w:bookmarkStart w:id="18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79">
        <w:r>
          <w:rPr>
            <w:rStyle w:val="Hyperlink"/>
          </w:rPr>
          <w:t xml:space="preserve">https://doi.org/10.1214/aoms/1177700372</w:t>
        </w:r>
      </w:hyperlink>
      <w:r>
        <w:t xml:space="preserve">.</w:t>
      </w:r>
    </w:p>
    <w:bookmarkEnd w:id="180"/>
    <w:bookmarkStart w:id="18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1">
        <w:r>
          <w:rPr>
            <w:rStyle w:val="Hyperlink"/>
          </w:rPr>
          <w:t xml:space="preserve">https://doi.org/10.1007/978-1-4612-4946-7</w:t>
        </w:r>
      </w:hyperlink>
      <w:r>
        <w:t xml:space="preserve">.</w:t>
      </w:r>
    </w:p>
    <w:bookmarkEnd w:id="182"/>
    <w:bookmarkStart w:id="18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3">
        <w:r>
          <w:rPr>
            <w:rStyle w:val="Hyperlink"/>
          </w:rPr>
          <w:t xml:space="preserve">https://arxiv.org/abs/2504.07104</w:t>
        </w:r>
      </w:hyperlink>
      <w:r>
        <w:t xml:space="preserve">.</w:t>
      </w:r>
    </w:p>
    <w:bookmarkEnd w:id="184"/>
    <w:bookmarkStart w:id="18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5">
        <w:r>
          <w:rPr>
            <w:rStyle w:val="Hyperlink"/>
          </w:rPr>
          <w:t xml:space="preserve">https://arxiv.org/abs/2503.04388</w:t>
        </w:r>
      </w:hyperlink>
      <w:r>
        <w:t xml:space="preserve">.</w:t>
      </w:r>
    </w:p>
    <w:bookmarkEnd w:id="186"/>
    <w:bookmarkStart w:id="18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7">
        <w:r>
          <w:rPr>
            <w:rStyle w:val="Hyperlink"/>
          </w:rPr>
          <w:t xml:space="preserve">https://arxiv.org/abs/2605.05716</w:t>
        </w:r>
      </w:hyperlink>
      <w:r>
        <w:t xml:space="preserve">.</w:t>
      </w:r>
    </w:p>
    <w:bookmarkEnd w:id="188"/>
    <w:bookmarkStart w:id="19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89">
        <w:r>
          <w:rPr>
            <w:rStyle w:val="Hyperlink"/>
          </w:rPr>
          <w:t xml:space="preserve">https://arxiv.org/abs/2307.03172</w:t>
        </w:r>
      </w:hyperlink>
      <w:r>
        <w:t xml:space="preserve">.</w:t>
      </w:r>
    </w:p>
    <w:bookmarkEnd w:id="190"/>
    <w:bookmarkStart w:id="19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1">
        <w:r>
          <w:rPr>
            <w:rStyle w:val="Hyperlink"/>
          </w:rPr>
          <w:t xml:space="preserve">https://arxiv.org/abs/2411.00640</w:t>
        </w:r>
      </w:hyperlink>
      <w:r>
        <w:t xml:space="preserve">.</w:t>
      </w:r>
    </w:p>
    <w:bookmarkEnd w:id="192"/>
    <w:bookmarkStart w:id="194"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3">
        <w:r>
          <w:rPr>
            <w:rStyle w:val="Hyperlink"/>
          </w:rPr>
          <w:t xml:space="preserve">https://arxiv.org/abs/2604.06621</w:t>
        </w:r>
      </w:hyperlink>
      <w:r>
        <w:t xml:space="preserve">.</w:t>
      </w:r>
    </w:p>
    <w:bookmarkEnd w:id="194"/>
    <w:bookmarkStart w:id="196"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5">
        <w:r>
          <w:rPr>
            <w:rStyle w:val="Hyperlink"/>
          </w:rPr>
          <w:t xml:space="preserve">https://arxiv.org/abs/2605.03534</w:t>
        </w:r>
      </w:hyperlink>
      <w:r>
        <w:t xml:space="preserve">.</w:t>
      </w:r>
    </w:p>
    <w:bookmarkEnd w:id="196"/>
    <w:bookmarkStart w:id="198"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7">
        <w:r>
          <w:rPr>
            <w:rStyle w:val="Hyperlink"/>
          </w:rPr>
          <w:t xml:space="preserve">https://doi.org/10.1108/eb026647</w:t>
        </w:r>
      </w:hyperlink>
      <w:r>
        <w:t xml:space="preserve">.</w:t>
      </w:r>
    </w:p>
    <w:bookmarkEnd w:id="198"/>
    <w:bookmarkStart w:id="200"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99">
        <w:r>
          <w:rPr>
            <w:rStyle w:val="Hyperlink"/>
          </w:rPr>
          <w:t xml:space="preserve">https://arxiv.org/abs/1402.4884</w:t>
        </w:r>
      </w:hyperlink>
      <w:r>
        <w:t xml:space="preserve">.</w:t>
      </w:r>
    </w:p>
    <w:bookmarkEnd w:id="200"/>
    <w:bookmarkStart w:id="202"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1">
        <w:r>
          <w:rPr>
            <w:rStyle w:val="Hyperlink"/>
          </w:rPr>
          <w:t xml:space="preserve">https://arxiv.org/abs/2302.00093</w:t>
        </w:r>
      </w:hyperlink>
      <w:r>
        <w:t xml:space="preserve">.</w:t>
      </w:r>
    </w:p>
    <w:bookmarkEnd w:id="202"/>
    <w:bookmarkStart w:id="204"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3">
        <w:r>
          <w:rPr>
            <w:rStyle w:val="Hyperlink"/>
          </w:rPr>
          <w:t xml:space="preserve">https://arxiv.org/abs/2304.09542</w:t>
        </w:r>
      </w:hyperlink>
      <w:r>
        <w:t xml:space="preserve">.</w:t>
      </w:r>
    </w:p>
    <w:bookmarkEnd w:id="204"/>
    <w:bookmarkStart w:id="206"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5">
        <w:r>
          <w:rPr>
            <w:rStyle w:val="Hyperlink"/>
          </w:rPr>
          <w:t xml:space="preserve">https://doi.org/10.1017/CBO9780511666353</w:t>
        </w:r>
      </w:hyperlink>
      <w:r>
        <w:t xml:space="preserve">.</w:t>
      </w:r>
    </w:p>
    <w:bookmarkEnd w:id="206"/>
    <w:bookmarkStart w:id="208"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7">
        <w:r>
          <w:rPr>
            <w:rStyle w:val="Hyperlink"/>
          </w:rPr>
          <w:t xml:space="preserve">https://arxiv.org/abs/2402.11750</w:t>
        </w:r>
      </w:hyperlink>
      <w:r>
        <w:t xml:space="preserve">.</w:t>
      </w:r>
    </w:p>
    <w:bookmarkEnd w:id="208"/>
    <w:bookmarkStart w:id="210"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09">
        <w:r>
          <w:rPr>
            <w:rStyle w:val="Hyperlink"/>
          </w:rPr>
          <w:t xml:space="preserve">https://arxiv.org/abs/2410.07523</w:t>
        </w:r>
      </w:hyperlink>
      <w:r>
        <w:t xml:space="preserve">.</w:t>
      </w:r>
    </w:p>
    <w:bookmarkEnd w:id="210"/>
    <w:bookmarkStart w:id="21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1">
        <w:r>
          <w:rPr>
            <w:rStyle w:val="Hyperlink"/>
          </w:rPr>
          <w:t xml:space="preserve">https://arxiv.org/abs/2302.05698</w:t>
        </w:r>
      </w:hyperlink>
      <w:r>
        <w:t xml:space="preserve">.</w:t>
      </w:r>
    </w:p>
    <w:bookmarkEnd w:id="212"/>
    <w:bookmarkStart w:id="21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3">
        <w:r>
          <w:rPr>
            <w:rStyle w:val="Hyperlink"/>
          </w:rPr>
          <w:t xml:space="preserve">https://arxiv.org/abs/2407.02485</w:t>
        </w:r>
      </w:hyperlink>
      <w:r>
        <w:t xml:space="preserve">.</w:t>
      </w:r>
    </w:p>
    <w:bookmarkEnd w:id="214"/>
    <w:bookmarkStart w:id="21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5">
        <w:r>
          <w:rPr>
            <w:rStyle w:val="Hyperlink"/>
          </w:rPr>
          <w:t xml:space="preserve">https://arxiv.org/abs/2504.15630</w:t>
        </w:r>
      </w:hyperlink>
      <w:r>
        <w:t xml:space="preserve">.</w:t>
      </w:r>
    </w:p>
    <w:bookmarkEnd w:id="216"/>
    <w:bookmarkStart w:id="21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7"/>
    <w:bookmarkStart w:id="21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8">
        <w:r>
          <w:rPr>
            <w:rStyle w:val="Hyperlink"/>
          </w:rPr>
          <w:t xml:space="preserve">https://arxiv.org/abs/2405.18253</w:t>
        </w:r>
      </w:hyperlink>
      <w:r>
        <w:t xml:space="preserve">.</w:t>
      </w:r>
    </w:p>
    <w:bookmarkEnd w:id="219"/>
    <w:bookmarkEnd w:id="220"/>
    <w:bookmarkEnd w:id="221"/>
    <w:bookmarkEnd w:id="2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9" Target="https://arxiv.org/abs/1402.4884" TargetMode="External" /><Relationship Type="http://schemas.openxmlformats.org/officeDocument/2006/relationships/hyperlink" Id="rId201" Target="https://arxiv.org/abs/2302.00093" TargetMode="External" /><Relationship Type="http://schemas.openxmlformats.org/officeDocument/2006/relationships/hyperlink" Id="rId211" Target="https://arxiv.org/abs/2302.05698" TargetMode="External" /><Relationship Type="http://schemas.openxmlformats.org/officeDocument/2006/relationships/hyperlink" Id="rId203" Target="https://arxiv.org/abs/2304.09542" TargetMode="External" /><Relationship Type="http://schemas.openxmlformats.org/officeDocument/2006/relationships/hyperlink" Id="rId189" Target="https://arxiv.org/abs/2307.03172" TargetMode="External" /><Relationship Type="http://schemas.openxmlformats.org/officeDocument/2006/relationships/hyperlink" Id="rId158" Target="https://arxiv.org/abs/2401.14887" TargetMode="External" /><Relationship Type="http://schemas.openxmlformats.org/officeDocument/2006/relationships/hyperlink" Id="rId207" Target="https://arxiv.org/abs/2402.11750" TargetMode="External" /><Relationship Type="http://schemas.openxmlformats.org/officeDocument/2006/relationships/hyperlink" Id="rId218" Target="https://arxiv.org/abs/2405.18253" TargetMode="External" /><Relationship Type="http://schemas.openxmlformats.org/officeDocument/2006/relationships/hyperlink" Id="rId213" Target="https://arxiv.org/abs/2407.02485" TargetMode="External" /><Relationship Type="http://schemas.openxmlformats.org/officeDocument/2006/relationships/hyperlink" Id="rId175" Target="https://arxiv.org/abs/2410.05983" TargetMode="External" /><Relationship Type="http://schemas.openxmlformats.org/officeDocument/2006/relationships/hyperlink" Id="rId209" Target="https://arxiv.org/abs/2410.07523" TargetMode="External" /><Relationship Type="http://schemas.openxmlformats.org/officeDocument/2006/relationships/hyperlink" Id="rId169" Target="https://arxiv.org/abs/2410.20247" TargetMode="External" /><Relationship Type="http://schemas.openxmlformats.org/officeDocument/2006/relationships/hyperlink" Id="rId191" Target="https://arxiv.org/abs/2411.00640" TargetMode="External" /><Relationship Type="http://schemas.openxmlformats.org/officeDocument/2006/relationships/hyperlink" Id="rId148" Target="https://arxiv.org/abs/2411.01533" TargetMode="External" /><Relationship Type="http://schemas.openxmlformats.org/officeDocument/2006/relationships/hyperlink" Id="rId177" Target="https://arxiv.org/abs/2411.06037" TargetMode="External" /><Relationship Type="http://schemas.openxmlformats.org/officeDocument/2006/relationships/hyperlink" Id="rId146" Target="https://arxiv.org/abs/2503.01747" TargetMode="External" /><Relationship Type="http://schemas.openxmlformats.org/officeDocument/2006/relationships/hyperlink" Id="rId185" Target="https://arxiv.org/abs/2503.04388" TargetMode="External" /><Relationship Type="http://schemas.openxmlformats.org/officeDocument/2006/relationships/hyperlink" Id="rId165" Target="https://arxiv.org/abs/2503.05491" TargetMode="External" /><Relationship Type="http://schemas.openxmlformats.org/officeDocument/2006/relationships/hyperlink" Id="rId183" Target="https://arxiv.org/abs/2504.07104" TargetMode="External" /><Relationship Type="http://schemas.openxmlformats.org/officeDocument/2006/relationships/hyperlink" Id="rId215" Target="https://arxiv.org/abs/2504.15630" TargetMode="External" /><Relationship Type="http://schemas.openxmlformats.org/officeDocument/2006/relationships/hyperlink" Id="rId152" Target="https://arxiv.org/abs/2507.03279" TargetMode="External" /><Relationship Type="http://schemas.openxmlformats.org/officeDocument/2006/relationships/hyperlink" Id="rId154" Target="https://arxiv.org/abs/2508.21184" TargetMode="External" /><Relationship Type="http://schemas.openxmlformats.org/officeDocument/2006/relationships/hyperlink" Id="rId173" Target="https://arxiv.org/abs/2510.00079" TargetMode="External" /><Relationship Type="http://schemas.openxmlformats.org/officeDocument/2006/relationships/hyperlink" Id="rId160" Target="https://arxiv.org/abs/2510.05381" TargetMode="External" /><Relationship Type="http://schemas.openxmlformats.org/officeDocument/2006/relationships/hyperlink" Id="rId141" Target="https://arxiv.org/abs/2512.23617" TargetMode="External" /><Relationship Type="http://schemas.openxmlformats.org/officeDocument/2006/relationships/hyperlink" Id="rId193" Target="https://arxiv.org/abs/2604.06621" TargetMode="External" /><Relationship Type="http://schemas.openxmlformats.org/officeDocument/2006/relationships/hyperlink" Id="rId195" Target="https://arxiv.org/abs/2605.03534" TargetMode="External" /><Relationship Type="http://schemas.openxmlformats.org/officeDocument/2006/relationships/hyperlink" Id="rId187" Target="https://arxiv.org/abs/2605.05716" TargetMode="External" /><Relationship Type="http://schemas.openxmlformats.org/officeDocument/2006/relationships/hyperlink" Id="rId181" Target="https://doi.org/10.1007/978-1-4612-4946-7" TargetMode="External" /><Relationship Type="http://schemas.openxmlformats.org/officeDocument/2006/relationships/hyperlink" Id="rId167" Target="https://doi.org/10.1007/s10791-008-9045-0" TargetMode="External" /><Relationship Type="http://schemas.openxmlformats.org/officeDocument/2006/relationships/hyperlink" Id="rId205" Target="https://doi.org/10.1017/CBO9780511666353" TargetMode="External" /><Relationship Type="http://schemas.openxmlformats.org/officeDocument/2006/relationships/hyperlink" Id="rId156" Target="https://doi.org/10.1093/biomet/26.4.404" TargetMode="External" /><Relationship Type="http://schemas.openxmlformats.org/officeDocument/2006/relationships/hyperlink" Id="rId197" Target="https://doi.org/10.1108/eb026647" TargetMode="External" /><Relationship Type="http://schemas.openxmlformats.org/officeDocument/2006/relationships/hyperlink" Id="rId150" Target="https://doi.org/10.1145/290941.291025" TargetMode="External" /><Relationship Type="http://schemas.openxmlformats.org/officeDocument/2006/relationships/hyperlink" Id="rId179" Target="https://doi.org/10.1214/aoms/1177700372" TargetMode="External" /><Relationship Type="http://schemas.openxmlformats.org/officeDocument/2006/relationships/hyperlink" Id="rId162" Target="https://doi.org/10.1214/aoms/1177728174" TargetMode="External" /><Relationship Type="http://schemas.openxmlformats.org/officeDocument/2006/relationships/hyperlink" Id="rId143"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9" Target="https://arxiv.org/abs/1402.4884" TargetMode="External" /><Relationship Type="http://schemas.openxmlformats.org/officeDocument/2006/relationships/hyperlink" Id="rId201" Target="https://arxiv.org/abs/2302.00093" TargetMode="External" /><Relationship Type="http://schemas.openxmlformats.org/officeDocument/2006/relationships/hyperlink" Id="rId211" Target="https://arxiv.org/abs/2302.05698" TargetMode="External" /><Relationship Type="http://schemas.openxmlformats.org/officeDocument/2006/relationships/hyperlink" Id="rId203" Target="https://arxiv.org/abs/2304.09542" TargetMode="External" /><Relationship Type="http://schemas.openxmlformats.org/officeDocument/2006/relationships/hyperlink" Id="rId189" Target="https://arxiv.org/abs/2307.03172" TargetMode="External" /><Relationship Type="http://schemas.openxmlformats.org/officeDocument/2006/relationships/hyperlink" Id="rId158" Target="https://arxiv.org/abs/2401.14887" TargetMode="External" /><Relationship Type="http://schemas.openxmlformats.org/officeDocument/2006/relationships/hyperlink" Id="rId207" Target="https://arxiv.org/abs/2402.11750" TargetMode="External" /><Relationship Type="http://schemas.openxmlformats.org/officeDocument/2006/relationships/hyperlink" Id="rId218" Target="https://arxiv.org/abs/2405.18253" TargetMode="External" /><Relationship Type="http://schemas.openxmlformats.org/officeDocument/2006/relationships/hyperlink" Id="rId213" Target="https://arxiv.org/abs/2407.02485" TargetMode="External" /><Relationship Type="http://schemas.openxmlformats.org/officeDocument/2006/relationships/hyperlink" Id="rId175" Target="https://arxiv.org/abs/2410.05983" TargetMode="External" /><Relationship Type="http://schemas.openxmlformats.org/officeDocument/2006/relationships/hyperlink" Id="rId209" Target="https://arxiv.org/abs/2410.07523" TargetMode="External" /><Relationship Type="http://schemas.openxmlformats.org/officeDocument/2006/relationships/hyperlink" Id="rId169" Target="https://arxiv.org/abs/2410.20247" TargetMode="External" /><Relationship Type="http://schemas.openxmlformats.org/officeDocument/2006/relationships/hyperlink" Id="rId191" Target="https://arxiv.org/abs/2411.00640" TargetMode="External" /><Relationship Type="http://schemas.openxmlformats.org/officeDocument/2006/relationships/hyperlink" Id="rId148" Target="https://arxiv.org/abs/2411.01533" TargetMode="External" /><Relationship Type="http://schemas.openxmlformats.org/officeDocument/2006/relationships/hyperlink" Id="rId177" Target="https://arxiv.org/abs/2411.06037" TargetMode="External" /><Relationship Type="http://schemas.openxmlformats.org/officeDocument/2006/relationships/hyperlink" Id="rId146" Target="https://arxiv.org/abs/2503.01747" TargetMode="External" /><Relationship Type="http://schemas.openxmlformats.org/officeDocument/2006/relationships/hyperlink" Id="rId185" Target="https://arxiv.org/abs/2503.04388" TargetMode="External" /><Relationship Type="http://schemas.openxmlformats.org/officeDocument/2006/relationships/hyperlink" Id="rId165" Target="https://arxiv.org/abs/2503.05491" TargetMode="External" /><Relationship Type="http://schemas.openxmlformats.org/officeDocument/2006/relationships/hyperlink" Id="rId183" Target="https://arxiv.org/abs/2504.07104" TargetMode="External" /><Relationship Type="http://schemas.openxmlformats.org/officeDocument/2006/relationships/hyperlink" Id="rId215" Target="https://arxiv.org/abs/2504.15630" TargetMode="External" /><Relationship Type="http://schemas.openxmlformats.org/officeDocument/2006/relationships/hyperlink" Id="rId152" Target="https://arxiv.org/abs/2507.03279" TargetMode="External" /><Relationship Type="http://schemas.openxmlformats.org/officeDocument/2006/relationships/hyperlink" Id="rId154" Target="https://arxiv.org/abs/2508.21184" TargetMode="External" /><Relationship Type="http://schemas.openxmlformats.org/officeDocument/2006/relationships/hyperlink" Id="rId173" Target="https://arxiv.org/abs/2510.00079" TargetMode="External" /><Relationship Type="http://schemas.openxmlformats.org/officeDocument/2006/relationships/hyperlink" Id="rId160" Target="https://arxiv.org/abs/2510.05381" TargetMode="External" /><Relationship Type="http://schemas.openxmlformats.org/officeDocument/2006/relationships/hyperlink" Id="rId141" Target="https://arxiv.org/abs/2512.23617" TargetMode="External" /><Relationship Type="http://schemas.openxmlformats.org/officeDocument/2006/relationships/hyperlink" Id="rId193" Target="https://arxiv.org/abs/2604.06621" TargetMode="External" /><Relationship Type="http://schemas.openxmlformats.org/officeDocument/2006/relationships/hyperlink" Id="rId195" Target="https://arxiv.org/abs/2605.03534" TargetMode="External" /><Relationship Type="http://schemas.openxmlformats.org/officeDocument/2006/relationships/hyperlink" Id="rId187" Target="https://arxiv.org/abs/2605.05716" TargetMode="External" /><Relationship Type="http://schemas.openxmlformats.org/officeDocument/2006/relationships/hyperlink" Id="rId181" Target="https://doi.org/10.1007/978-1-4612-4946-7" TargetMode="External" /><Relationship Type="http://schemas.openxmlformats.org/officeDocument/2006/relationships/hyperlink" Id="rId167" Target="https://doi.org/10.1007/s10791-008-9045-0" TargetMode="External" /><Relationship Type="http://schemas.openxmlformats.org/officeDocument/2006/relationships/hyperlink" Id="rId205" Target="https://doi.org/10.1017/CBO9780511666353" TargetMode="External" /><Relationship Type="http://schemas.openxmlformats.org/officeDocument/2006/relationships/hyperlink" Id="rId156" Target="https://doi.org/10.1093/biomet/26.4.404" TargetMode="External" /><Relationship Type="http://schemas.openxmlformats.org/officeDocument/2006/relationships/hyperlink" Id="rId197" Target="https://doi.org/10.1108/eb026647" TargetMode="External" /><Relationship Type="http://schemas.openxmlformats.org/officeDocument/2006/relationships/hyperlink" Id="rId150" Target="https://doi.org/10.1145/290941.291025" TargetMode="External" /><Relationship Type="http://schemas.openxmlformats.org/officeDocument/2006/relationships/hyperlink" Id="rId179" Target="https://doi.org/10.1214/aoms/1177700372" TargetMode="External" /><Relationship Type="http://schemas.openxmlformats.org/officeDocument/2006/relationships/hyperlink" Id="rId162" Target="https://doi.org/10.1214/aoms/1177728174" TargetMode="External" /><Relationship Type="http://schemas.openxmlformats.org/officeDocument/2006/relationships/hyperlink" Id="rId143"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 Oleksandr Reminnyi Department of Computerized Automatic Systems Lviv Polytechnic National University, Lviv, Ukraine ORCID: 0009-0005-5119-3695</dc:creator>
  <cp:keywords/>
  <dcterms:created xsi:type="dcterms:W3CDTF">2026-07-08T19:56:58Z</dcterms:created>
  <dcterms:modified xsi:type="dcterms:W3CDTF">2026-07-08T19:56:58Z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tool.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